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theme/themeOverride4.xml" ContentType="application/vnd.openxmlformats-officedocument.themeOverride+xml"/>
  <Override PartName="/word/charts/chart16.xml" ContentType="application/vnd.openxmlformats-officedocument.drawingml.chart+xml"/>
  <Override PartName="/word/theme/themeOverride5.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charts/chart3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3.xml" ContentType="application/vnd.openxmlformats-officedocument.drawingml.chart+xml"/>
  <Override PartName="/word/charts/style31.xml" ContentType="application/vnd.ms-office.chartstyle+xml"/>
  <Override PartName="/word/charts/colors31.xml" ContentType="application/vnd.ms-office.chartcolorstyle+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3274E" w14:textId="77777777" w:rsidR="00EE49FB" w:rsidRDefault="00997F6C" w:rsidP="00261457">
      <w:pPr>
        <w:sectPr w:rsidR="00EE49FB" w:rsidSect="004A62D9">
          <w:headerReference w:type="default" r:id="rId11"/>
          <w:footerReference w:type="default" r:id="rId12"/>
          <w:headerReference w:type="first" r:id="rId13"/>
          <w:footerReference w:type="first" r:id="rId14"/>
          <w:type w:val="continuous"/>
          <w:pgSz w:w="11906" w:h="16838"/>
          <w:pgMar w:top="1134" w:right="1440" w:bottom="1134" w:left="1440" w:header="0" w:footer="539" w:gutter="0"/>
          <w:pgNumType w:start="0"/>
          <w:cols w:space="708"/>
          <w:titlePg/>
          <w:docGrid w:linePitch="360"/>
        </w:sectPr>
      </w:pPr>
      <w:bookmarkStart w:id="0" w:name="_Toc118443202"/>
      <w:bookmarkStart w:id="1" w:name="_Toc119418020"/>
      <w:r w:rsidRPr="00997F6C">
        <w:rPr>
          <w:noProof/>
        </w:rPr>
        <w:drawing>
          <wp:inline distT="0" distB="0" distL="0" distR="0" wp14:anchorId="202EBB92" wp14:editId="4A57C2D7">
            <wp:extent cx="3294580" cy="715784"/>
            <wp:effectExtent l="0" t="0" r="1270" b="8255"/>
            <wp:docPr id="717505474" name="Picture 717505474" descr="Australian Government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05474" name="Picture 1" descr="Australian Government Jobs and Skills Australia"/>
                    <pic:cNvPicPr/>
                  </pic:nvPicPr>
                  <pic:blipFill>
                    <a:blip r:embed="rId15"/>
                    <a:stretch>
                      <a:fillRect/>
                    </a:stretch>
                  </pic:blipFill>
                  <pic:spPr>
                    <a:xfrm>
                      <a:off x="0" y="0"/>
                      <a:ext cx="3524334" cy="765701"/>
                    </a:xfrm>
                    <a:prstGeom prst="rect">
                      <a:avLst/>
                    </a:prstGeom>
                  </pic:spPr>
                </pic:pic>
              </a:graphicData>
            </a:graphic>
          </wp:inline>
        </w:drawing>
      </w:r>
    </w:p>
    <w:p w14:paraId="4BCC52F1" w14:textId="55FB2E5E" w:rsidR="003E0B70" w:rsidRPr="00B11937" w:rsidRDefault="00B32201" w:rsidP="00B11937">
      <w:r w:rsidRPr="00B11937">
        <w:rPr>
          <w:noProof/>
        </w:rPr>
        <w:drawing>
          <wp:anchor distT="0" distB="0" distL="114300" distR="114300" simplePos="0" relativeHeight="251658240" behindDoc="1" locked="0" layoutInCell="1" allowOverlap="1" wp14:anchorId="41B9CE17" wp14:editId="6254F0F8">
            <wp:simplePos x="0" y="0"/>
            <wp:positionH relativeFrom="page">
              <wp:align>center</wp:align>
            </wp:positionH>
            <wp:positionV relativeFrom="page">
              <wp:align>top</wp:align>
            </wp:positionV>
            <wp:extent cx="7560000" cy="10695600"/>
            <wp:effectExtent l="0" t="0" r="3175" b="0"/>
            <wp:wrapNone/>
            <wp:docPr id="911560792" name="Picture 911560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7">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p w14:paraId="65CE7F50" w14:textId="657B864E" w:rsidR="004F2369" w:rsidRPr="00AB2FCB" w:rsidRDefault="00D73E8B" w:rsidP="00233A75">
      <w:pPr>
        <w:pStyle w:val="Title"/>
        <w:rPr>
          <w:rFonts w:ascii="Arial" w:hAnsi="Arial" w:cs="Arial"/>
        </w:rPr>
      </w:pPr>
      <w:sdt>
        <w:sdtPr>
          <w:rPr>
            <w:rFonts w:ascii="Arial" w:hAnsi="Arial" w:cs="Arial"/>
          </w:rPr>
          <w:alias w:val="Title"/>
          <w:tag w:val=""/>
          <w:id w:val="1539707718"/>
          <w:placeholder>
            <w:docPart w:val="62C445EDE30F41718968622BBF37206F"/>
          </w:placeholder>
          <w:dataBinding w:prefixMappings="xmlns:ns0='http://purl.org/dc/elements/1.1/' xmlns:ns1='http://schemas.openxmlformats.org/package/2006/metadata/core-properties' " w:xpath="/ns1:coreProperties[1]/ns0:title[1]" w:storeItemID="{6C3C8BC8-F283-45AE-878A-BAB7291924A1}"/>
          <w:text/>
        </w:sdtPr>
        <w:sdtEndPr/>
        <w:sdtContent>
          <w:r w:rsidR="006F3CF5">
            <w:rPr>
              <w:rFonts w:ascii="Arial" w:hAnsi="Arial" w:cs="Arial"/>
            </w:rPr>
            <w:t>Towards a Regional</w:t>
          </w:r>
          <w:r w:rsidR="005E4C47">
            <w:rPr>
              <w:rFonts w:ascii="Arial" w:hAnsi="Arial" w:cs="Arial"/>
            </w:rPr>
            <w:t>, Rural and Remote</w:t>
          </w:r>
          <w:r w:rsidR="006F3CF5">
            <w:rPr>
              <w:rFonts w:ascii="Arial" w:hAnsi="Arial" w:cs="Arial"/>
            </w:rPr>
            <w:t xml:space="preserve"> Jobs and Skills Roadmap</w:t>
          </w:r>
        </w:sdtContent>
      </w:sdt>
    </w:p>
    <w:p w14:paraId="3DF70E82" w14:textId="60EB44EB" w:rsidR="004F2369" w:rsidRPr="00AB2FCB" w:rsidRDefault="006F3CF5" w:rsidP="001919B5">
      <w:pPr>
        <w:pStyle w:val="Subtitle"/>
        <w:numPr>
          <w:ilvl w:val="0"/>
          <w:numId w:val="0"/>
        </w:numPr>
        <w:rPr>
          <w:rFonts w:ascii="Arial" w:hAnsi="Arial" w:cs="Arial"/>
        </w:rPr>
      </w:pPr>
      <w:r>
        <w:rPr>
          <w:rFonts w:ascii="Arial" w:hAnsi="Arial" w:cs="Arial"/>
        </w:rPr>
        <w:t>Interim report</w:t>
      </w:r>
      <w:r w:rsidR="00261457">
        <w:rPr>
          <w:rFonts w:ascii="Arial" w:hAnsi="Arial" w:cs="Arial"/>
        </w:rPr>
        <w:t xml:space="preserve"> </w:t>
      </w:r>
    </w:p>
    <w:p w14:paraId="36E0E2F8" w14:textId="77777777" w:rsidR="00C07602" w:rsidRDefault="00C07602" w:rsidP="003D070F"/>
    <w:p w14:paraId="49F46106" w14:textId="792844DA" w:rsidR="004F2369" w:rsidRPr="005E6707" w:rsidRDefault="005D131C" w:rsidP="003D070F">
      <w:r w:rsidRPr="005E6707">
        <w:rPr>
          <w:color w:val="FFFFFF" w:themeColor="background1"/>
        </w:rPr>
        <w:t>October</w:t>
      </w:r>
      <w:r w:rsidR="004F2369" w:rsidRPr="005E6707">
        <w:rPr>
          <w:color w:val="FFFFFF" w:themeColor="background1"/>
        </w:rPr>
        <w:t xml:space="preserve"> 202</w:t>
      </w:r>
      <w:r w:rsidR="006F3CF5" w:rsidRPr="005E6707">
        <w:rPr>
          <w:color w:val="FFFFFF" w:themeColor="background1"/>
        </w:rPr>
        <w:t>4</w:t>
      </w:r>
      <w:r w:rsidR="004F2369" w:rsidRPr="005E6707">
        <w:br w:type="page"/>
      </w:r>
    </w:p>
    <w:p w14:paraId="4ADD2CBE" w14:textId="77777777" w:rsidR="00B0545B" w:rsidRDefault="00B0545B" w:rsidP="00E47E48">
      <w:pPr>
        <w:pStyle w:val="TOCHeading"/>
        <w:rPr>
          <w:rFonts w:asciiTheme="majorHAnsi" w:hAnsiTheme="majorHAnsi" w:cstheme="majorHAnsi"/>
        </w:rPr>
        <w:sectPr w:rsidR="00B0545B" w:rsidSect="00C9084F">
          <w:headerReference w:type="even" r:id="rId17"/>
          <w:headerReference w:type="default" r:id="rId18"/>
          <w:headerReference w:type="first" r:id="rId19"/>
          <w:footerReference w:type="first" r:id="rId20"/>
          <w:type w:val="continuous"/>
          <w:pgSz w:w="11906" w:h="16838"/>
          <w:pgMar w:top="1276" w:right="1440" w:bottom="1134" w:left="1440" w:header="0" w:footer="539" w:gutter="0"/>
          <w:pgNumType w:start="0"/>
          <w:cols w:space="708"/>
          <w:titlePg/>
          <w:docGrid w:linePitch="360"/>
        </w:sectPr>
      </w:pPr>
    </w:p>
    <w:p w14:paraId="00D383EF" w14:textId="3BA7AA27" w:rsidR="00B0545B" w:rsidRDefault="00B0545B" w:rsidP="002B7C00">
      <w:pPr>
        <w:pStyle w:val="AoC"/>
      </w:pPr>
      <w:bookmarkStart w:id="2" w:name="_Toc171937389"/>
      <w:bookmarkStart w:id="3" w:name="_Toc172014211"/>
      <w:bookmarkStart w:id="4" w:name="_Toc172017722"/>
      <w:bookmarkStart w:id="5" w:name="_Toc172106424"/>
      <w:r w:rsidRPr="000C0362">
        <w:t>Acknowledgement of Country</w:t>
      </w:r>
      <w:bookmarkEnd w:id="2"/>
      <w:bookmarkEnd w:id="3"/>
      <w:bookmarkEnd w:id="4"/>
      <w:bookmarkEnd w:id="5"/>
      <w:r w:rsidRPr="000C0362">
        <w:t xml:space="preserve"> </w:t>
      </w:r>
    </w:p>
    <w:p w14:paraId="037AF20E" w14:textId="4D790F29" w:rsidR="00B0545B" w:rsidRPr="00B0545B" w:rsidRDefault="00B0545B" w:rsidP="00BD4943">
      <w:pPr>
        <w:rPr>
          <w:rFonts w:asciiTheme="majorHAnsi" w:hAnsiTheme="majorHAnsi" w:cstheme="majorHAnsi"/>
          <w:b/>
          <w:color w:val="000000" w:themeColor="text1"/>
        </w:rPr>
        <w:sectPr w:rsidR="00B0545B" w:rsidRPr="00B0545B" w:rsidSect="00B0545B">
          <w:pgSz w:w="11906" w:h="16838"/>
          <w:pgMar w:top="1276" w:right="1440" w:bottom="1134" w:left="1440" w:header="0" w:footer="539" w:gutter="0"/>
          <w:pgNumType w:start="0"/>
          <w:cols w:space="708"/>
          <w:titlePg/>
          <w:docGrid w:linePitch="360"/>
        </w:sectPr>
      </w:pPr>
      <w:r w:rsidRPr="00B0545B">
        <w:t xml:space="preserve">Jobs and Skills Australia acknowledges the </w:t>
      </w:r>
      <w:r w:rsidRPr="00B0545B">
        <w:rPr>
          <w:rFonts w:cs="Arial"/>
          <w:color w:val="000000" w:themeColor="text1"/>
        </w:rPr>
        <w:t>Traditional Owners of Country throughout Australia and recognises the continuing connection to lands, waters and communities. We pay our respect to Aboriginal and Torres Strait Islander cultures, and to Elders past, present and emerging.</w:t>
      </w:r>
    </w:p>
    <w:sdt>
      <w:sdtPr>
        <w:rPr>
          <w:rFonts w:asciiTheme="minorHAnsi" w:eastAsiaTheme="minorEastAsia" w:hAnsiTheme="minorHAnsi" w:cstheme="minorBidi"/>
          <w:b w:val="0"/>
          <w:color w:val="auto"/>
          <w:sz w:val="24"/>
          <w:szCs w:val="24"/>
          <w:lang w:val="en-AU"/>
        </w:rPr>
        <w:id w:val="1637303875"/>
        <w:docPartObj>
          <w:docPartGallery w:val="Table of Contents"/>
          <w:docPartUnique/>
        </w:docPartObj>
      </w:sdtPr>
      <w:sdtEndPr>
        <w:rPr>
          <w:sz w:val="22"/>
          <w:szCs w:val="22"/>
        </w:rPr>
      </w:sdtEndPr>
      <w:sdtContent>
        <w:p w14:paraId="3BFA58A8" w14:textId="16A771F9" w:rsidR="00526D25" w:rsidRPr="002A7369" w:rsidRDefault="00526D25">
          <w:pPr>
            <w:pStyle w:val="TOCHeading"/>
            <w:rPr>
              <w:rFonts w:asciiTheme="minorHAnsi" w:hAnsiTheme="minorHAnsi" w:cstheme="minorHAnsi"/>
            </w:rPr>
          </w:pPr>
          <w:r w:rsidRPr="002A7369">
            <w:rPr>
              <w:rFonts w:asciiTheme="minorHAnsi" w:hAnsiTheme="minorHAnsi" w:cstheme="minorHAnsi"/>
            </w:rPr>
            <w:t>Table of Contents</w:t>
          </w:r>
        </w:p>
        <w:bookmarkStart w:id="6" w:name="_Toc171937390"/>
        <w:p w14:paraId="40900689" w14:textId="6E0FCF5D" w:rsidR="00AF02FF" w:rsidRDefault="007E2211">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r>
            <w:rPr>
              <w:rFonts w:asciiTheme="minorHAnsi" w:hAnsiTheme="minorHAnsi" w:cstheme="minorHAnsi"/>
            </w:rPr>
            <w:fldChar w:fldCharType="begin"/>
          </w:r>
          <w:r>
            <w:rPr>
              <w:rFonts w:asciiTheme="minorHAnsi" w:hAnsiTheme="minorHAnsi" w:cstheme="minorHAnsi"/>
            </w:rPr>
            <w:instrText xml:space="preserve"> TOC \o "1-1" \h \z \t "Heading 2,2" </w:instrText>
          </w:r>
          <w:r>
            <w:rPr>
              <w:rFonts w:asciiTheme="minorHAnsi" w:hAnsiTheme="minorHAnsi" w:cstheme="minorHAnsi"/>
            </w:rPr>
            <w:fldChar w:fldCharType="separate"/>
          </w:r>
          <w:hyperlink w:anchor="_Toc178173723" w:history="1">
            <w:r w:rsidR="00AF02FF" w:rsidRPr="00B936CC">
              <w:rPr>
                <w:rStyle w:val="Hyperlink"/>
                <w:rFonts w:cstheme="minorHAnsi"/>
                <w:noProof/>
              </w:rPr>
              <w:t>Executive Summary</w:t>
            </w:r>
            <w:r w:rsidR="00AF02FF">
              <w:rPr>
                <w:noProof/>
                <w:webHidden/>
              </w:rPr>
              <w:tab/>
            </w:r>
            <w:r w:rsidR="00AF02FF">
              <w:rPr>
                <w:noProof/>
                <w:webHidden/>
              </w:rPr>
              <w:fldChar w:fldCharType="begin"/>
            </w:r>
            <w:r w:rsidR="00AF02FF">
              <w:rPr>
                <w:noProof/>
                <w:webHidden/>
              </w:rPr>
              <w:instrText xml:space="preserve"> PAGEREF _Toc178173723 \h </w:instrText>
            </w:r>
            <w:r w:rsidR="00AF02FF">
              <w:rPr>
                <w:noProof/>
                <w:webHidden/>
              </w:rPr>
            </w:r>
            <w:r w:rsidR="00AF02FF">
              <w:rPr>
                <w:noProof/>
                <w:webHidden/>
              </w:rPr>
              <w:fldChar w:fldCharType="separate"/>
            </w:r>
            <w:r w:rsidR="00AF02FF">
              <w:rPr>
                <w:noProof/>
                <w:webHidden/>
              </w:rPr>
              <w:t>2</w:t>
            </w:r>
            <w:r w:rsidR="00AF02FF">
              <w:rPr>
                <w:noProof/>
                <w:webHidden/>
              </w:rPr>
              <w:fldChar w:fldCharType="end"/>
            </w:r>
          </w:hyperlink>
        </w:p>
        <w:p w14:paraId="70579E71" w14:textId="72032F39"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24" w:history="1">
            <w:r w:rsidR="00AF02FF" w:rsidRPr="00B936CC">
              <w:rPr>
                <w:rStyle w:val="Hyperlink"/>
                <w:rFonts w:cstheme="minorHAnsi"/>
                <w:noProof/>
              </w:rPr>
              <w:t>Regional, Rural and Remote Australia: historical context</w:t>
            </w:r>
            <w:r w:rsidR="00AF02FF">
              <w:rPr>
                <w:noProof/>
                <w:webHidden/>
              </w:rPr>
              <w:tab/>
            </w:r>
            <w:r w:rsidR="00AF02FF">
              <w:rPr>
                <w:noProof/>
                <w:webHidden/>
              </w:rPr>
              <w:fldChar w:fldCharType="begin"/>
            </w:r>
            <w:r w:rsidR="00AF02FF">
              <w:rPr>
                <w:noProof/>
                <w:webHidden/>
              </w:rPr>
              <w:instrText xml:space="preserve"> PAGEREF _Toc178173724 \h </w:instrText>
            </w:r>
            <w:r w:rsidR="00AF02FF">
              <w:rPr>
                <w:noProof/>
                <w:webHidden/>
              </w:rPr>
            </w:r>
            <w:r w:rsidR="00AF02FF">
              <w:rPr>
                <w:noProof/>
                <w:webHidden/>
              </w:rPr>
              <w:fldChar w:fldCharType="separate"/>
            </w:r>
            <w:r w:rsidR="00AF02FF">
              <w:rPr>
                <w:noProof/>
                <w:webHidden/>
              </w:rPr>
              <w:t>2</w:t>
            </w:r>
            <w:r w:rsidR="00AF02FF">
              <w:rPr>
                <w:noProof/>
                <w:webHidden/>
              </w:rPr>
              <w:fldChar w:fldCharType="end"/>
            </w:r>
          </w:hyperlink>
        </w:p>
        <w:p w14:paraId="6C664BBC" w14:textId="2220A5A3"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25" w:history="1">
            <w:r w:rsidR="00AF02FF" w:rsidRPr="00B936CC">
              <w:rPr>
                <w:rStyle w:val="Hyperlink"/>
                <w:rFonts w:asciiTheme="majorHAnsi" w:hAnsiTheme="majorHAnsi" w:cstheme="majorHAnsi"/>
                <w:noProof/>
              </w:rPr>
              <w:t>Regional Labour Market Summary</w:t>
            </w:r>
            <w:r w:rsidR="00AF02FF">
              <w:rPr>
                <w:noProof/>
                <w:webHidden/>
              </w:rPr>
              <w:tab/>
            </w:r>
            <w:r w:rsidR="00AF02FF">
              <w:rPr>
                <w:noProof/>
                <w:webHidden/>
              </w:rPr>
              <w:fldChar w:fldCharType="begin"/>
            </w:r>
            <w:r w:rsidR="00AF02FF">
              <w:rPr>
                <w:noProof/>
                <w:webHidden/>
              </w:rPr>
              <w:instrText xml:space="preserve"> PAGEREF _Toc178173725 \h </w:instrText>
            </w:r>
            <w:r w:rsidR="00AF02FF">
              <w:rPr>
                <w:noProof/>
                <w:webHidden/>
              </w:rPr>
            </w:r>
            <w:r w:rsidR="00AF02FF">
              <w:rPr>
                <w:noProof/>
                <w:webHidden/>
              </w:rPr>
              <w:fldChar w:fldCharType="separate"/>
            </w:r>
            <w:r w:rsidR="00AF02FF">
              <w:rPr>
                <w:noProof/>
                <w:webHidden/>
              </w:rPr>
              <w:t>6</w:t>
            </w:r>
            <w:r w:rsidR="00AF02FF">
              <w:rPr>
                <w:noProof/>
                <w:webHidden/>
              </w:rPr>
              <w:fldChar w:fldCharType="end"/>
            </w:r>
          </w:hyperlink>
        </w:p>
        <w:p w14:paraId="2B7460B6" w14:textId="26589806"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26" w:history="1">
            <w:r w:rsidR="00AF02FF" w:rsidRPr="00B936CC">
              <w:rPr>
                <w:rStyle w:val="Hyperlink"/>
                <w:rFonts w:cstheme="minorHAnsi"/>
                <w:noProof/>
              </w:rPr>
              <w:t>Key Findings</w:t>
            </w:r>
            <w:r w:rsidR="00AF02FF">
              <w:rPr>
                <w:noProof/>
                <w:webHidden/>
              </w:rPr>
              <w:tab/>
            </w:r>
            <w:r w:rsidR="00AF02FF">
              <w:rPr>
                <w:noProof/>
                <w:webHidden/>
              </w:rPr>
              <w:fldChar w:fldCharType="begin"/>
            </w:r>
            <w:r w:rsidR="00AF02FF">
              <w:rPr>
                <w:noProof/>
                <w:webHidden/>
              </w:rPr>
              <w:instrText xml:space="preserve"> PAGEREF _Toc178173726 \h </w:instrText>
            </w:r>
            <w:r w:rsidR="00AF02FF">
              <w:rPr>
                <w:noProof/>
                <w:webHidden/>
              </w:rPr>
            </w:r>
            <w:r w:rsidR="00AF02FF">
              <w:rPr>
                <w:noProof/>
                <w:webHidden/>
              </w:rPr>
              <w:fldChar w:fldCharType="separate"/>
            </w:r>
            <w:r w:rsidR="00AF02FF">
              <w:rPr>
                <w:noProof/>
                <w:webHidden/>
              </w:rPr>
              <w:t>6</w:t>
            </w:r>
            <w:r w:rsidR="00AF02FF">
              <w:rPr>
                <w:noProof/>
                <w:webHidden/>
              </w:rPr>
              <w:fldChar w:fldCharType="end"/>
            </w:r>
          </w:hyperlink>
        </w:p>
        <w:p w14:paraId="2AAEF1DF" w14:textId="66467797"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27" w:history="1">
            <w:r w:rsidR="00AF02FF" w:rsidRPr="00B936CC">
              <w:rPr>
                <w:rStyle w:val="Hyperlink"/>
                <w:rFonts w:cstheme="minorHAnsi"/>
                <w:noProof/>
              </w:rPr>
              <w:t>National labour market summary</w:t>
            </w:r>
            <w:r w:rsidR="00AF02FF">
              <w:rPr>
                <w:noProof/>
                <w:webHidden/>
              </w:rPr>
              <w:tab/>
            </w:r>
            <w:r w:rsidR="00AF02FF">
              <w:rPr>
                <w:noProof/>
                <w:webHidden/>
              </w:rPr>
              <w:fldChar w:fldCharType="begin"/>
            </w:r>
            <w:r w:rsidR="00AF02FF">
              <w:rPr>
                <w:noProof/>
                <w:webHidden/>
              </w:rPr>
              <w:instrText xml:space="preserve"> PAGEREF _Toc178173727 \h </w:instrText>
            </w:r>
            <w:r w:rsidR="00AF02FF">
              <w:rPr>
                <w:noProof/>
                <w:webHidden/>
              </w:rPr>
            </w:r>
            <w:r w:rsidR="00AF02FF">
              <w:rPr>
                <w:noProof/>
                <w:webHidden/>
              </w:rPr>
              <w:fldChar w:fldCharType="separate"/>
            </w:r>
            <w:r w:rsidR="00AF02FF">
              <w:rPr>
                <w:noProof/>
                <w:webHidden/>
              </w:rPr>
              <w:t>7</w:t>
            </w:r>
            <w:r w:rsidR="00AF02FF">
              <w:rPr>
                <w:noProof/>
                <w:webHidden/>
              </w:rPr>
              <w:fldChar w:fldCharType="end"/>
            </w:r>
          </w:hyperlink>
        </w:p>
        <w:p w14:paraId="1481C3FE" w14:textId="581EA7AA"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28" w:history="1">
            <w:r w:rsidR="00AF02FF" w:rsidRPr="00B936CC">
              <w:rPr>
                <w:rStyle w:val="Hyperlink"/>
                <w:rFonts w:cstheme="minorHAnsi"/>
                <w:noProof/>
              </w:rPr>
              <w:t>Regional labour market performance</w:t>
            </w:r>
            <w:r w:rsidR="00AF02FF">
              <w:rPr>
                <w:noProof/>
                <w:webHidden/>
              </w:rPr>
              <w:tab/>
            </w:r>
            <w:r w:rsidR="00AF02FF">
              <w:rPr>
                <w:noProof/>
                <w:webHidden/>
              </w:rPr>
              <w:fldChar w:fldCharType="begin"/>
            </w:r>
            <w:r w:rsidR="00AF02FF">
              <w:rPr>
                <w:noProof/>
                <w:webHidden/>
              </w:rPr>
              <w:instrText xml:space="preserve"> PAGEREF _Toc178173728 \h </w:instrText>
            </w:r>
            <w:r w:rsidR="00AF02FF">
              <w:rPr>
                <w:noProof/>
                <w:webHidden/>
              </w:rPr>
            </w:r>
            <w:r w:rsidR="00AF02FF">
              <w:rPr>
                <w:noProof/>
                <w:webHidden/>
              </w:rPr>
              <w:fldChar w:fldCharType="separate"/>
            </w:r>
            <w:r w:rsidR="00AF02FF">
              <w:rPr>
                <w:noProof/>
                <w:webHidden/>
              </w:rPr>
              <w:t>7</w:t>
            </w:r>
            <w:r w:rsidR="00AF02FF">
              <w:rPr>
                <w:noProof/>
                <w:webHidden/>
              </w:rPr>
              <w:fldChar w:fldCharType="end"/>
            </w:r>
          </w:hyperlink>
        </w:p>
        <w:p w14:paraId="5148A1CB" w14:textId="716A5309"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29" w:history="1">
            <w:r w:rsidR="00AF02FF" w:rsidRPr="00B936CC">
              <w:rPr>
                <w:rStyle w:val="Hyperlink"/>
                <w:rFonts w:asciiTheme="majorHAnsi" w:hAnsiTheme="majorHAnsi" w:cstheme="majorHAnsi"/>
                <w:noProof/>
              </w:rPr>
              <w:t>Trends influencing regional labour market performance</w:t>
            </w:r>
            <w:r w:rsidR="00AF02FF">
              <w:rPr>
                <w:noProof/>
                <w:webHidden/>
              </w:rPr>
              <w:tab/>
            </w:r>
            <w:r w:rsidR="00AF02FF">
              <w:rPr>
                <w:noProof/>
                <w:webHidden/>
              </w:rPr>
              <w:fldChar w:fldCharType="begin"/>
            </w:r>
            <w:r w:rsidR="00AF02FF">
              <w:rPr>
                <w:noProof/>
                <w:webHidden/>
              </w:rPr>
              <w:instrText xml:space="preserve"> PAGEREF _Toc178173729 \h </w:instrText>
            </w:r>
            <w:r w:rsidR="00AF02FF">
              <w:rPr>
                <w:noProof/>
                <w:webHidden/>
              </w:rPr>
            </w:r>
            <w:r w:rsidR="00AF02FF">
              <w:rPr>
                <w:noProof/>
                <w:webHidden/>
              </w:rPr>
              <w:fldChar w:fldCharType="separate"/>
            </w:r>
            <w:r w:rsidR="00AF02FF">
              <w:rPr>
                <w:noProof/>
                <w:webHidden/>
              </w:rPr>
              <w:t>15</w:t>
            </w:r>
            <w:r w:rsidR="00AF02FF">
              <w:rPr>
                <w:noProof/>
                <w:webHidden/>
              </w:rPr>
              <w:fldChar w:fldCharType="end"/>
            </w:r>
          </w:hyperlink>
        </w:p>
        <w:p w14:paraId="6A73BD43" w14:textId="46AF32B8"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0" w:history="1">
            <w:r w:rsidR="00AF02FF" w:rsidRPr="00B936CC">
              <w:rPr>
                <w:rStyle w:val="Hyperlink"/>
                <w:rFonts w:asciiTheme="majorHAnsi" w:hAnsiTheme="majorHAnsi" w:cstheme="majorHAnsi"/>
                <w:noProof/>
              </w:rPr>
              <w:t>Regional labour market vulnerability framework</w:t>
            </w:r>
            <w:r w:rsidR="00AF02FF">
              <w:rPr>
                <w:noProof/>
                <w:webHidden/>
              </w:rPr>
              <w:tab/>
            </w:r>
            <w:r w:rsidR="00AF02FF">
              <w:rPr>
                <w:noProof/>
                <w:webHidden/>
              </w:rPr>
              <w:fldChar w:fldCharType="begin"/>
            </w:r>
            <w:r w:rsidR="00AF02FF">
              <w:rPr>
                <w:noProof/>
                <w:webHidden/>
              </w:rPr>
              <w:instrText xml:space="preserve"> PAGEREF _Toc178173730 \h </w:instrText>
            </w:r>
            <w:r w:rsidR="00AF02FF">
              <w:rPr>
                <w:noProof/>
                <w:webHidden/>
              </w:rPr>
            </w:r>
            <w:r w:rsidR="00AF02FF">
              <w:rPr>
                <w:noProof/>
                <w:webHidden/>
              </w:rPr>
              <w:fldChar w:fldCharType="separate"/>
            </w:r>
            <w:r w:rsidR="00AF02FF">
              <w:rPr>
                <w:noProof/>
                <w:webHidden/>
              </w:rPr>
              <w:t>25</w:t>
            </w:r>
            <w:r w:rsidR="00AF02FF">
              <w:rPr>
                <w:noProof/>
                <w:webHidden/>
              </w:rPr>
              <w:fldChar w:fldCharType="end"/>
            </w:r>
          </w:hyperlink>
        </w:p>
        <w:p w14:paraId="7530AF58" w14:textId="710244CE"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31" w:history="1">
            <w:r w:rsidR="00AF02FF" w:rsidRPr="00B936CC">
              <w:rPr>
                <w:rStyle w:val="Hyperlink"/>
                <w:noProof/>
              </w:rPr>
              <w:t>Regional Recruitment Experiences and Skills Shortages</w:t>
            </w:r>
            <w:r w:rsidR="00AF02FF">
              <w:rPr>
                <w:noProof/>
                <w:webHidden/>
              </w:rPr>
              <w:tab/>
            </w:r>
            <w:r w:rsidR="00AF02FF">
              <w:rPr>
                <w:noProof/>
                <w:webHidden/>
              </w:rPr>
              <w:fldChar w:fldCharType="begin"/>
            </w:r>
            <w:r w:rsidR="00AF02FF">
              <w:rPr>
                <w:noProof/>
                <w:webHidden/>
              </w:rPr>
              <w:instrText xml:space="preserve"> PAGEREF _Toc178173731 \h </w:instrText>
            </w:r>
            <w:r w:rsidR="00AF02FF">
              <w:rPr>
                <w:noProof/>
                <w:webHidden/>
              </w:rPr>
            </w:r>
            <w:r w:rsidR="00AF02FF">
              <w:rPr>
                <w:noProof/>
                <w:webHidden/>
              </w:rPr>
              <w:fldChar w:fldCharType="separate"/>
            </w:r>
            <w:r w:rsidR="00AF02FF">
              <w:rPr>
                <w:noProof/>
                <w:webHidden/>
              </w:rPr>
              <w:t>29</w:t>
            </w:r>
            <w:r w:rsidR="00AF02FF">
              <w:rPr>
                <w:noProof/>
                <w:webHidden/>
              </w:rPr>
              <w:fldChar w:fldCharType="end"/>
            </w:r>
          </w:hyperlink>
        </w:p>
        <w:p w14:paraId="67C3B468" w14:textId="43B51024"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2" w:history="1">
            <w:r w:rsidR="00AF02FF" w:rsidRPr="00B936CC">
              <w:rPr>
                <w:rStyle w:val="Hyperlink"/>
                <w:noProof/>
              </w:rPr>
              <w:t>Key Findings</w:t>
            </w:r>
            <w:r w:rsidR="00AF02FF">
              <w:rPr>
                <w:noProof/>
                <w:webHidden/>
              </w:rPr>
              <w:tab/>
            </w:r>
            <w:r w:rsidR="00AF02FF">
              <w:rPr>
                <w:noProof/>
                <w:webHidden/>
              </w:rPr>
              <w:fldChar w:fldCharType="begin"/>
            </w:r>
            <w:r w:rsidR="00AF02FF">
              <w:rPr>
                <w:noProof/>
                <w:webHidden/>
              </w:rPr>
              <w:instrText xml:space="preserve"> PAGEREF _Toc178173732 \h </w:instrText>
            </w:r>
            <w:r w:rsidR="00AF02FF">
              <w:rPr>
                <w:noProof/>
                <w:webHidden/>
              </w:rPr>
            </w:r>
            <w:r w:rsidR="00AF02FF">
              <w:rPr>
                <w:noProof/>
                <w:webHidden/>
              </w:rPr>
              <w:fldChar w:fldCharType="separate"/>
            </w:r>
            <w:r w:rsidR="00AF02FF">
              <w:rPr>
                <w:noProof/>
                <w:webHidden/>
              </w:rPr>
              <w:t>29</w:t>
            </w:r>
            <w:r w:rsidR="00AF02FF">
              <w:rPr>
                <w:noProof/>
                <w:webHidden/>
              </w:rPr>
              <w:fldChar w:fldCharType="end"/>
            </w:r>
          </w:hyperlink>
        </w:p>
        <w:p w14:paraId="59ECFA48" w14:textId="02B69E42"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3" w:history="1">
            <w:r w:rsidR="00AF02FF" w:rsidRPr="00B936CC">
              <w:rPr>
                <w:rStyle w:val="Hyperlink"/>
                <w:noProof/>
              </w:rPr>
              <w:t>Overview</w:t>
            </w:r>
            <w:r w:rsidR="00AF02FF">
              <w:rPr>
                <w:noProof/>
                <w:webHidden/>
              </w:rPr>
              <w:tab/>
            </w:r>
            <w:r w:rsidR="00AF02FF">
              <w:rPr>
                <w:noProof/>
                <w:webHidden/>
              </w:rPr>
              <w:fldChar w:fldCharType="begin"/>
            </w:r>
            <w:r w:rsidR="00AF02FF">
              <w:rPr>
                <w:noProof/>
                <w:webHidden/>
              </w:rPr>
              <w:instrText xml:space="preserve"> PAGEREF _Toc178173733 \h </w:instrText>
            </w:r>
            <w:r w:rsidR="00AF02FF">
              <w:rPr>
                <w:noProof/>
                <w:webHidden/>
              </w:rPr>
            </w:r>
            <w:r w:rsidR="00AF02FF">
              <w:rPr>
                <w:noProof/>
                <w:webHidden/>
              </w:rPr>
              <w:fldChar w:fldCharType="separate"/>
            </w:r>
            <w:r w:rsidR="00AF02FF">
              <w:rPr>
                <w:noProof/>
                <w:webHidden/>
              </w:rPr>
              <w:t>30</w:t>
            </w:r>
            <w:r w:rsidR="00AF02FF">
              <w:rPr>
                <w:noProof/>
                <w:webHidden/>
              </w:rPr>
              <w:fldChar w:fldCharType="end"/>
            </w:r>
          </w:hyperlink>
        </w:p>
        <w:p w14:paraId="734A89B3" w14:textId="6355E634"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4" w:history="1">
            <w:r w:rsidR="00AF02FF" w:rsidRPr="00B936CC">
              <w:rPr>
                <w:rStyle w:val="Hyperlink"/>
                <w:rFonts w:asciiTheme="majorHAnsi" w:hAnsiTheme="majorHAnsi"/>
                <w:noProof/>
              </w:rPr>
              <w:t>Recruitment difficulty and vacancy fill rates</w:t>
            </w:r>
            <w:r w:rsidR="00AF02FF">
              <w:rPr>
                <w:noProof/>
                <w:webHidden/>
              </w:rPr>
              <w:tab/>
            </w:r>
            <w:r w:rsidR="00AF02FF">
              <w:rPr>
                <w:noProof/>
                <w:webHidden/>
              </w:rPr>
              <w:fldChar w:fldCharType="begin"/>
            </w:r>
            <w:r w:rsidR="00AF02FF">
              <w:rPr>
                <w:noProof/>
                <w:webHidden/>
              </w:rPr>
              <w:instrText xml:space="preserve"> PAGEREF _Toc178173734 \h </w:instrText>
            </w:r>
            <w:r w:rsidR="00AF02FF">
              <w:rPr>
                <w:noProof/>
                <w:webHidden/>
              </w:rPr>
            </w:r>
            <w:r w:rsidR="00AF02FF">
              <w:rPr>
                <w:noProof/>
                <w:webHidden/>
              </w:rPr>
              <w:fldChar w:fldCharType="separate"/>
            </w:r>
            <w:r w:rsidR="00AF02FF">
              <w:rPr>
                <w:noProof/>
                <w:webHidden/>
              </w:rPr>
              <w:t>30</w:t>
            </w:r>
            <w:r w:rsidR="00AF02FF">
              <w:rPr>
                <w:noProof/>
                <w:webHidden/>
              </w:rPr>
              <w:fldChar w:fldCharType="end"/>
            </w:r>
          </w:hyperlink>
        </w:p>
        <w:p w14:paraId="0D91874D" w14:textId="2275264D"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5" w:history="1">
            <w:r w:rsidR="00AF02FF" w:rsidRPr="00B936CC">
              <w:rPr>
                <w:rStyle w:val="Hyperlink"/>
                <w:rFonts w:asciiTheme="majorHAnsi" w:hAnsiTheme="majorHAnsi"/>
                <w:noProof/>
              </w:rPr>
              <w:t>Supply and demand for occupations in regional Australia</w:t>
            </w:r>
            <w:r w:rsidR="00AF02FF">
              <w:rPr>
                <w:noProof/>
                <w:webHidden/>
              </w:rPr>
              <w:tab/>
            </w:r>
            <w:r w:rsidR="00AF02FF">
              <w:rPr>
                <w:noProof/>
                <w:webHidden/>
              </w:rPr>
              <w:fldChar w:fldCharType="begin"/>
            </w:r>
            <w:r w:rsidR="00AF02FF">
              <w:rPr>
                <w:noProof/>
                <w:webHidden/>
              </w:rPr>
              <w:instrText xml:space="preserve"> PAGEREF _Toc178173735 \h </w:instrText>
            </w:r>
            <w:r w:rsidR="00AF02FF">
              <w:rPr>
                <w:noProof/>
                <w:webHidden/>
              </w:rPr>
            </w:r>
            <w:r w:rsidR="00AF02FF">
              <w:rPr>
                <w:noProof/>
                <w:webHidden/>
              </w:rPr>
              <w:fldChar w:fldCharType="separate"/>
            </w:r>
            <w:r w:rsidR="00AF02FF">
              <w:rPr>
                <w:noProof/>
                <w:webHidden/>
              </w:rPr>
              <w:t>38</w:t>
            </w:r>
            <w:r w:rsidR="00AF02FF">
              <w:rPr>
                <w:noProof/>
                <w:webHidden/>
              </w:rPr>
              <w:fldChar w:fldCharType="end"/>
            </w:r>
          </w:hyperlink>
        </w:p>
        <w:p w14:paraId="23003E69" w14:textId="6BA276F7"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6" w:history="1">
            <w:r w:rsidR="00AF02FF" w:rsidRPr="00B936CC">
              <w:rPr>
                <w:rStyle w:val="Hyperlink"/>
                <w:rFonts w:asciiTheme="majorHAnsi" w:hAnsiTheme="majorHAnsi"/>
                <w:noProof/>
              </w:rPr>
              <w:t>Spotlight on Health Care and Social Assistance sector occupations</w:t>
            </w:r>
            <w:r w:rsidR="00AF02FF">
              <w:rPr>
                <w:noProof/>
                <w:webHidden/>
              </w:rPr>
              <w:tab/>
            </w:r>
            <w:r w:rsidR="00AF02FF">
              <w:rPr>
                <w:noProof/>
                <w:webHidden/>
              </w:rPr>
              <w:fldChar w:fldCharType="begin"/>
            </w:r>
            <w:r w:rsidR="00AF02FF">
              <w:rPr>
                <w:noProof/>
                <w:webHidden/>
              </w:rPr>
              <w:instrText xml:space="preserve"> PAGEREF _Toc178173736 \h </w:instrText>
            </w:r>
            <w:r w:rsidR="00AF02FF">
              <w:rPr>
                <w:noProof/>
                <w:webHidden/>
              </w:rPr>
            </w:r>
            <w:r w:rsidR="00AF02FF">
              <w:rPr>
                <w:noProof/>
                <w:webHidden/>
              </w:rPr>
              <w:fldChar w:fldCharType="separate"/>
            </w:r>
            <w:r w:rsidR="00AF02FF">
              <w:rPr>
                <w:noProof/>
                <w:webHidden/>
              </w:rPr>
              <w:t>41</w:t>
            </w:r>
            <w:r w:rsidR="00AF02FF">
              <w:rPr>
                <w:noProof/>
                <w:webHidden/>
              </w:rPr>
              <w:fldChar w:fldCharType="end"/>
            </w:r>
          </w:hyperlink>
        </w:p>
        <w:p w14:paraId="5B6706C7" w14:textId="6417E2A5"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7" w:history="1">
            <w:r w:rsidR="00AF02FF" w:rsidRPr="00B936CC">
              <w:rPr>
                <w:rStyle w:val="Hyperlink"/>
                <w:noProof/>
              </w:rPr>
              <w:t>Spotlight: Occupational gender segregation may be contributing towards persistent skill shortages in regional and remote areas</w:t>
            </w:r>
            <w:r w:rsidR="00AF02FF">
              <w:rPr>
                <w:noProof/>
                <w:webHidden/>
              </w:rPr>
              <w:tab/>
            </w:r>
            <w:r w:rsidR="00AF02FF">
              <w:rPr>
                <w:noProof/>
                <w:webHidden/>
              </w:rPr>
              <w:fldChar w:fldCharType="begin"/>
            </w:r>
            <w:r w:rsidR="00AF02FF">
              <w:rPr>
                <w:noProof/>
                <w:webHidden/>
              </w:rPr>
              <w:instrText xml:space="preserve"> PAGEREF _Toc178173737 \h </w:instrText>
            </w:r>
            <w:r w:rsidR="00AF02FF">
              <w:rPr>
                <w:noProof/>
                <w:webHidden/>
              </w:rPr>
            </w:r>
            <w:r w:rsidR="00AF02FF">
              <w:rPr>
                <w:noProof/>
                <w:webHidden/>
              </w:rPr>
              <w:fldChar w:fldCharType="separate"/>
            </w:r>
            <w:r w:rsidR="00AF02FF">
              <w:rPr>
                <w:noProof/>
                <w:webHidden/>
              </w:rPr>
              <w:t>42</w:t>
            </w:r>
            <w:r w:rsidR="00AF02FF">
              <w:rPr>
                <w:noProof/>
                <w:webHidden/>
              </w:rPr>
              <w:fldChar w:fldCharType="end"/>
            </w:r>
          </w:hyperlink>
        </w:p>
        <w:p w14:paraId="1A7BE8D2" w14:textId="7EC1A923"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38" w:history="1">
            <w:r w:rsidR="00AF02FF" w:rsidRPr="00B936CC">
              <w:rPr>
                <w:rStyle w:val="Hyperlink"/>
                <w:rFonts w:asciiTheme="majorHAnsi" w:hAnsiTheme="majorHAnsi"/>
                <w:noProof/>
              </w:rPr>
              <w:t>Regional drivers of skill shortages</w:t>
            </w:r>
            <w:r w:rsidR="00AF02FF">
              <w:rPr>
                <w:noProof/>
                <w:webHidden/>
              </w:rPr>
              <w:tab/>
            </w:r>
            <w:r w:rsidR="00AF02FF">
              <w:rPr>
                <w:noProof/>
                <w:webHidden/>
              </w:rPr>
              <w:fldChar w:fldCharType="begin"/>
            </w:r>
            <w:r w:rsidR="00AF02FF">
              <w:rPr>
                <w:noProof/>
                <w:webHidden/>
              </w:rPr>
              <w:instrText xml:space="preserve"> PAGEREF _Toc178173738 \h </w:instrText>
            </w:r>
            <w:r w:rsidR="00AF02FF">
              <w:rPr>
                <w:noProof/>
                <w:webHidden/>
              </w:rPr>
            </w:r>
            <w:r w:rsidR="00AF02FF">
              <w:rPr>
                <w:noProof/>
                <w:webHidden/>
              </w:rPr>
              <w:fldChar w:fldCharType="separate"/>
            </w:r>
            <w:r w:rsidR="00AF02FF">
              <w:rPr>
                <w:noProof/>
                <w:webHidden/>
              </w:rPr>
              <w:t>45</w:t>
            </w:r>
            <w:r w:rsidR="00AF02FF">
              <w:rPr>
                <w:noProof/>
                <w:webHidden/>
              </w:rPr>
              <w:fldChar w:fldCharType="end"/>
            </w:r>
          </w:hyperlink>
        </w:p>
        <w:p w14:paraId="1E9F82AE" w14:textId="722F4D29"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39" w:history="1">
            <w:r w:rsidR="00AF02FF" w:rsidRPr="00B936CC">
              <w:rPr>
                <w:rStyle w:val="Hyperlink"/>
                <w:rFonts w:asciiTheme="majorHAnsi" w:hAnsiTheme="majorHAnsi"/>
                <w:noProof/>
              </w:rPr>
              <w:t>The Regional Skills System</w:t>
            </w:r>
            <w:r w:rsidR="00AF02FF">
              <w:rPr>
                <w:noProof/>
                <w:webHidden/>
              </w:rPr>
              <w:tab/>
            </w:r>
            <w:r w:rsidR="00AF02FF">
              <w:rPr>
                <w:noProof/>
                <w:webHidden/>
              </w:rPr>
              <w:fldChar w:fldCharType="begin"/>
            </w:r>
            <w:r w:rsidR="00AF02FF">
              <w:rPr>
                <w:noProof/>
                <w:webHidden/>
              </w:rPr>
              <w:instrText xml:space="preserve"> PAGEREF _Toc178173739 \h </w:instrText>
            </w:r>
            <w:r w:rsidR="00AF02FF">
              <w:rPr>
                <w:noProof/>
                <w:webHidden/>
              </w:rPr>
            </w:r>
            <w:r w:rsidR="00AF02FF">
              <w:rPr>
                <w:noProof/>
                <w:webHidden/>
              </w:rPr>
              <w:fldChar w:fldCharType="separate"/>
            </w:r>
            <w:r w:rsidR="00AF02FF">
              <w:rPr>
                <w:noProof/>
                <w:webHidden/>
              </w:rPr>
              <w:t>47</w:t>
            </w:r>
            <w:r w:rsidR="00AF02FF">
              <w:rPr>
                <w:noProof/>
                <w:webHidden/>
              </w:rPr>
              <w:fldChar w:fldCharType="end"/>
            </w:r>
          </w:hyperlink>
        </w:p>
        <w:p w14:paraId="6864FE23" w14:textId="79A24495"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0" w:history="1">
            <w:r w:rsidR="00AF02FF" w:rsidRPr="00B936CC">
              <w:rPr>
                <w:rStyle w:val="Hyperlink"/>
                <w:rFonts w:cstheme="minorHAnsi"/>
                <w:noProof/>
              </w:rPr>
              <w:t>Key Findings</w:t>
            </w:r>
            <w:r w:rsidR="00AF02FF">
              <w:rPr>
                <w:noProof/>
                <w:webHidden/>
              </w:rPr>
              <w:tab/>
            </w:r>
            <w:r w:rsidR="00AF02FF">
              <w:rPr>
                <w:noProof/>
                <w:webHidden/>
              </w:rPr>
              <w:fldChar w:fldCharType="begin"/>
            </w:r>
            <w:r w:rsidR="00AF02FF">
              <w:rPr>
                <w:noProof/>
                <w:webHidden/>
              </w:rPr>
              <w:instrText xml:space="preserve"> PAGEREF _Toc178173740 \h </w:instrText>
            </w:r>
            <w:r w:rsidR="00AF02FF">
              <w:rPr>
                <w:noProof/>
                <w:webHidden/>
              </w:rPr>
            </w:r>
            <w:r w:rsidR="00AF02FF">
              <w:rPr>
                <w:noProof/>
                <w:webHidden/>
              </w:rPr>
              <w:fldChar w:fldCharType="separate"/>
            </w:r>
            <w:r w:rsidR="00AF02FF">
              <w:rPr>
                <w:noProof/>
                <w:webHidden/>
              </w:rPr>
              <w:t>47</w:t>
            </w:r>
            <w:r w:rsidR="00AF02FF">
              <w:rPr>
                <w:noProof/>
                <w:webHidden/>
              </w:rPr>
              <w:fldChar w:fldCharType="end"/>
            </w:r>
          </w:hyperlink>
        </w:p>
        <w:p w14:paraId="05767603" w14:textId="4CA5318A"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1" w:history="1">
            <w:r w:rsidR="00AF02FF" w:rsidRPr="00B936CC">
              <w:rPr>
                <w:rStyle w:val="Hyperlink"/>
                <w:rFonts w:cs="Arial"/>
                <w:noProof/>
              </w:rPr>
              <w:t>Overview of the regional skills system</w:t>
            </w:r>
            <w:r w:rsidR="00AF02FF">
              <w:rPr>
                <w:noProof/>
                <w:webHidden/>
              </w:rPr>
              <w:tab/>
            </w:r>
            <w:r w:rsidR="00AF02FF">
              <w:rPr>
                <w:noProof/>
                <w:webHidden/>
              </w:rPr>
              <w:fldChar w:fldCharType="begin"/>
            </w:r>
            <w:r w:rsidR="00AF02FF">
              <w:rPr>
                <w:noProof/>
                <w:webHidden/>
              </w:rPr>
              <w:instrText xml:space="preserve"> PAGEREF _Toc178173741 \h </w:instrText>
            </w:r>
            <w:r w:rsidR="00AF02FF">
              <w:rPr>
                <w:noProof/>
                <w:webHidden/>
              </w:rPr>
            </w:r>
            <w:r w:rsidR="00AF02FF">
              <w:rPr>
                <w:noProof/>
                <w:webHidden/>
              </w:rPr>
              <w:fldChar w:fldCharType="separate"/>
            </w:r>
            <w:r w:rsidR="00AF02FF">
              <w:rPr>
                <w:noProof/>
                <w:webHidden/>
              </w:rPr>
              <w:t>48</w:t>
            </w:r>
            <w:r w:rsidR="00AF02FF">
              <w:rPr>
                <w:noProof/>
                <w:webHidden/>
              </w:rPr>
              <w:fldChar w:fldCharType="end"/>
            </w:r>
          </w:hyperlink>
        </w:p>
        <w:p w14:paraId="2C99F6C8" w14:textId="4A2E29A9"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2" w:history="1">
            <w:r w:rsidR="00AF02FF" w:rsidRPr="00B936CC">
              <w:rPr>
                <w:rStyle w:val="Hyperlink"/>
                <w:rFonts w:cs="Arial"/>
                <w:noProof/>
              </w:rPr>
              <w:t>Educational attainment</w:t>
            </w:r>
            <w:r w:rsidR="00AF02FF">
              <w:rPr>
                <w:noProof/>
                <w:webHidden/>
              </w:rPr>
              <w:tab/>
            </w:r>
            <w:r w:rsidR="00AF02FF">
              <w:rPr>
                <w:noProof/>
                <w:webHidden/>
              </w:rPr>
              <w:fldChar w:fldCharType="begin"/>
            </w:r>
            <w:r w:rsidR="00AF02FF">
              <w:rPr>
                <w:noProof/>
                <w:webHidden/>
              </w:rPr>
              <w:instrText xml:space="preserve"> PAGEREF _Toc178173742 \h </w:instrText>
            </w:r>
            <w:r w:rsidR="00AF02FF">
              <w:rPr>
                <w:noProof/>
                <w:webHidden/>
              </w:rPr>
            </w:r>
            <w:r w:rsidR="00AF02FF">
              <w:rPr>
                <w:noProof/>
                <w:webHidden/>
              </w:rPr>
              <w:fldChar w:fldCharType="separate"/>
            </w:r>
            <w:r w:rsidR="00AF02FF">
              <w:rPr>
                <w:noProof/>
                <w:webHidden/>
              </w:rPr>
              <w:t>48</w:t>
            </w:r>
            <w:r w:rsidR="00AF02FF">
              <w:rPr>
                <w:noProof/>
                <w:webHidden/>
              </w:rPr>
              <w:fldChar w:fldCharType="end"/>
            </w:r>
          </w:hyperlink>
        </w:p>
        <w:p w14:paraId="299D1825" w14:textId="06065E59"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3" w:history="1">
            <w:r w:rsidR="00AF02FF" w:rsidRPr="00B936CC">
              <w:rPr>
                <w:rStyle w:val="Hyperlink"/>
                <w:noProof/>
              </w:rPr>
              <w:t>Performance of the regional higher education system</w:t>
            </w:r>
            <w:r w:rsidR="00AF02FF">
              <w:rPr>
                <w:noProof/>
                <w:webHidden/>
              </w:rPr>
              <w:tab/>
            </w:r>
            <w:r w:rsidR="00AF02FF">
              <w:rPr>
                <w:noProof/>
                <w:webHidden/>
              </w:rPr>
              <w:fldChar w:fldCharType="begin"/>
            </w:r>
            <w:r w:rsidR="00AF02FF">
              <w:rPr>
                <w:noProof/>
                <w:webHidden/>
              </w:rPr>
              <w:instrText xml:space="preserve"> PAGEREF _Toc178173743 \h </w:instrText>
            </w:r>
            <w:r w:rsidR="00AF02FF">
              <w:rPr>
                <w:noProof/>
                <w:webHidden/>
              </w:rPr>
            </w:r>
            <w:r w:rsidR="00AF02FF">
              <w:rPr>
                <w:noProof/>
                <w:webHidden/>
              </w:rPr>
              <w:fldChar w:fldCharType="separate"/>
            </w:r>
            <w:r w:rsidR="00AF02FF">
              <w:rPr>
                <w:noProof/>
                <w:webHidden/>
              </w:rPr>
              <w:t>51</w:t>
            </w:r>
            <w:r w:rsidR="00AF02FF">
              <w:rPr>
                <w:noProof/>
                <w:webHidden/>
              </w:rPr>
              <w:fldChar w:fldCharType="end"/>
            </w:r>
          </w:hyperlink>
        </w:p>
        <w:p w14:paraId="0AB413D8" w14:textId="4E83D226"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4" w:history="1">
            <w:r w:rsidR="00AF02FF" w:rsidRPr="00B936CC">
              <w:rPr>
                <w:rStyle w:val="Hyperlink"/>
                <w:rFonts w:asciiTheme="majorHAnsi" w:hAnsiTheme="majorHAnsi" w:cstheme="majorHAnsi"/>
                <w:noProof/>
              </w:rPr>
              <w:t>Performance of the regional VET system</w:t>
            </w:r>
            <w:r w:rsidR="00AF02FF">
              <w:rPr>
                <w:noProof/>
                <w:webHidden/>
              </w:rPr>
              <w:tab/>
            </w:r>
            <w:r w:rsidR="00AF02FF">
              <w:rPr>
                <w:noProof/>
                <w:webHidden/>
              </w:rPr>
              <w:fldChar w:fldCharType="begin"/>
            </w:r>
            <w:r w:rsidR="00AF02FF">
              <w:rPr>
                <w:noProof/>
                <w:webHidden/>
              </w:rPr>
              <w:instrText xml:space="preserve"> PAGEREF _Toc178173744 \h </w:instrText>
            </w:r>
            <w:r w:rsidR="00AF02FF">
              <w:rPr>
                <w:noProof/>
                <w:webHidden/>
              </w:rPr>
            </w:r>
            <w:r w:rsidR="00AF02FF">
              <w:rPr>
                <w:noProof/>
                <w:webHidden/>
              </w:rPr>
              <w:fldChar w:fldCharType="separate"/>
            </w:r>
            <w:r w:rsidR="00AF02FF">
              <w:rPr>
                <w:noProof/>
                <w:webHidden/>
              </w:rPr>
              <w:t>65</w:t>
            </w:r>
            <w:r w:rsidR="00AF02FF">
              <w:rPr>
                <w:noProof/>
                <w:webHidden/>
              </w:rPr>
              <w:fldChar w:fldCharType="end"/>
            </w:r>
          </w:hyperlink>
        </w:p>
        <w:p w14:paraId="3969F520" w14:textId="46675320"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45" w:history="1">
            <w:r w:rsidR="00AF02FF" w:rsidRPr="00B936CC">
              <w:rPr>
                <w:rStyle w:val="Hyperlink"/>
                <w:noProof/>
              </w:rPr>
              <w:t>Case Study: Mid North Coast NSW Employment Region</w:t>
            </w:r>
            <w:r w:rsidR="00AF02FF">
              <w:rPr>
                <w:noProof/>
                <w:webHidden/>
              </w:rPr>
              <w:tab/>
            </w:r>
            <w:r w:rsidR="00AF02FF">
              <w:rPr>
                <w:noProof/>
                <w:webHidden/>
              </w:rPr>
              <w:fldChar w:fldCharType="begin"/>
            </w:r>
            <w:r w:rsidR="00AF02FF">
              <w:rPr>
                <w:noProof/>
                <w:webHidden/>
              </w:rPr>
              <w:instrText xml:space="preserve"> PAGEREF _Toc178173745 \h </w:instrText>
            </w:r>
            <w:r w:rsidR="00AF02FF">
              <w:rPr>
                <w:noProof/>
                <w:webHidden/>
              </w:rPr>
            </w:r>
            <w:r w:rsidR="00AF02FF">
              <w:rPr>
                <w:noProof/>
                <w:webHidden/>
              </w:rPr>
              <w:fldChar w:fldCharType="separate"/>
            </w:r>
            <w:r w:rsidR="00AF02FF">
              <w:rPr>
                <w:noProof/>
                <w:webHidden/>
              </w:rPr>
              <w:t>77</w:t>
            </w:r>
            <w:r w:rsidR="00AF02FF">
              <w:rPr>
                <w:noProof/>
                <w:webHidden/>
              </w:rPr>
              <w:fldChar w:fldCharType="end"/>
            </w:r>
          </w:hyperlink>
        </w:p>
        <w:p w14:paraId="30ED942F" w14:textId="118CADC9"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6" w:history="1">
            <w:r w:rsidR="00AF02FF" w:rsidRPr="00B936CC">
              <w:rPr>
                <w:rStyle w:val="Hyperlink"/>
                <w:rFonts w:cstheme="minorHAnsi"/>
                <w:noProof/>
              </w:rPr>
              <w:t>Key Findings</w:t>
            </w:r>
            <w:r w:rsidR="00AF02FF">
              <w:rPr>
                <w:noProof/>
                <w:webHidden/>
              </w:rPr>
              <w:tab/>
            </w:r>
            <w:r w:rsidR="00AF02FF">
              <w:rPr>
                <w:noProof/>
                <w:webHidden/>
              </w:rPr>
              <w:fldChar w:fldCharType="begin"/>
            </w:r>
            <w:r w:rsidR="00AF02FF">
              <w:rPr>
                <w:noProof/>
                <w:webHidden/>
              </w:rPr>
              <w:instrText xml:space="preserve"> PAGEREF _Toc178173746 \h </w:instrText>
            </w:r>
            <w:r w:rsidR="00AF02FF">
              <w:rPr>
                <w:noProof/>
                <w:webHidden/>
              </w:rPr>
            </w:r>
            <w:r w:rsidR="00AF02FF">
              <w:rPr>
                <w:noProof/>
                <w:webHidden/>
              </w:rPr>
              <w:fldChar w:fldCharType="separate"/>
            </w:r>
            <w:r w:rsidR="00AF02FF">
              <w:rPr>
                <w:noProof/>
                <w:webHidden/>
              </w:rPr>
              <w:t>77</w:t>
            </w:r>
            <w:r w:rsidR="00AF02FF">
              <w:rPr>
                <w:noProof/>
                <w:webHidden/>
              </w:rPr>
              <w:fldChar w:fldCharType="end"/>
            </w:r>
          </w:hyperlink>
        </w:p>
        <w:p w14:paraId="255A9476" w14:textId="2B57BFE4"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7" w:history="1">
            <w:r w:rsidR="00AF02FF" w:rsidRPr="00B936CC">
              <w:rPr>
                <w:rStyle w:val="Hyperlink"/>
                <w:noProof/>
              </w:rPr>
              <w:t>Introduction</w:t>
            </w:r>
            <w:r w:rsidR="00AF02FF">
              <w:rPr>
                <w:noProof/>
                <w:webHidden/>
              </w:rPr>
              <w:tab/>
            </w:r>
            <w:r w:rsidR="00AF02FF">
              <w:rPr>
                <w:noProof/>
                <w:webHidden/>
              </w:rPr>
              <w:fldChar w:fldCharType="begin"/>
            </w:r>
            <w:r w:rsidR="00AF02FF">
              <w:rPr>
                <w:noProof/>
                <w:webHidden/>
              </w:rPr>
              <w:instrText xml:space="preserve"> PAGEREF _Toc178173747 \h </w:instrText>
            </w:r>
            <w:r w:rsidR="00AF02FF">
              <w:rPr>
                <w:noProof/>
                <w:webHidden/>
              </w:rPr>
            </w:r>
            <w:r w:rsidR="00AF02FF">
              <w:rPr>
                <w:noProof/>
                <w:webHidden/>
              </w:rPr>
              <w:fldChar w:fldCharType="separate"/>
            </w:r>
            <w:r w:rsidR="00AF02FF">
              <w:rPr>
                <w:noProof/>
                <w:webHidden/>
              </w:rPr>
              <w:t>78</w:t>
            </w:r>
            <w:r w:rsidR="00AF02FF">
              <w:rPr>
                <w:noProof/>
                <w:webHidden/>
              </w:rPr>
              <w:fldChar w:fldCharType="end"/>
            </w:r>
          </w:hyperlink>
        </w:p>
        <w:p w14:paraId="1EFE2DFD" w14:textId="55623A8E"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8" w:history="1">
            <w:r w:rsidR="00AF02FF" w:rsidRPr="00B936CC">
              <w:rPr>
                <w:rStyle w:val="Hyperlink"/>
                <w:noProof/>
              </w:rPr>
              <w:t>Local labour market conditions</w:t>
            </w:r>
            <w:r w:rsidR="00AF02FF">
              <w:rPr>
                <w:noProof/>
                <w:webHidden/>
              </w:rPr>
              <w:tab/>
            </w:r>
            <w:r w:rsidR="00AF02FF">
              <w:rPr>
                <w:noProof/>
                <w:webHidden/>
              </w:rPr>
              <w:fldChar w:fldCharType="begin"/>
            </w:r>
            <w:r w:rsidR="00AF02FF">
              <w:rPr>
                <w:noProof/>
                <w:webHidden/>
              </w:rPr>
              <w:instrText xml:space="preserve"> PAGEREF _Toc178173748 \h </w:instrText>
            </w:r>
            <w:r w:rsidR="00AF02FF">
              <w:rPr>
                <w:noProof/>
                <w:webHidden/>
              </w:rPr>
            </w:r>
            <w:r w:rsidR="00AF02FF">
              <w:rPr>
                <w:noProof/>
                <w:webHidden/>
              </w:rPr>
              <w:fldChar w:fldCharType="separate"/>
            </w:r>
            <w:r w:rsidR="00AF02FF">
              <w:rPr>
                <w:noProof/>
                <w:webHidden/>
              </w:rPr>
              <w:t>78</w:t>
            </w:r>
            <w:r w:rsidR="00AF02FF">
              <w:rPr>
                <w:noProof/>
                <w:webHidden/>
              </w:rPr>
              <w:fldChar w:fldCharType="end"/>
            </w:r>
          </w:hyperlink>
        </w:p>
        <w:p w14:paraId="18370274" w14:textId="13BE609B"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49" w:history="1">
            <w:r w:rsidR="00AF02FF" w:rsidRPr="00B936CC">
              <w:rPr>
                <w:rStyle w:val="Hyperlink"/>
                <w:rFonts w:asciiTheme="majorHAnsi" w:eastAsia="Arial" w:hAnsiTheme="majorHAnsi" w:cstheme="majorHAnsi"/>
                <w:bCs/>
                <w:noProof/>
              </w:rPr>
              <w:t>Demographic trends and the local labour market</w:t>
            </w:r>
            <w:r w:rsidR="00AF02FF">
              <w:rPr>
                <w:noProof/>
                <w:webHidden/>
              </w:rPr>
              <w:tab/>
            </w:r>
            <w:r w:rsidR="00AF02FF">
              <w:rPr>
                <w:noProof/>
                <w:webHidden/>
              </w:rPr>
              <w:fldChar w:fldCharType="begin"/>
            </w:r>
            <w:r w:rsidR="00AF02FF">
              <w:rPr>
                <w:noProof/>
                <w:webHidden/>
              </w:rPr>
              <w:instrText xml:space="preserve"> PAGEREF _Toc178173749 \h </w:instrText>
            </w:r>
            <w:r w:rsidR="00AF02FF">
              <w:rPr>
                <w:noProof/>
                <w:webHidden/>
              </w:rPr>
            </w:r>
            <w:r w:rsidR="00AF02FF">
              <w:rPr>
                <w:noProof/>
                <w:webHidden/>
              </w:rPr>
              <w:fldChar w:fldCharType="separate"/>
            </w:r>
            <w:r w:rsidR="00AF02FF">
              <w:rPr>
                <w:noProof/>
                <w:webHidden/>
              </w:rPr>
              <w:t>80</w:t>
            </w:r>
            <w:r w:rsidR="00AF02FF">
              <w:rPr>
                <w:noProof/>
                <w:webHidden/>
              </w:rPr>
              <w:fldChar w:fldCharType="end"/>
            </w:r>
          </w:hyperlink>
        </w:p>
        <w:p w14:paraId="1165D0D2" w14:textId="3B3A8259"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50" w:history="1">
            <w:r w:rsidR="00AF02FF" w:rsidRPr="00B936CC">
              <w:rPr>
                <w:rStyle w:val="Hyperlink"/>
                <w:rFonts w:asciiTheme="majorHAnsi" w:eastAsia="Arial" w:hAnsiTheme="majorHAnsi" w:cstheme="majorHAnsi"/>
                <w:bCs/>
                <w:noProof/>
              </w:rPr>
              <w:t>The region’s health and care sector</w:t>
            </w:r>
            <w:r w:rsidR="00AF02FF">
              <w:rPr>
                <w:noProof/>
                <w:webHidden/>
              </w:rPr>
              <w:tab/>
            </w:r>
            <w:r w:rsidR="00AF02FF">
              <w:rPr>
                <w:noProof/>
                <w:webHidden/>
              </w:rPr>
              <w:fldChar w:fldCharType="begin"/>
            </w:r>
            <w:r w:rsidR="00AF02FF">
              <w:rPr>
                <w:noProof/>
                <w:webHidden/>
              </w:rPr>
              <w:instrText xml:space="preserve"> PAGEREF _Toc178173750 \h </w:instrText>
            </w:r>
            <w:r w:rsidR="00AF02FF">
              <w:rPr>
                <w:noProof/>
                <w:webHidden/>
              </w:rPr>
            </w:r>
            <w:r w:rsidR="00AF02FF">
              <w:rPr>
                <w:noProof/>
                <w:webHidden/>
              </w:rPr>
              <w:fldChar w:fldCharType="separate"/>
            </w:r>
            <w:r w:rsidR="00AF02FF">
              <w:rPr>
                <w:noProof/>
                <w:webHidden/>
              </w:rPr>
              <w:t>81</w:t>
            </w:r>
            <w:r w:rsidR="00AF02FF">
              <w:rPr>
                <w:noProof/>
                <w:webHidden/>
              </w:rPr>
              <w:fldChar w:fldCharType="end"/>
            </w:r>
          </w:hyperlink>
        </w:p>
        <w:p w14:paraId="0A08B001" w14:textId="58E5A68D"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51" w:history="1">
            <w:r w:rsidR="00AF02FF" w:rsidRPr="00B936CC">
              <w:rPr>
                <w:rStyle w:val="Hyperlink"/>
                <w:rFonts w:asciiTheme="majorHAnsi" w:eastAsia="Arial" w:hAnsiTheme="majorHAnsi" w:cstheme="majorHAnsi"/>
                <w:bCs/>
                <w:noProof/>
              </w:rPr>
              <w:t>Performance of the region’s Vocational Education and Training (VET) system</w:t>
            </w:r>
            <w:r w:rsidR="00AF02FF">
              <w:rPr>
                <w:noProof/>
                <w:webHidden/>
              </w:rPr>
              <w:tab/>
            </w:r>
            <w:r w:rsidR="00AF02FF">
              <w:rPr>
                <w:noProof/>
                <w:webHidden/>
              </w:rPr>
              <w:fldChar w:fldCharType="begin"/>
            </w:r>
            <w:r w:rsidR="00AF02FF">
              <w:rPr>
                <w:noProof/>
                <w:webHidden/>
              </w:rPr>
              <w:instrText xml:space="preserve"> PAGEREF _Toc178173751 \h </w:instrText>
            </w:r>
            <w:r w:rsidR="00AF02FF">
              <w:rPr>
                <w:noProof/>
                <w:webHidden/>
              </w:rPr>
            </w:r>
            <w:r w:rsidR="00AF02FF">
              <w:rPr>
                <w:noProof/>
                <w:webHidden/>
              </w:rPr>
              <w:fldChar w:fldCharType="separate"/>
            </w:r>
            <w:r w:rsidR="00AF02FF">
              <w:rPr>
                <w:noProof/>
                <w:webHidden/>
              </w:rPr>
              <w:t>84</w:t>
            </w:r>
            <w:r w:rsidR="00AF02FF">
              <w:rPr>
                <w:noProof/>
                <w:webHidden/>
              </w:rPr>
              <w:fldChar w:fldCharType="end"/>
            </w:r>
          </w:hyperlink>
        </w:p>
        <w:p w14:paraId="0A54D42F" w14:textId="6C8D1B16" w:rsidR="00AF02FF" w:rsidRDefault="00D73E8B">
          <w:pPr>
            <w:pStyle w:val="TOC2"/>
            <w:tabs>
              <w:tab w:val="right" w:leader="dot" w:pos="9016"/>
            </w:tabs>
            <w:rPr>
              <w:rFonts w:asciiTheme="minorHAnsi" w:eastAsiaTheme="minorEastAsia" w:hAnsiTheme="minorHAnsi"/>
              <w:noProof/>
              <w:kern w:val="2"/>
              <w:sz w:val="24"/>
              <w:szCs w:val="24"/>
              <w:lang w:eastAsia="en-AU"/>
              <w14:ligatures w14:val="standardContextual"/>
            </w:rPr>
          </w:pPr>
          <w:hyperlink w:anchor="_Toc178173752" w:history="1">
            <w:r w:rsidR="00AF02FF" w:rsidRPr="00B936CC">
              <w:rPr>
                <w:rStyle w:val="Hyperlink"/>
                <w:rFonts w:asciiTheme="majorHAnsi" w:eastAsia="Arial" w:hAnsiTheme="majorHAnsi" w:cstheme="majorHAnsi"/>
                <w:bCs/>
                <w:noProof/>
              </w:rPr>
              <w:t>Performance of the region’s Higher Education system</w:t>
            </w:r>
            <w:r w:rsidR="00AF02FF">
              <w:rPr>
                <w:noProof/>
                <w:webHidden/>
              </w:rPr>
              <w:tab/>
            </w:r>
            <w:r w:rsidR="00AF02FF">
              <w:rPr>
                <w:noProof/>
                <w:webHidden/>
              </w:rPr>
              <w:fldChar w:fldCharType="begin"/>
            </w:r>
            <w:r w:rsidR="00AF02FF">
              <w:rPr>
                <w:noProof/>
                <w:webHidden/>
              </w:rPr>
              <w:instrText xml:space="preserve"> PAGEREF _Toc178173752 \h </w:instrText>
            </w:r>
            <w:r w:rsidR="00AF02FF">
              <w:rPr>
                <w:noProof/>
                <w:webHidden/>
              </w:rPr>
            </w:r>
            <w:r w:rsidR="00AF02FF">
              <w:rPr>
                <w:noProof/>
                <w:webHidden/>
              </w:rPr>
              <w:fldChar w:fldCharType="separate"/>
            </w:r>
            <w:r w:rsidR="00AF02FF">
              <w:rPr>
                <w:noProof/>
                <w:webHidden/>
              </w:rPr>
              <w:t>87</w:t>
            </w:r>
            <w:r w:rsidR="00AF02FF">
              <w:rPr>
                <w:noProof/>
                <w:webHidden/>
              </w:rPr>
              <w:fldChar w:fldCharType="end"/>
            </w:r>
          </w:hyperlink>
        </w:p>
        <w:p w14:paraId="735CBCED" w14:textId="58E1CE9E"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53" w:history="1">
            <w:r w:rsidR="00AF02FF" w:rsidRPr="00B936CC">
              <w:rPr>
                <w:rStyle w:val="Hyperlink"/>
                <w:rFonts w:cstheme="minorHAnsi"/>
                <w:noProof/>
              </w:rPr>
              <w:t>Appendix A: Current Reform Processes Impacting the Regional Skills System</w:t>
            </w:r>
            <w:r w:rsidR="00AF02FF">
              <w:rPr>
                <w:noProof/>
                <w:webHidden/>
              </w:rPr>
              <w:tab/>
            </w:r>
            <w:r w:rsidR="00AF02FF">
              <w:rPr>
                <w:noProof/>
                <w:webHidden/>
              </w:rPr>
              <w:fldChar w:fldCharType="begin"/>
            </w:r>
            <w:r w:rsidR="00AF02FF">
              <w:rPr>
                <w:noProof/>
                <w:webHidden/>
              </w:rPr>
              <w:instrText xml:space="preserve"> PAGEREF _Toc178173753 \h </w:instrText>
            </w:r>
            <w:r w:rsidR="00AF02FF">
              <w:rPr>
                <w:noProof/>
                <w:webHidden/>
              </w:rPr>
            </w:r>
            <w:r w:rsidR="00AF02FF">
              <w:rPr>
                <w:noProof/>
                <w:webHidden/>
              </w:rPr>
              <w:fldChar w:fldCharType="separate"/>
            </w:r>
            <w:r w:rsidR="00AF02FF">
              <w:rPr>
                <w:noProof/>
                <w:webHidden/>
              </w:rPr>
              <w:t>90</w:t>
            </w:r>
            <w:r w:rsidR="00AF02FF">
              <w:rPr>
                <w:noProof/>
                <w:webHidden/>
              </w:rPr>
              <w:fldChar w:fldCharType="end"/>
            </w:r>
          </w:hyperlink>
        </w:p>
        <w:p w14:paraId="47C8D698" w14:textId="0FDBA1F5"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54" w:history="1">
            <w:r w:rsidR="00AF02FF" w:rsidRPr="00B936CC">
              <w:rPr>
                <w:rStyle w:val="Hyperlink"/>
                <w:rFonts w:cstheme="minorHAnsi"/>
                <w:noProof/>
              </w:rPr>
              <w:t>Appendix B: Regional Australia and defining regions</w:t>
            </w:r>
            <w:r w:rsidR="00AF02FF">
              <w:rPr>
                <w:noProof/>
                <w:webHidden/>
              </w:rPr>
              <w:tab/>
            </w:r>
            <w:r w:rsidR="00AF02FF">
              <w:rPr>
                <w:noProof/>
                <w:webHidden/>
              </w:rPr>
              <w:fldChar w:fldCharType="begin"/>
            </w:r>
            <w:r w:rsidR="00AF02FF">
              <w:rPr>
                <w:noProof/>
                <w:webHidden/>
              </w:rPr>
              <w:instrText xml:space="preserve"> PAGEREF _Toc178173754 \h </w:instrText>
            </w:r>
            <w:r w:rsidR="00AF02FF">
              <w:rPr>
                <w:noProof/>
                <w:webHidden/>
              </w:rPr>
            </w:r>
            <w:r w:rsidR="00AF02FF">
              <w:rPr>
                <w:noProof/>
                <w:webHidden/>
              </w:rPr>
              <w:fldChar w:fldCharType="separate"/>
            </w:r>
            <w:r w:rsidR="00AF02FF">
              <w:rPr>
                <w:noProof/>
                <w:webHidden/>
              </w:rPr>
              <w:t>97</w:t>
            </w:r>
            <w:r w:rsidR="00AF02FF">
              <w:rPr>
                <w:noProof/>
                <w:webHidden/>
              </w:rPr>
              <w:fldChar w:fldCharType="end"/>
            </w:r>
          </w:hyperlink>
        </w:p>
        <w:p w14:paraId="7EDD60DA" w14:textId="4B2FDA6A"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55" w:history="1">
            <w:r w:rsidR="00AF02FF" w:rsidRPr="00B936CC">
              <w:rPr>
                <w:rStyle w:val="Hyperlink"/>
                <w:rFonts w:cstheme="minorHAnsi"/>
                <w:noProof/>
              </w:rPr>
              <w:t>Appendix C: Regional Labour Market Indicator (RLMI) Explanatory Notes</w:t>
            </w:r>
            <w:r w:rsidR="00AF02FF">
              <w:rPr>
                <w:noProof/>
                <w:webHidden/>
              </w:rPr>
              <w:tab/>
            </w:r>
            <w:r w:rsidR="00AF02FF">
              <w:rPr>
                <w:noProof/>
                <w:webHidden/>
              </w:rPr>
              <w:fldChar w:fldCharType="begin"/>
            </w:r>
            <w:r w:rsidR="00AF02FF">
              <w:rPr>
                <w:noProof/>
                <w:webHidden/>
              </w:rPr>
              <w:instrText xml:space="preserve"> PAGEREF _Toc178173755 \h </w:instrText>
            </w:r>
            <w:r w:rsidR="00AF02FF">
              <w:rPr>
                <w:noProof/>
                <w:webHidden/>
              </w:rPr>
            </w:r>
            <w:r w:rsidR="00AF02FF">
              <w:rPr>
                <w:noProof/>
                <w:webHidden/>
              </w:rPr>
              <w:fldChar w:fldCharType="separate"/>
            </w:r>
            <w:r w:rsidR="00AF02FF">
              <w:rPr>
                <w:noProof/>
                <w:webHidden/>
              </w:rPr>
              <w:t>98</w:t>
            </w:r>
            <w:r w:rsidR="00AF02FF">
              <w:rPr>
                <w:noProof/>
                <w:webHidden/>
              </w:rPr>
              <w:fldChar w:fldCharType="end"/>
            </w:r>
          </w:hyperlink>
        </w:p>
        <w:p w14:paraId="0DD99105" w14:textId="5B512A6C" w:rsidR="00AF02FF" w:rsidRDefault="00D73E8B">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178173756" w:history="1">
            <w:r w:rsidR="00AF02FF" w:rsidRPr="00B936CC">
              <w:rPr>
                <w:rStyle w:val="Hyperlink"/>
                <w:rFonts w:asciiTheme="majorHAnsi" w:hAnsiTheme="majorHAnsi" w:cstheme="majorHAnsi"/>
                <w:noProof/>
              </w:rPr>
              <w:t xml:space="preserve">Appendix D: </w:t>
            </w:r>
            <w:r w:rsidR="00AF02FF" w:rsidRPr="00B936CC">
              <w:rPr>
                <w:rStyle w:val="Hyperlink"/>
                <w:rFonts w:cstheme="minorHAnsi"/>
                <w:noProof/>
              </w:rPr>
              <w:t xml:space="preserve">RLMI </w:t>
            </w:r>
            <w:r w:rsidR="00AF02FF" w:rsidRPr="00B936CC">
              <w:rPr>
                <w:rStyle w:val="Hyperlink"/>
                <w:rFonts w:asciiTheme="majorHAnsi" w:hAnsiTheme="majorHAnsi" w:cstheme="majorHAnsi"/>
                <w:noProof/>
              </w:rPr>
              <w:t>Ratings of Relative Labour Market Strength</w:t>
            </w:r>
            <w:r w:rsidR="00AF02FF">
              <w:rPr>
                <w:noProof/>
                <w:webHidden/>
              </w:rPr>
              <w:tab/>
            </w:r>
            <w:r w:rsidR="00AF02FF">
              <w:rPr>
                <w:noProof/>
                <w:webHidden/>
              </w:rPr>
              <w:fldChar w:fldCharType="begin"/>
            </w:r>
            <w:r w:rsidR="00AF02FF">
              <w:rPr>
                <w:noProof/>
                <w:webHidden/>
              </w:rPr>
              <w:instrText xml:space="preserve"> PAGEREF _Toc178173756 \h </w:instrText>
            </w:r>
            <w:r w:rsidR="00AF02FF">
              <w:rPr>
                <w:noProof/>
                <w:webHidden/>
              </w:rPr>
            </w:r>
            <w:r w:rsidR="00AF02FF">
              <w:rPr>
                <w:noProof/>
                <w:webHidden/>
              </w:rPr>
              <w:fldChar w:fldCharType="separate"/>
            </w:r>
            <w:r w:rsidR="00AF02FF">
              <w:rPr>
                <w:noProof/>
                <w:webHidden/>
              </w:rPr>
              <w:t>100</w:t>
            </w:r>
            <w:r w:rsidR="00AF02FF">
              <w:rPr>
                <w:noProof/>
                <w:webHidden/>
              </w:rPr>
              <w:fldChar w:fldCharType="end"/>
            </w:r>
          </w:hyperlink>
        </w:p>
        <w:p w14:paraId="0E27FD86" w14:textId="6E9D302D" w:rsidR="00526D25" w:rsidRPr="00E54B8C" w:rsidRDefault="007E2211" w:rsidP="00D71AF1">
          <w:r>
            <w:rPr>
              <w:rFonts w:asciiTheme="minorHAnsi" w:hAnsiTheme="minorHAnsi" w:cstheme="minorHAnsi"/>
            </w:rPr>
            <w:fldChar w:fldCharType="end"/>
          </w:r>
        </w:p>
      </w:sdtContent>
    </w:sdt>
    <w:p w14:paraId="2FF40F58" w14:textId="4437434E" w:rsidR="00C07602" w:rsidRPr="00E112BE" w:rsidRDefault="008E6F04" w:rsidP="00F75DBA">
      <w:pPr>
        <w:pStyle w:val="Heading1"/>
        <w:rPr>
          <w:rFonts w:asciiTheme="minorHAnsi" w:hAnsiTheme="minorHAnsi" w:cstheme="minorHAnsi"/>
        </w:rPr>
      </w:pPr>
      <w:bookmarkStart w:id="7" w:name="_Toc178173723"/>
      <w:r w:rsidRPr="008E6F04">
        <w:rPr>
          <w:rFonts w:asciiTheme="minorHAnsi" w:hAnsiTheme="minorHAnsi" w:cstheme="minorHAnsi"/>
        </w:rPr>
        <w:t>Executive Summary</w:t>
      </w:r>
      <w:bookmarkEnd w:id="6"/>
      <w:bookmarkEnd w:id="7"/>
    </w:p>
    <w:p w14:paraId="217544DE" w14:textId="55A8D17F" w:rsidR="00E352BE" w:rsidRPr="00CA76EF" w:rsidRDefault="00E352BE" w:rsidP="00297C3B">
      <w:pPr>
        <w:rPr>
          <w:rFonts w:asciiTheme="majorHAnsi" w:eastAsia="Arial" w:hAnsiTheme="majorHAnsi" w:cstheme="majorHAnsi"/>
        </w:rPr>
      </w:pPr>
      <w:r w:rsidRPr="00CA76EF">
        <w:t xml:space="preserve">The 2023 Annual Jobs and Skills Report, </w:t>
      </w:r>
      <w:r w:rsidRPr="00E578E6">
        <w:rPr>
          <w:rStyle w:val="Emphasis"/>
        </w:rPr>
        <w:t>Towards a National Jobs and Skills Roadmap</w:t>
      </w:r>
      <w:r w:rsidRPr="00CA76EF">
        <w:rPr>
          <w:rFonts w:asciiTheme="majorHAnsi" w:eastAsia="Arial" w:hAnsiTheme="majorHAnsi" w:cstheme="majorHAnsi"/>
        </w:rPr>
        <w:t>, laid the foundations for 14 roadmap opportunities, of which the development of a Regional Jobs and Skills Roadmap was one</w:t>
      </w:r>
      <w:r w:rsidR="003317AF">
        <w:rPr>
          <w:rFonts w:asciiTheme="majorHAnsi" w:eastAsia="Arial" w:hAnsiTheme="majorHAnsi" w:cstheme="majorHAnsi"/>
        </w:rPr>
        <w:t>.</w:t>
      </w:r>
      <w:r w:rsidR="00A265C4">
        <w:rPr>
          <w:rStyle w:val="FootnoteReference"/>
          <w:rFonts w:asciiTheme="majorHAnsi" w:eastAsia="Arial" w:hAnsiTheme="majorHAnsi" w:cstheme="majorHAnsi"/>
        </w:rPr>
        <w:footnoteReference w:id="2"/>
      </w:r>
    </w:p>
    <w:p w14:paraId="2ADFC6A7" w14:textId="77777777" w:rsidR="00E352BE" w:rsidRPr="00CC4067" w:rsidRDefault="00E352BE" w:rsidP="000775B3">
      <w:pPr>
        <w:ind w:left="720"/>
        <w:rPr>
          <w:rStyle w:val="Emphasis"/>
        </w:rPr>
      </w:pPr>
      <w:r w:rsidRPr="00CC4067">
        <w:rPr>
          <w:rStyle w:val="Emphasis"/>
        </w:rPr>
        <w:t>“To develop a regional Australia jobs and skills roadmap to identify the key steps in enhancing regional Australia’s human capital in ways that will ensure success in meeting regional employment opportunities”.</w:t>
      </w:r>
    </w:p>
    <w:p w14:paraId="2AC4BF4C" w14:textId="3AB37643" w:rsidR="00E352BE" w:rsidRPr="00E352BE" w:rsidRDefault="007457AC" w:rsidP="00297C3B">
      <w:pPr>
        <w:rPr>
          <w:rFonts w:asciiTheme="minorHAnsi" w:eastAsia="Times New Roman" w:hAnsiTheme="minorHAnsi" w:cstheme="minorHAnsi"/>
        </w:rPr>
      </w:pPr>
      <w:r>
        <w:rPr>
          <w:rFonts w:asciiTheme="minorHAnsi" w:eastAsia="Times New Roman" w:hAnsiTheme="minorHAnsi" w:cstheme="minorHAnsi"/>
        </w:rPr>
        <w:t>Jobs and Skills Australia (</w:t>
      </w:r>
      <w:r w:rsidR="00E352BE" w:rsidRPr="00E352BE">
        <w:rPr>
          <w:rFonts w:asciiTheme="minorHAnsi" w:eastAsia="Times New Roman" w:hAnsiTheme="minorHAnsi" w:cstheme="minorHAnsi"/>
        </w:rPr>
        <w:t>JSA</w:t>
      </w:r>
      <w:r>
        <w:rPr>
          <w:rFonts w:asciiTheme="minorHAnsi" w:eastAsia="Times New Roman" w:hAnsiTheme="minorHAnsi" w:cstheme="minorHAnsi"/>
        </w:rPr>
        <w:t>)</w:t>
      </w:r>
      <w:r w:rsidR="00E352BE" w:rsidRPr="00E352BE">
        <w:rPr>
          <w:rFonts w:asciiTheme="minorHAnsi" w:eastAsia="Times New Roman" w:hAnsiTheme="minorHAnsi" w:cstheme="minorHAnsi"/>
        </w:rPr>
        <w:t xml:space="preserve"> has commenced work on developing such a roadmap. This </w:t>
      </w:r>
      <w:r w:rsidR="006E62A1">
        <w:rPr>
          <w:rFonts w:asciiTheme="minorHAnsi" w:eastAsia="Times New Roman" w:hAnsiTheme="minorHAnsi" w:cstheme="minorHAnsi"/>
        </w:rPr>
        <w:t>i</w:t>
      </w:r>
      <w:r w:rsidR="00E352BE" w:rsidRPr="00E352BE">
        <w:rPr>
          <w:rFonts w:asciiTheme="minorHAnsi" w:eastAsia="Times New Roman" w:hAnsiTheme="minorHAnsi" w:cstheme="minorHAnsi"/>
        </w:rPr>
        <w:t>nterim report brings together and takes stock of a range of regional work undertaken by JSA</w:t>
      </w:r>
      <w:r w:rsidR="008B5FB9">
        <w:rPr>
          <w:rFonts w:asciiTheme="minorHAnsi" w:eastAsia="Times New Roman" w:hAnsiTheme="minorHAnsi" w:cstheme="minorHAnsi"/>
        </w:rPr>
        <w:t>. It</w:t>
      </w:r>
      <w:r w:rsidR="00E352BE" w:rsidRPr="00E352BE">
        <w:rPr>
          <w:rFonts w:asciiTheme="minorHAnsi" w:eastAsia="Times New Roman" w:hAnsiTheme="minorHAnsi" w:cstheme="minorHAnsi"/>
        </w:rPr>
        <w:t xml:space="preserve"> provides some initial insights into the pressures and drivers of regional labour market performance </w:t>
      </w:r>
      <w:r w:rsidR="00CC0EDA">
        <w:t>and</w:t>
      </w:r>
      <w:r w:rsidR="00D72F9B" w:rsidRPr="00803EBC">
        <w:t xml:space="preserve"> looks at </w:t>
      </w:r>
      <w:r w:rsidR="004518FE">
        <w:t>two</w:t>
      </w:r>
      <w:r w:rsidR="00D72F9B" w:rsidRPr="00803EBC">
        <w:t xml:space="preserve"> of the </w:t>
      </w:r>
      <w:r w:rsidR="004518FE">
        <w:t>three</w:t>
      </w:r>
      <w:r w:rsidR="00D72F9B" w:rsidRPr="00803EBC">
        <w:t xml:space="preserve"> key pillars of the national skills system, </w:t>
      </w:r>
      <w:r w:rsidR="00C0177D">
        <w:rPr>
          <w:rFonts w:asciiTheme="majorHAnsi" w:eastAsia="Arial" w:hAnsiTheme="majorHAnsi" w:cstheme="majorHAnsi"/>
        </w:rPr>
        <w:t>h</w:t>
      </w:r>
      <w:r w:rsidR="00D72F9B" w:rsidRPr="00803EBC">
        <w:rPr>
          <w:rFonts w:asciiTheme="majorHAnsi" w:eastAsia="Arial" w:hAnsiTheme="majorHAnsi" w:cstheme="majorHAnsi"/>
        </w:rPr>
        <w:t xml:space="preserve">igher </w:t>
      </w:r>
      <w:r w:rsidR="00C0177D">
        <w:rPr>
          <w:rFonts w:asciiTheme="majorHAnsi" w:eastAsia="Arial" w:hAnsiTheme="majorHAnsi" w:cstheme="majorHAnsi"/>
        </w:rPr>
        <w:t>e</w:t>
      </w:r>
      <w:r w:rsidR="00D72F9B" w:rsidRPr="00803EBC">
        <w:rPr>
          <w:rFonts w:asciiTheme="majorHAnsi" w:eastAsia="Arial" w:hAnsiTheme="majorHAnsi" w:cstheme="majorHAnsi"/>
        </w:rPr>
        <w:t xml:space="preserve">ducation and </w:t>
      </w:r>
      <w:r w:rsidR="00D72F9B">
        <w:rPr>
          <w:rFonts w:asciiTheme="majorHAnsi" w:eastAsia="Arial" w:hAnsiTheme="majorHAnsi" w:cstheme="majorHAnsi"/>
        </w:rPr>
        <w:t>VET</w:t>
      </w:r>
      <w:r w:rsidR="00C0177D">
        <w:rPr>
          <w:rFonts w:asciiTheme="majorHAnsi" w:eastAsia="Arial" w:hAnsiTheme="majorHAnsi" w:cstheme="majorHAnsi"/>
        </w:rPr>
        <w:t>,</w:t>
      </w:r>
      <w:r w:rsidR="00D72F9B" w:rsidRPr="00CA76EF">
        <w:rPr>
          <w:rFonts w:asciiTheme="majorHAnsi" w:eastAsia="Arial" w:hAnsiTheme="majorHAnsi" w:cstheme="majorHAnsi"/>
        </w:rPr>
        <w:t xml:space="preserve"> to assess </w:t>
      </w:r>
      <w:r w:rsidR="00AD2B67">
        <w:rPr>
          <w:rFonts w:asciiTheme="majorHAnsi" w:eastAsia="Arial" w:hAnsiTheme="majorHAnsi" w:cstheme="majorHAnsi"/>
        </w:rPr>
        <w:t xml:space="preserve">if </w:t>
      </w:r>
      <w:r w:rsidR="00D07DCB">
        <w:rPr>
          <w:rFonts w:asciiTheme="majorHAnsi" w:eastAsia="Arial" w:hAnsiTheme="majorHAnsi" w:cstheme="majorHAnsi"/>
        </w:rPr>
        <w:t xml:space="preserve">the regional skills system is making </w:t>
      </w:r>
      <w:r w:rsidR="00AD2B67">
        <w:rPr>
          <w:rFonts w:asciiTheme="majorHAnsi" w:eastAsia="Arial" w:hAnsiTheme="majorHAnsi" w:cstheme="majorHAnsi"/>
        </w:rPr>
        <w:t>effective</w:t>
      </w:r>
      <w:r w:rsidR="00C403DB">
        <w:rPr>
          <w:rFonts w:asciiTheme="majorHAnsi" w:eastAsia="Arial" w:hAnsiTheme="majorHAnsi" w:cstheme="majorHAnsi"/>
        </w:rPr>
        <w:t xml:space="preserve"> connections and pathways </w:t>
      </w:r>
      <w:r w:rsidR="00D07DCB">
        <w:rPr>
          <w:rFonts w:asciiTheme="majorHAnsi" w:eastAsia="Arial" w:hAnsiTheme="majorHAnsi" w:cstheme="majorHAnsi"/>
        </w:rPr>
        <w:t>to</w:t>
      </w:r>
      <w:r w:rsidR="00D72F9B" w:rsidRPr="00CA76EF">
        <w:rPr>
          <w:rFonts w:asciiTheme="majorHAnsi" w:eastAsia="Arial" w:hAnsiTheme="majorHAnsi" w:cstheme="majorHAnsi"/>
        </w:rPr>
        <w:t xml:space="preserve"> supply </w:t>
      </w:r>
      <w:r w:rsidR="00D07DCB">
        <w:rPr>
          <w:rFonts w:asciiTheme="majorHAnsi" w:eastAsia="Arial" w:hAnsiTheme="majorHAnsi" w:cstheme="majorHAnsi"/>
        </w:rPr>
        <w:t xml:space="preserve">the </w:t>
      </w:r>
      <w:r w:rsidR="00154991">
        <w:rPr>
          <w:rFonts w:asciiTheme="majorHAnsi" w:eastAsia="Arial" w:hAnsiTheme="majorHAnsi" w:cstheme="majorHAnsi"/>
        </w:rPr>
        <w:t xml:space="preserve">growing and changing skills demand </w:t>
      </w:r>
      <w:r w:rsidR="005D7E25">
        <w:rPr>
          <w:rFonts w:asciiTheme="majorHAnsi" w:eastAsia="Arial" w:hAnsiTheme="majorHAnsi" w:cstheme="majorHAnsi"/>
        </w:rPr>
        <w:t>of the future</w:t>
      </w:r>
      <w:r w:rsidR="00E352BE" w:rsidRPr="00E352BE">
        <w:rPr>
          <w:rFonts w:asciiTheme="minorHAnsi" w:eastAsia="Times New Roman" w:hAnsiTheme="minorHAnsi" w:cstheme="minorHAnsi"/>
        </w:rPr>
        <w:t>.</w:t>
      </w:r>
    </w:p>
    <w:p w14:paraId="5D9A8572" w14:textId="77777777" w:rsidR="00E352BE" w:rsidRPr="00FF5E97" w:rsidRDefault="00E352BE" w:rsidP="00905ECE">
      <w:pPr>
        <w:pStyle w:val="Heading2"/>
        <w:rPr>
          <w:rFonts w:asciiTheme="minorHAnsi" w:hAnsiTheme="minorHAnsi" w:cstheme="minorHAnsi"/>
        </w:rPr>
      </w:pPr>
      <w:bookmarkStart w:id="8" w:name="_Toc171937391"/>
      <w:bookmarkStart w:id="9" w:name="_Toc178173724"/>
      <w:r w:rsidRPr="00FF5E97">
        <w:rPr>
          <w:rFonts w:asciiTheme="minorHAnsi" w:hAnsiTheme="minorHAnsi" w:cstheme="minorHAnsi"/>
        </w:rPr>
        <w:t>Regional, Rural and Remote Australia: historical context</w:t>
      </w:r>
      <w:bookmarkEnd w:id="8"/>
      <w:bookmarkEnd w:id="9"/>
      <w:r w:rsidRPr="00FF5E97">
        <w:rPr>
          <w:rFonts w:asciiTheme="minorHAnsi" w:hAnsiTheme="minorHAnsi" w:cstheme="minorHAnsi"/>
        </w:rPr>
        <w:t xml:space="preserve">  </w:t>
      </w:r>
    </w:p>
    <w:p w14:paraId="36D68E0D" w14:textId="77777777" w:rsidR="00E352BE" w:rsidRPr="008B6A5F" w:rsidRDefault="00E352BE" w:rsidP="008B6A5F">
      <w:pPr>
        <w:pStyle w:val="Heading3"/>
        <w:rPr>
          <w:rFonts w:asciiTheme="minorHAnsi" w:hAnsiTheme="minorHAnsi" w:cstheme="minorHAnsi"/>
          <w:sz w:val="28"/>
          <w:szCs w:val="28"/>
        </w:rPr>
      </w:pPr>
      <w:bookmarkStart w:id="10" w:name="_Toc171937392"/>
      <w:r w:rsidRPr="008B6A5F">
        <w:rPr>
          <w:rFonts w:asciiTheme="minorHAnsi" w:hAnsiTheme="minorHAnsi" w:cstheme="minorHAnsi"/>
        </w:rPr>
        <w:t>A highly urbanised country creates challenges for regional, rural and remote Australia</w:t>
      </w:r>
      <w:bookmarkEnd w:id="10"/>
    </w:p>
    <w:p w14:paraId="0586C8FC" w14:textId="216967D5" w:rsidR="00E352BE" w:rsidRPr="00E352BE" w:rsidRDefault="00E352BE" w:rsidP="00297C3B">
      <w:pPr>
        <w:rPr>
          <w:rFonts w:asciiTheme="minorHAnsi" w:eastAsia="Times New Roman" w:hAnsiTheme="minorHAnsi" w:cstheme="minorHAnsi"/>
        </w:rPr>
      </w:pPr>
      <w:r w:rsidRPr="00E352BE">
        <w:t xml:space="preserve">From </w:t>
      </w:r>
      <w:r w:rsidRPr="00E352BE">
        <w:rPr>
          <w:rFonts w:asciiTheme="minorHAnsi" w:eastAsia="Times New Roman" w:hAnsiTheme="minorHAnsi" w:cstheme="minorHAnsi"/>
        </w:rPr>
        <w:t>Federation until just prior to the COVID</w:t>
      </w:r>
      <w:r w:rsidR="0054454E">
        <w:rPr>
          <w:rFonts w:asciiTheme="minorHAnsi" w:eastAsia="Times New Roman" w:hAnsiTheme="minorHAnsi" w:cstheme="minorHAnsi"/>
        </w:rPr>
        <w:t>-</w:t>
      </w:r>
      <w:r w:rsidRPr="00E352BE">
        <w:rPr>
          <w:rFonts w:asciiTheme="minorHAnsi" w:eastAsia="Times New Roman" w:hAnsiTheme="minorHAnsi" w:cstheme="minorHAnsi"/>
        </w:rPr>
        <w:t xml:space="preserve">19 pandemic, Australia </w:t>
      </w:r>
      <w:r w:rsidR="001B4597">
        <w:rPr>
          <w:rFonts w:asciiTheme="minorHAnsi" w:eastAsia="Times New Roman" w:hAnsiTheme="minorHAnsi" w:cstheme="minorHAnsi"/>
        </w:rPr>
        <w:t xml:space="preserve">has </w:t>
      </w:r>
      <w:r w:rsidRPr="00E352BE">
        <w:rPr>
          <w:rFonts w:asciiTheme="minorHAnsi" w:eastAsia="Times New Roman" w:hAnsiTheme="minorHAnsi" w:cstheme="minorHAnsi"/>
        </w:rPr>
        <w:t>bec</w:t>
      </w:r>
      <w:r w:rsidR="001B4597">
        <w:rPr>
          <w:rFonts w:asciiTheme="minorHAnsi" w:eastAsia="Times New Roman" w:hAnsiTheme="minorHAnsi" w:cstheme="minorHAnsi"/>
        </w:rPr>
        <w:t>o</w:t>
      </w:r>
      <w:r w:rsidRPr="00E352BE">
        <w:rPr>
          <w:rFonts w:asciiTheme="minorHAnsi" w:eastAsia="Times New Roman" w:hAnsiTheme="minorHAnsi" w:cstheme="minorHAnsi"/>
        </w:rPr>
        <w:t>me an increasingly urbanised population</w:t>
      </w:r>
      <w:r w:rsidR="001B4597">
        <w:rPr>
          <w:rFonts w:asciiTheme="minorHAnsi" w:eastAsia="Times New Roman" w:hAnsiTheme="minorHAnsi" w:cstheme="minorHAnsi"/>
        </w:rPr>
        <w:t>,</w:t>
      </w:r>
      <w:r w:rsidRPr="00E352BE">
        <w:rPr>
          <w:rFonts w:asciiTheme="minorHAnsi" w:eastAsia="Times New Roman" w:hAnsiTheme="minorHAnsi" w:cstheme="minorHAnsi"/>
        </w:rPr>
        <w:t xml:space="preserve"> with the proportion of the population living in one of </w:t>
      </w:r>
      <w:r w:rsidR="001B4597">
        <w:rPr>
          <w:rFonts w:asciiTheme="minorHAnsi" w:eastAsia="Times New Roman" w:hAnsiTheme="minorHAnsi" w:cstheme="minorHAnsi"/>
        </w:rPr>
        <w:t>8</w:t>
      </w:r>
      <w:r w:rsidRPr="00E352BE">
        <w:rPr>
          <w:rFonts w:asciiTheme="minorHAnsi" w:eastAsia="Times New Roman" w:hAnsiTheme="minorHAnsi" w:cstheme="minorHAnsi"/>
        </w:rPr>
        <w:t xml:space="preserve"> capital cities</w:t>
      </w:r>
      <w:r w:rsidR="001B4597">
        <w:rPr>
          <w:rFonts w:asciiTheme="minorHAnsi" w:eastAsia="Times New Roman" w:hAnsiTheme="minorHAnsi" w:cstheme="minorHAnsi"/>
        </w:rPr>
        <w:t>,</w:t>
      </w:r>
      <w:r w:rsidRPr="00E352BE">
        <w:rPr>
          <w:rFonts w:asciiTheme="minorHAnsi" w:eastAsia="Times New Roman" w:hAnsiTheme="minorHAnsi" w:cstheme="minorHAnsi"/>
        </w:rPr>
        <w:t xml:space="preserve"> growing from under 35</w:t>
      </w:r>
      <w:r w:rsidR="001B4597">
        <w:rPr>
          <w:rFonts w:asciiTheme="minorHAnsi" w:eastAsia="Times New Roman" w:hAnsiTheme="minorHAnsi" w:cstheme="minorHAnsi"/>
        </w:rPr>
        <w:t>%</w:t>
      </w:r>
      <w:r w:rsidRPr="00E352BE">
        <w:rPr>
          <w:rFonts w:asciiTheme="minorHAnsi" w:eastAsia="Times New Roman" w:hAnsiTheme="minorHAnsi" w:cstheme="minorHAnsi"/>
        </w:rPr>
        <w:t xml:space="preserve"> to over 65</w:t>
      </w:r>
      <w:r w:rsidR="001B4597">
        <w:rPr>
          <w:rFonts w:asciiTheme="minorHAnsi" w:eastAsia="Times New Roman" w:hAnsiTheme="minorHAnsi" w:cstheme="minorHAnsi"/>
        </w:rPr>
        <w:t>%</w:t>
      </w:r>
      <w:r w:rsidR="00244771">
        <w:rPr>
          <w:rFonts w:asciiTheme="minorHAnsi" w:eastAsia="Times New Roman" w:hAnsiTheme="minorHAnsi" w:cstheme="minorHAnsi"/>
        </w:rPr>
        <w:t>.</w:t>
      </w:r>
      <w:r w:rsidR="00CA0AF1">
        <w:rPr>
          <w:rStyle w:val="FootnoteReference"/>
          <w:rFonts w:asciiTheme="minorHAnsi" w:eastAsia="Times New Roman" w:hAnsiTheme="minorHAnsi" w:cstheme="minorHAnsi"/>
        </w:rPr>
        <w:footnoteReference w:id="3"/>
      </w:r>
    </w:p>
    <w:p w14:paraId="0AC45824" w14:textId="6E3D43FC" w:rsidR="00E352BE" w:rsidRPr="00E352BE" w:rsidRDefault="00E352BE" w:rsidP="00297C3B">
      <w:pPr>
        <w:rPr>
          <w:rFonts w:asciiTheme="minorHAnsi" w:eastAsia="Times New Roman" w:hAnsiTheme="minorHAnsi" w:cstheme="minorHAnsi"/>
        </w:rPr>
      </w:pPr>
      <w:r w:rsidRPr="00E352BE">
        <w:t>In land mass</w:t>
      </w:r>
      <w:r w:rsidR="0054454E">
        <w:rPr>
          <w:rFonts w:asciiTheme="minorHAnsi" w:eastAsia="Times New Roman" w:hAnsiTheme="minorHAnsi" w:cstheme="minorHAnsi"/>
        </w:rPr>
        <w:t>,</w:t>
      </w:r>
      <w:r w:rsidRPr="00E352BE">
        <w:rPr>
          <w:rFonts w:asciiTheme="minorHAnsi" w:eastAsia="Times New Roman" w:hAnsiTheme="minorHAnsi" w:cstheme="minorHAnsi"/>
        </w:rPr>
        <w:t xml:space="preserve"> Australia is the sixth largest country in the world, with a relatively small population compared with other large countries, making for a huge dichotomy in population density between metropolitan and non-metropolitan Australia. </w:t>
      </w:r>
    </w:p>
    <w:p w14:paraId="2FDC1AFA" w14:textId="64E59B22" w:rsidR="00E352BE" w:rsidRPr="00E352BE" w:rsidRDefault="00E352BE" w:rsidP="00297C3B">
      <w:pPr>
        <w:rPr>
          <w:rFonts w:asciiTheme="minorHAnsi" w:eastAsia="Times New Roman" w:hAnsiTheme="minorHAnsi" w:cstheme="minorHAnsi"/>
        </w:rPr>
      </w:pPr>
      <w:r w:rsidRPr="00E352BE">
        <w:t xml:space="preserve">This creates big challenges to support the wellbeing of regional, rural and remote Australia. Of particular relevance to this report is that rural and remote labour markets tend to be weak and inefficient compared with the labour markets in cities. </w:t>
      </w:r>
    </w:p>
    <w:p w14:paraId="6B9D9298" w14:textId="23EA2786" w:rsidR="00E352BE" w:rsidRPr="008B6A5F" w:rsidRDefault="00E352BE" w:rsidP="008B6A5F">
      <w:pPr>
        <w:pStyle w:val="Heading3"/>
        <w:rPr>
          <w:rFonts w:asciiTheme="minorHAnsi" w:hAnsiTheme="minorHAnsi" w:cstheme="minorHAnsi"/>
        </w:rPr>
      </w:pPr>
      <w:bookmarkStart w:id="11" w:name="_Toc171937393"/>
      <w:r w:rsidRPr="008B6A5F">
        <w:rPr>
          <w:rFonts w:asciiTheme="minorHAnsi" w:hAnsiTheme="minorHAnsi" w:cstheme="minorHAnsi"/>
        </w:rPr>
        <w:t>Recent history: growth in the share of population in regional Australia</w:t>
      </w:r>
      <w:r w:rsidR="00270B5F" w:rsidRPr="008B6A5F">
        <w:rPr>
          <w:rFonts w:asciiTheme="minorHAnsi" w:hAnsiTheme="minorHAnsi" w:cstheme="minorHAnsi"/>
        </w:rPr>
        <w:t>,</w:t>
      </w:r>
      <w:r w:rsidRPr="008B6A5F">
        <w:rPr>
          <w:rFonts w:asciiTheme="minorHAnsi" w:hAnsiTheme="minorHAnsi" w:cstheme="minorHAnsi"/>
        </w:rPr>
        <w:t xml:space="preserve"> especially coastal regional centres</w:t>
      </w:r>
      <w:bookmarkEnd w:id="11"/>
      <w:r w:rsidRPr="008B6A5F">
        <w:rPr>
          <w:rFonts w:asciiTheme="minorHAnsi" w:hAnsiTheme="minorHAnsi" w:cstheme="minorHAnsi"/>
        </w:rPr>
        <w:t xml:space="preserve"> </w:t>
      </w:r>
    </w:p>
    <w:p w14:paraId="039BC270" w14:textId="2DA34E13" w:rsidR="00E352BE" w:rsidRPr="00E352BE" w:rsidRDefault="00E352BE" w:rsidP="00297C3B">
      <w:pPr>
        <w:rPr>
          <w:rFonts w:asciiTheme="minorHAnsi" w:eastAsia="Times New Roman" w:hAnsiTheme="minorHAnsi" w:cstheme="minorHAnsi"/>
        </w:rPr>
      </w:pPr>
      <w:r w:rsidRPr="00E352BE">
        <w:t xml:space="preserve">Just prior to the pandemic, population growth in the capital cities started to decline relative to the rest of Australia. This accelerated during the pandemic, with coastal regions continuing to enjoy strong population growth. While strong population growth in capital cities has been restored since the pandemic, especially due to immigration, and internal migration to regional Australia has eased slightly, </w:t>
      </w:r>
      <w:r w:rsidR="005E2477">
        <w:rPr>
          <w:rFonts w:asciiTheme="minorHAnsi" w:eastAsia="Times New Roman" w:hAnsiTheme="minorHAnsi" w:cstheme="minorHAnsi"/>
        </w:rPr>
        <w:t>there appears</w:t>
      </w:r>
      <w:r w:rsidRPr="00E352BE">
        <w:rPr>
          <w:rFonts w:asciiTheme="minorHAnsi" w:eastAsia="Times New Roman" w:hAnsiTheme="minorHAnsi" w:cstheme="minorHAnsi"/>
        </w:rPr>
        <w:t xml:space="preserve"> to have </w:t>
      </w:r>
      <w:r w:rsidR="005E2477">
        <w:rPr>
          <w:rFonts w:asciiTheme="minorHAnsi" w:eastAsia="Times New Roman" w:hAnsiTheme="minorHAnsi" w:cstheme="minorHAnsi"/>
        </w:rPr>
        <w:t>been</w:t>
      </w:r>
      <w:r w:rsidRPr="00E352BE">
        <w:rPr>
          <w:rFonts w:asciiTheme="minorHAnsi" w:eastAsia="Times New Roman" w:hAnsiTheme="minorHAnsi" w:cstheme="minorHAnsi"/>
        </w:rPr>
        <w:t xml:space="preserve"> a significant population shift especially to regional coastal cities that is outliving the pandemic.</w:t>
      </w:r>
    </w:p>
    <w:p w14:paraId="0F82A3D6" w14:textId="77777777" w:rsidR="00E352BE" w:rsidRPr="008B6A5F" w:rsidRDefault="00E352BE" w:rsidP="008B6A5F">
      <w:pPr>
        <w:pStyle w:val="Heading3"/>
        <w:rPr>
          <w:rFonts w:asciiTheme="minorHAnsi" w:hAnsiTheme="minorHAnsi" w:cstheme="minorHAnsi"/>
        </w:rPr>
      </w:pPr>
      <w:bookmarkStart w:id="12" w:name="_Toc171937394"/>
      <w:r w:rsidRPr="008B6A5F">
        <w:rPr>
          <w:rFonts w:asciiTheme="minorHAnsi" w:hAnsiTheme="minorHAnsi" w:cstheme="minorHAnsi"/>
        </w:rPr>
        <w:t>Tight labour markets and skills shortages since the pandemic</w:t>
      </w:r>
      <w:bookmarkEnd w:id="12"/>
      <w:r w:rsidRPr="008B6A5F">
        <w:rPr>
          <w:rFonts w:asciiTheme="minorHAnsi" w:hAnsiTheme="minorHAnsi" w:cstheme="minorHAnsi"/>
        </w:rPr>
        <w:t xml:space="preserve"> </w:t>
      </w:r>
    </w:p>
    <w:p w14:paraId="5C68C30C" w14:textId="182AEE8C" w:rsidR="00E352BE" w:rsidRPr="00E352BE" w:rsidRDefault="00E352BE" w:rsidP="00297C3B">
      <w:pPr>
        <w:rPr>
          <w:rFonts w:asciiTheme="minorHAnsi" w:eastAsia="Times New Roman" w:hAnsiTheme="minorHAnsi"/>
        </w:rPr>
      </w:pPr>
      <w:r w:rsidRPr="61FC3CE6">
        <w:t>Expansionary fiscal and monetary policy triggered by the pandemic, led to strong employment growth nationally and significant reductions in unemployment, which went down to 3.</w:t>
      </w:r>
      <w:r w:rsidR="00643185">
        <w:rPr>
          <w:rFonts w:asciiTheme="minorHAnsi" w:eastAsia="Times New Roman" w:hAnsiTheme="minorHAnsi"/>
        </w:rPr>
        <w:t>5</w:t>
      </w:r>
      <w:r w:rsidR="00EE4C38" w:rsidRPr="61FC3CE6">
        <w:rPr>
          <w:rFonts w:asciiTheme="minorHAnsi" w:eastAsia="Times New Roman" w:hAnsiTheme="minorHAnsi"/>
        </w:rPr>
        <w:t>%</w:t>
      </w:r>
      <w:r w:rsidRPr="61FC3CE6">
        <w:rPr>
          <w:rFonts w:asciiTheme="minorHAnsi" w:eastAsia="Times New Roman" w:hAnsiTheme="minorHAnsi"/>
        </w:rPr>
        <w:t xml:space="preserve"> at its lowest</w:t>
      </w:r>
      <w:r w:rsidR="00EA2A65">
        <w:rPr>
          <w:rFonts w:asciiTheme="minorHAnsi" w:eastAsia="Times New Roman" w:hAnsiTheme="minorHAnsi"/>
        </w:rPr>
        <w:t xml:space="preserve"> in </w:t>
      </w:r>
      <w:r w:rsidR="00643185">
        <w:rPr>
          <w:rFonts w:asciiTheme="minorHAnsi" w:eastAsia="Times New Roman" w:hAnsiTheme="minorHAnsi"/>
        </w:rPr>
        <w:t>the second half of 2022</w:t>
      </w:r>
      <w:r w:rsidRPr="61FC3CE6">
        <w:rPr>
          <w:rFonts w:asciiTheme="minorHAnsi" w:eastAsia="Times New Roman" w:hAnsiTheme="minorHAnsi"/>
        </w:rPr>
        <w:t>.</w:t>
      </w:r>
      <w:r w:rsidR="006464EC">
        <w:rPr>
          <w:rStyle w:val="FootnoteReference"/>
          <w:rFonts w:asciiTheme="minorHAnsi" w:eastAsia="Times New Roman" w:hAnsiTheme="minorHAnsi" w:cstheme="minorHAnsi"/>
        </w:rPr>
        <w:footnoteReference w:id="4"/>
      </w:r>
      <w:r w:rsidRPr="61FC3CE6">
        <w:rPr>
          <w:rFonts w:asciiTheme="minorHAnsi" w:eastAsia="Times New Roman" w:hAnsiTheme="minorHAnsi"/>
        </w:rPr>
        <w:t xml:space="preserve"> This was accompanied by large increases in vacancies and recruitment difficulty for employers. This problem increased disproportionately outside capital cities. Since </w:t>
      </w:r>
      <w:r w:rsidR="00E2277C" w:rsidRPr="61FC3CE6">
        <w:rPr>
          <w:rFonts w:asciiTheme="minorHAnsi" w:eastAsia="Times New Roman" w:hAnsiTheme="minorHAnsi"/>
        </w:rPr>
        <w:t>mid-</w:t>
      </w:r>
      <w:r w:rsidRPr="61FC3CE6">
        <w:rPr>
          <w:rFonts w:asciiTheme="minorHAnsi" w:eastAsia="Times New Roman" w:hAnsiTheme="minorHAnsi"/>
        </w:rPr>
        <w:t>2022 labour market</w:t>
      </w:r>
      <w:r w:rsidR="00BA6152" w:rsidRPr="61FC3CE6">
        <w:rPr>
          <w:rFonts w:asciiTheme="minorHAnsi" w:eastAsia="Times New Roman" w:hAnsiTheme="minorHAnsi"/>
        </w:rPr>
        <w:t xml:space="preserve"> conditions</w:t>
      </w:r>
      <w:r w:rsidRPr="61FC3CE6">
        <w:rPr>
          <w:rFonts w:asciiTheme="minorHAnsi" w:eastAsia="Times New Roman" w:hAnsiTheme="minorHAnsi"/>
        </w:rPr>
        <w:t xml:space="preserve">, while still tight by historical standards, have been easing, but more so in capital cities than outside capital cities, where skill shortages remain an acute problem. </w:t>
      </w:r>
    </w:p>
    <w:p w14:paraId="69EB5837" w14:textId="23A1E377" w:rsidR="00E352BE" w:rsidRPr="00930E3F" w:rsidRDefault="00E352BE" w:rsidP="00413FC4">
      <w:pPr>
        <w:pStyle w:val="Heading3"/>
        <w:rPr>
          <w:rFonts w:asciiTheme="majorHAnsi" w:hAnsiTheme="majorHAnsi" w:cstheme="majorHAnsi"/>
        </w:rPr>
      </w:pPr>
      <w:bookmarkStart w:id="13" w:name="_Toc171937396"/>
      <w:r w:rsidRPr="00930E3F">
        <w:rPr>
          <w:rFonts w:asciiTheme="majorHAnsi" w:hAnsiTheme="majorHAnsi" w:cstheme="majorHAnsi"/>
        </w:rPr>
        <w:t xml:space="preserve">Regional </w:t>
      </w:r>
      <w:r w:rsidRPr="008B6A5F">
        <w:rPr>
          <w:rFonts w:asciiTheme="minorHAnsi" w:hAnsiTheme="minorHAnsi" w:cstheme="minorHAnsi"/>
        </w:rPr>
        <w:t>Labour</w:t>
      </w:r>
      <w:r w:rsidRPr="00930E3F">
        <w:rPr>
          <w:rFonts w:asciiTheme="majorHAnsi" w:hAnsiTheme="majorHAnsi" w:cstheme="majorHAnsi"/>
        </w:rPr>
        <w:t xml:space="preserve"> Markets</w:t>
      </w:r>
      <w:bookmarkEnd w:id="13"/>
      <w:r w:rsidR="007C6706">
        <w:rPr>
          <w:rFonts w:asciiTheme="majorHAnsi" w:hAnsiTheme="majorHAnsi" w:cstheme="majorHAnsi"/>
        </w:rPr>
        <w:t>: current state and future outlook</w:t>
      </w:r>
      <w:r w:rsidRPr="00930E3F">
        <w:rPr>
          <w:rFonts w:asciiTheme="majorHAnsi" w:hAnsiTheme="majorHAnsi" w:cstheme="majorHAnsi"/>
        </w:rPr>
        <w:t xml:space="preserve"> </w:t>
      </w:r>
    </w:p>
    <w:p w14:paraId="271664E8" w14:textId="5FEF8E88" w:rsidR="00E352BE" w:rsidRPr="001666C7" w:rsidRDefault="007C6706" w:rsidP="00297C3B">
      <w:pPr>
        <w:rPr>
          <w:rFonts w:asciiTheme="minorHAnsi" w:eastAsia="Times New Roman" w:hAnsiTheme="minorHAnsi" w:cstheme="minorHAnsi"/>
        </w:rPr>
      </w:pPr>
      <w:r>
        <w:t>As noted above, i</w:t>
      </w:r>
      <w:r w:rsidR="00E352BE" w:rsidRPr="001666C7">
        <w:rPr>
          <w:rFonts w:asciiTheme="minorHAnsi" w:eastAsia="Times New Roman" w:hAnsiTheme="minorHAnsi" w:cstheme="minorHAnsi"/>
        </w:rPr>
        <w:t xml:space="preserve">n the context of a nationally strong labour market, skill shortages have been particularly acute in parts of regional Australia, which </w:t>
      </w:r>
      <w:r w:rsidR="003476BC">
        <w:rPr>
          <w:rFonts w:asciiTheme="minorHAnsi" w:eastAsia="Times New Roman" w:hAnsiTheme="minorHAnsi" w:cstheme="minorHAnsi"/>
        </w:rPr>
        <w:t xml:space="preserve">only recently </w:t>
      </w:r>
      <w:r w:rsidR="00E578E6">
        <w:rPr>
          <w:rFonts w:asciiTheme="minorHAnsi" w:eastAsia="Times New Roman" w:hAnsiTheme="minorHAnsi" w:cstheme="minorHAnsi"/>
        </w:rPr>
        <w:t xml:space="preserve">have </w:t>
      </w:r>
      <w:r w:rsidR="003476BC">
        <w:rPr>
          <w:rFonts w:asciiTheme="minorHAnsi" w:eastAsia="Times New Roman" w:hAnsiTheme="minorHAnsi" w:cstheme="minorHAnsi"/>
        </w:rPr>
        <w:t xml:space="preserve">seen </w:t>
      </w:r>
      <w:r w:rsidR="002116E4">
        <w:rPr>
          <w:rFonts w:asciiTheme="minorHAnsi" w:eastAsia="Times New Roman" w:hAnsiTheme="minorHAnsi" w:cstheme="minorHAnsi"/>
        </w:rPr>
        <w:t xml:space="preserve">an </w:t>
      </w:r>
      <w:r w:rsidR="00E352BE" w:rsidRPr="001666C7">
        <w:rPr>
          <w:rFonts w:asciiTheme="minorHAnsi" w:eastAsia="Times New Roman" w:hAnsiTheme="minorHAnsi" w:cstheme="minorHAnsi"/>
        </w:rPr>
        <w:t>easing in recruitment difficulty</w:t>
      </w:r>
      <w:r w:rsidR="00E578E6">
        <w:rPr>
          <w:rFonts w:asciiTheme="minorHAnsi" w:eastAsia="Times New Roman" w:hAnsiTheme="minorHAnsi" w:cstheme="minorHAnsi"/>
        </w:rPr>
        <w:t>,</w:t>
      </w:r>
      <w:r w:rsidR="002116E4">
        <w:rPr>
          <w:rFonts w:asciiTheme="minorHAnsi" w:eastAsia="Times New Roman" w:hAnsiTheme="minorHAnsi" w:cstheme="minorHAnsi"/>
        </w:rPr>
        <w:t xml:space="preserve"> with rates now similar to capital city areas</w:t>
      </w:r>
      <w:r w:rsidR="00E352BE" w:rsidRPr="001666C7">
        <w:rPr>
          <w:rFonts w:asciiTheme="minorHAnsi" w:eastAsia="Times New Roman" w:hAnsiTheme="minorHAnsi" w:cstheme="minorHAnsi"/>
        </w:rPr>
        <w:t>. Going forward, however, the labour market is expected to ease further.</w:t>
      </w:r>
    </w:p>
    <w:p w14:paraId="6145E06A" w14:textId="77777777" w:rsidR="00E352BE" w:rsidRDefault="00E352BE" w:rsidP="00297C3B">
      <w:pPr>
        <w:rPr>
          <w:rFonts w:asciiTheme="minorHAnsi" w:eastAsia="Times New Roman" w:hAnsiTheme="minorHAnsi" w:cstheme="minorHAnsi"/>
        </w:rPr>
      </w:pPr>
      <w:r w:rsidRPr="001666C7">
        <w:t>While most regions have benefitted from recent strong conditions, there remains persistent disadvantage in poorer performing regions. This disadvantage is most pronounced in more remote areas.</w:t>
      </w:r>
    </w:p>
    <w:p w14:paraId="51E56F04" w14:textId="0F98613F" w:rsidR="00E352BE" w:rsidRDefault="00E352BE" w:rsidP="00297C3B">
      <w:pPr>
        <w:rPr>
          <w:rFonts w:asciiTheme="minorHAnsi" w:eastAsia="Times New Roman" w:hAnsiTheme="minorHAnsi" w:cstheme="minorHAnsi"/>
        </w:rPr>
      </w:pPr>
      <w:r>
        <w:t>There are a number of key trends driving regional labour market variation, including population growth, the ageing population and a dependence on the care and support sectors, growth in a high skilled workforce and the ne</w:t>
      </w:r>
      <w:r w:rsidR="005C5DD3">
        <w:rPr>
          <w:rFonts w:asciiTheme="minorHAnsi" w:eastAsia="Times New Roman" w:hAnsiTheme="minorHAnsi" w:cstheme="minorHAnsi"/>
        </w:rPr>
        <w:t>t</w:t>
      </w:r>
      <w:r>
        <w:rPr>
          <w:rFonts w:asciiTheme="minorHAnsi" w:eastAsia="Times New Roman" w:hAnsiTheme="minorHAnsi" w:cstheme="minorHAnsi"/>
        </w:rPr>
        <w:t xml:space="preserve"> zero transformation. </w:t>
      </w:r>
    </w:p>
    <w:p w14:paraId="70AAEB54" w14:textId="77777777" w:rsidR="00E352BE" w:rsidRPr="001666C7" w:rsidRDefault="00E352BE" w:rsidP="00297C3B">
      <w:pPr>
        <w:rPr>
          <w:rFonts w:asciiTheme="minorHAnsi" w:eastAsia="Times New Roman" w:hAnsiTheme="minorHAnsi" w:cstheme="minorHAnsi"/>
        </w:rPr>
      </w:pPr>
      <w:r w:rsidRPr="001666C7">
        <w:t>Coastal regions have benefitted from strong population growth, driven predominantly by net internal migration. While this has many advantages it does pose some challenges especially in relation to skill shortages.</w:t>
      </w:r>
    </w:p>
    <w:p w14:paraId="36D74EB8" w14:textId="3123ECD4" w:rsidR="00E352BE" w:rsidRPr="001666C7" w:rsidRDefault="00E352BE" w:rsidP="00297C3B">
      <w:pPr>
        <w:rPr>
          <w:rFonts w:asciiTheme="minorHAnsi" w:eastAsia="Times New Roman" w:hAnsiTheme="minorHAnsi" w:cstheme="minorHAnsi"/>
        </w:rPr>
      </w:pPr>
      <w:r w:rsidRPr="001666C7">
        <w:t>Regional and remote areas have an older age demographic and higher rates of retirement from the workforce</w:t>
      </w:r>
      <w:r w:rsidR="00A12EE2">
        <w:rPr>
          <w:rFonts w:asciiTheme="minorHAnsi" w:eastAsia="Times New Roman" w:hAnsiTheme="minorHAnsi" w:cstheme="minorHAnsi"/>
        </w:rPr>
        <w:t>. This</w:t>
      </w:r>
      <w:r w:rsidR="00DA36F2">
        <w:rPr>
          <w:rFonts w:asciiTheme="minorHAnsi" w:eastAsia="Times New Roman" w:hAnsiTheme="minorHAnsi" w:cstheme="minorHAnsi"/>
        </w:rPr>
        <w:t xml:space="preserve"> </w:t>
      </w:r>
      <w:r w:rsidRPr="001666C7">
        <w:rPr>
          <w:rFonts w:asciiTheme="minorHAnsi" w:eastAsia="Times New Roman" w:hAnsiTheme="minorHAnsi" w:cstheme="minorHAnsi"/>
        </w:rPr>
        <w:t xml:space="preserve">places additional pressure on </w:t>
      </w:r>
      <w:r w:rsidR="003F2CA8">
        <w:rPr>
          <w:rFonts w:asciiTheme="minorHAnsi" w:eastAsia="Times New Roman" w:hAnsiTheme="minorHAnsi" w:cstheme="minorHAnsi"/>
        </w:rPr>
        <w:t>th</w:t>
      </w:r>
      <w:r w:rsidR="00973A29">
        <w:rPr>
          <w:rFonts w:asciiTheme="minorHAnsi" w:eastAsia="Times New Roman" w:hAnsiTheme="minorHAnsi" w:cstheme="minorHAnsi"/>
        </w:rPr>
        <w:t>ose</w:t>
      </w:r>
      <w:r w:rsidRPr="001666C7">
        <w:rPr>
          <w:rFonts w:asciiTheme="minorHAnsi" w:eastAsia="Times New Roman" w:hAnsiTheme="minorHAnsi" w:cstheme="minorHAnsi"/>
        </w:rPr>
        <w:t xml:space="preserve"> labour market</w:t>
      </w:r>
      <w:r w:rsidR="00057930">
        <w:rPr>
          <w:rFonts w:asciiTheme="minorHAnsi" w:eastAsia="Times New Roman" w:hAnsiTheme="minorHAnsi" w:cstheme="minorHAnsi"/>
        </w:rPr>
        <w:t>s</w:t>
      </w:r>
      <w:r w:rsidRPr="001666C7">
        <w:rPr>
          <w:rFonts w:asciiTheme="minorHAnsi" w:eastAsia="Times New Roman" w:hAnsiTheme="minorHAnsi" w:cstheme="minorHAnsi"/>
        </w:rPr>
        <w:t xml:space="preserve"> and on the aged-care sector, which is already experiencing significant shortages in regional areas</w:t>
      </w:r>
      <w:r w:rsidR="004B3795">
        <w:rPr>
          <w:rFonts w:asciiTheme="minorHAnsi" w:eastAsia="Times New Roman" w:hAnsiTheme="minorHAnsi" w:cstheme="minorHAnsi"/>
        </w:rPr>
        <w:t xml:space="preserve"> in particular</w:t>
      </w:r>
      <w:r w:rsidRPr="001666C7">
        <w:rPr>
          <w:rFonts w:asciiTheme="minorHAnsi" w:eastAsia="Times New Roman" w:hAnsiTheme="minorHAnsi" w:cstheme="minorHAnsi"/>
        </w:rPr>
        <w:t>.</w:t>
      </w:r>
    </w:p>
    <w:p w14:paraId="2AA6919B" w14:textId="06986815" w:rsidR="00E352BE" w:rsidRDefault="00E352BE" w:rsidP="00297C3B">
      <w:pPr>
        <w:rPr>
          <w:rFonts w:asciiTheme="minorHAnsi" w:eastAsia="Times New Roman" w:hAnsiTheme="minorHAnsi" w:cstheme="minorHAnsi"/>
        </w:rPr>
      </w:pPr>
      <w:r w:rsidRPr="001666C7">
        <w:t xml:space="preserve">Increasing demand for more highly skilled jobs has had an uneven impact across regions. Regional and </w:t>
      </w:r>
      <w:r w:rsidR="00FE50F4">
        <w:rPr>
          <w:rFonts w:asciiTheme="minorHAnsi" w:eastAsia="Times New Roman" w:hAnsiTheme="minorHAnsi" w:cstheme="minorHAnsi"/>
        </w:rPr>
        <w:t>r</w:t>
      </w:r>
      <w:r w:rsidRPr="001666C7">
        <w:rPr>
          <w:rFonts w:asciiTheme="minorHAnsi" w:eastAsia="Times New Roman" w:hAnsiTheme="minorHAnsi" w:cstheme="minorHAnsi"/>
        </w:rPr>
        <w:t xml:space="preserve">emote areas have seen </w:t>
      </w:r>
      <w:r w:rsidR="003F5E70">
        <w:rPr>
          <w:rFonts w:asciiTheme="minorHAnsi" w:eastAsia="Times New Roman" w:hAnsiTheme="minorHAnsi" w:cstheme="minorHAnsi"/>
        </w:rPr>
        <w:t>a</w:t>
      </w:r>
      <w:r w:rsidR="000B2500">
        <w:rPr>
          <w:rFonts w:asciiTheme="minorHAnsi" w:eastAsia="Times New Roman" w:hAnsiTheme="minorHAnsi" w:cstheme="minorHAnsi"/>
        </w:rPr>
        <w:t xml:space="preserve"> shift </w:t>
      </w:r>
      <w:r w:rsidRPr="001666C7">
        <w:rPr>
          <w:rFonts w:asciiTheme="minorHAnsi" w:eastAsia="Times New Roman" w:hAnsiTheme="minorHAnsi" w:cstheme="minorHAnsi"/>
        </w:rPr>
        <w:t>in the share of employment towards occupations whe</w:t>
      </w:r>
      <w:r>
        <w:rPr>
          <w:rFonts w:asciiTheme="minorHAnsi" w:eastAsia="Times New Roman" w:hAnsiTheme="minorHAnsi" w:cstheme="minorHAnsi"/>
        </w:rPr>
        <w:t>r</w:t>
      </w:r>
      <w:r w:rsidRPr="001666C7">
        <w:rPr>
          <w:rFonts w:asciiTheme="minorHAnsi" w:eastAsia="Times New Roman" w:hAnsiTheme="minorHAnsi" w:cstheme="minorHAnsi"/>
        </w:rPr>
        <w:t>e VET is the primary pathway</w:t>
      </w:r>
      <w:r w:rsidR="00063116">
        <w:rPr>
          <w:rFonts w:asciiTheme="minorHAnsi" w:eastAsia="Times New Roman" w:hAnsiTheme="minorHAnsi" w:cstheme="minorHAnsi"/>
        </w:rPr>
        <w:t xml:space="preserve"> </w:t>
      </w:r>
      <w:r w:rsidR="009311D5">
        <w:rPr>
          <w:rFonts w:asciiTheme="minorHAnsi" w:eastAsia="Times New Roman" w:hAnsiTheme="minorHAnsi" w:cstheme="minorHAnsi"/>
        </w:rPr>
        <w:t>in addition to a shift towards highly skilled occup</w:t>
      </w:r>
      <w:r w:rsidR="003F5E70">
        <w:rPr>
          <w:rFonts w:asciiTheme="minorHAnsi" w:eastAsia="Times New Roman" w:hAnsiTheme="minorHAnsi" w:cstheme="minorHAnsi"/>
        </w:rPr>
        <w:t>a</w:t>
      </w:r>
      <w:r w:rsidR="009311D5">
        <w:rPr>
          <w:rFonts w:asciiTheme="minorHAnsi" w:eastAsia="Times New Roman" w:hAnsiTheme="minorHAnsi" w:cstheme="minorHAnsi"/>
        </w:rPr>
        <w:t>tions</w:t>
      </w:r>
      <w:r w:rsidR="003F5E70">
        <w:rPr>
          <w:rFonts w:asciiTheme="minorHAnsi" w:eastAsia="Times New Roman" w:hAnsiTheme="minorHAnsi" w:cstheme="minorHAnsi"/>
        </w:rPr>
        <w:t xml:space="preserve">, </w:t>
      </w:r>
      <w:r w:rsidR="009B4BC2">
        <w:rPr>
          <w:rFonts w:asciiTheme="minorHAnsi" w:eastAsia="Times New Roman" w:hAnsiTheme="minorHAnsi" w:cstheme="minorHAnsi"/>
        </w:rPr>
        <w:t>unlike</w:t>
      </w:r>
      <w:r w:rsidR="003F5E70">
        <w:rPr>
          <w:rFonts w:asciiTheme="minorHAnsi" w:eastAsia="Times New Roman" w:hAnsiTheme="minorHAnsi" w:cstheme="minorHAnsi"/>
        </w:rPr>
        <w:t xml:space="preserve"> </w:t>
      </w:r>
      <w:r w:rsidR="00D7506C">
        <w:rPr>
          <w:rFonts w:asciiTheme="minorHAnsi" w:eastAsia="Times New Roman" w:hAnsiTheme="minorHAnsi" w:cstheme="minorHAnsi"/>
        </w:rPr>
        <w:t>capital cities and regional cities</w:t>
      </w:r>
      <w:r w:rsidR="00063116" w:rsidRPr="00063116">
        <w:rPr>
          <w:rFonts w:asciiTheme="minorHAnsi" w:eastAsia="Times New Roman" w:hAnsiTheme="minorHAnsi" w:cstheme="minorHAnsi"/>
        </w:rPr>
        <w:t xml:space="preserve"> where there</w:t>
      </w:r>
      <w:r w:rsidR="00DB1609">
        <w:rPr>
          <w:rFonts w:asciiTheme="minorHAnsi" w:eastAsia="Times New Roman" w:hAnsiTheme="minorHAnsi" w:cstheme="minorHAnsi"/>
        </w:rPr>
        <w:t xml:space="preserve"> </w:t>
      </w:r>
      <w:r w:rsidR="0008183F">
        <w:rPr>
          <w:rFonts w:asciiTheme="minorHAnsi" w:eastAsia="Times New Roman" w:hAnsiTheme="minorHAnsi" w:cstheme="minorHAnsi"/>
        </w:rPr>
        <w:t>the</w:t>
      </w:r>
      <w:r w:rsidR="00DB1609">
        <w:rPr>
          <w:rFonts w:asciiTheme="minorHAnsi" w:eastAsia="Times New Roman" w:hAnsiTheme="minorHAnsi" w:cstheme="minorHAnsi"/>
        </w:rPr>
        <w:t xml:space="preserve"> </w:t>
      </w:r>
      <w:r w:rsidR="00063116" w:rsidRPr="00063116">
        <w:rPr>
          <w:rFonts w:asciiTheme="minorHAnsi" w:eastAsia="Times New Roman" w:hAnsiTheme="minorHAnsi" w:cstheme="minorHAnsi"/>
        </w:rPr>
        <w:t xml:space="preserve">shift </w:t>
      </w:r>
      <w:r w:rsidR="0008183F">
        <w:rPr>
          <w:rFonts w:asciiTheme="minorHAnsi" w:eastAsia="Times New Roman" w:hAnsiTheme="minorHAnsi" w:cstheme="minorHAnsi"/>
        </w:rPr>
        <w:t xml:space="preserve">has been </w:t>
      </w:r>
      <w:r w:rsidR="00DB1609">
        <w:rPr>
          <w:rFonts w:asciiTheme="minorHAnsi" w:eastAsia="Times New Roman" w:hAnsiTheme="minorHAnsi" w:cstheme="minorHAnsi"/>
        </w:rPr>
        <w:t>towards highly skilled occupations.</w:t>
      </w:r>
    </w:p>
    <w:p w14:paraId="76092B56" w14:textId="55C9F4CB" w:rsidR="00E352BE" w:rsidRPr="001666C7" w:rsidRDefault="00E352BE" w:rsidP="00297C3B">
      <w:pPr>
        <w:rPr>
          <w:rFonts w:asciiTheme="minorHAnsi" w:eastAsia="Times New Roman" w:hAnsiTheme="minorHAnsi" w:cstheme="minorHAnsi"/>
        </w:rPr>
      </w:pPr>
      <w:r>
        <w:t>It is also important to recognise the interactions of the labour market with broader drivers, such as housing</w:t>
      </w:r>
      <w:r w:rsidR="0017579B">
        <w:t>, transport</w:t>
      </w:r>
      <w:r>
        <w:t xml:space="preserve"> and access to services, that play a crucial role in attracting and retaining people that contribute to the workforce. </w:t>
      </w:r>
    </w:p>
    <w:p w14:paraId="523A6062" w14:textId="51C0845A" w:rsidR="00E352BE" w:rsidRDefault="00E352BE" w:rsidP="00297C3B">
      <w:pPr>
        <w:rPr>
          <w:rFonts w:asciiTheme="minorHAnsi" w:eastAsia="Times New Roman" w:hAnsiTheme="minorHAnsi" w:cstheme="minorHAnsi"/>
        </w:rPr>
      </w:pPr>
      <w:r>
        <w:t xml:space="preserve">A number of regional areas will be disproportionately affected by the impact of decarbonisation due to the high share of workers in transitioning sectors. However, the clean energy transformation is </w:t>
      </w:r>
      <w:r w:rsidR="00B524AC">
        <w:t>likely</w:t>
      </w:r>
      <w:r>
        <w:t xml:space="preserve"> to create significant employment opportunities in regional Australia.</w:t>
      </w:r>
    </w:p>
    <w:p w14:paraId="562F22EF" w14:textId="150BE374" w:rsidR="00E352BE" w:rsidRDefault="00E352BE" w:rsidP="00297C3B">
      <w:pPr>
        <w:rPr>
          <w:rFonts w:asciiTheme="minorHAnsi" w:eastAsia="Times New Roman" w:hAnsiTheme="minorHAnsi" w:cstheme="minorHAnsi"/>
        </w:rPr>
      </w:pPr>
      <w:r>
        <w:t xml:space="preserve">Understanding the capacity of </w:t>
      </w:r>
      <w:r>
        <w:rPr>
          <w:rFonts w:asciiTheme="minorHAnsi" w:eastAsia="Times New Roman" w:hAnsiTheme="minorHAnsi" w:cstheme="minorHAnsi"/>
        </w:rPr>
        <w:t>regions to adjust to economic transition is of increasing interest to policy makers. JSA seeks to contribute to the growing evidence base on regional vulnerability by assessing a regions capacity, by taking skills</w:t>
      </w:r>
      <w:r w:rsidR="00EB3961">
        <w:rPr>
          <w:rFonts w:asciiTheme="minorHAnsi" w:eastAsia="Times New Roman" w:hAnsiTheme="minorHAnsi" w:cstheme="minorHAnsi"/>
        </w:rPr>
        <w:t>-</w:t>
      </w:r>
      <w:r>
        <w:rPr>
          <w:rFonts w:asciiTheme="minorHAnsi" w:eastAsia="Times New Roman" w:hAnsiTheme="minorHAnsi" w:cstheme="minorHAnsi"/>
        </w:rPr>
        <w:t>based approach i.e. assessing how readily the composition of skills in the region can adjust to economic shocks.</w:t>
      </w:r>
    </w:p>
    <w:p w14:paraId="0AB2D95B" w14:textId="77777777" w:rsidR="00E352BE" w:rsidRPr="00930E3F" w:rsidRDefault="00E352BE" w:rsidP="00413FC4">
      <w:pPr>
        <w:pStyle w:val="Heading3"/>
        <w:rPr>
          <w:rFonts w:asciiTheme="majorHAnsi" w:hAnsiTheme="majorHAnsi" w:cstheme="majorHAnsi"/>
        </w:rPr>
      </w:pPr>
      <w:bookmarkStart w:id="14" w:name="_Toc171937397"/>
      <w:r w:rsidRPr="00930E3F">
        <w:rPr>
          <w:rFonts w:asciiTheme="majorHAnsi" w:hAnsiTheme="majorHAnsi" w:cstheme="majorHAnsi"/>
        </w:rPr>
        <w:t>Skill Shortages</w:t>
      </w:r>
      <w:bookmarkEnd w:id="14"/>
    </w:p>
    <w:p w14:paraId="33BEDC74" w14:textId="6A2C7E44" w:rsidR="00E352BE" w:rsidRPr="00E352BE" w:rsidRDefault="008B5FB9" w:rsidP="4FD0AA81">
      <w:pPr>
        <w:rPr>
          <w:rFonts w:asciiTheme="minorHAnsi" w:eastAsia="Times New Roman" w:hAnsiTheme="minorHAnsi"/>
        </w:rPr>
      </w:pPr>
      <w:r>
        <w:t xml:space="preserve">As noted above, </w:t>
      </w:r>
      <w:r w:rsidR="00EE7815" w:rsidRPr="4FD0AA81">
        <w:rPr>
          <w:rFonts w:asciiTheme="minorHAnsi" w:eastAsia="Times New Roman" w:hAnsiTheme="minorHAnsi"/>
        </w:rPr>
        <w:t>following</w:t>
      </w:r>
      <w:r w:rsidR="00E352BE" w:rsidRPr="4FD0AA81">
        <w:rPr>
          <w:rFonts w:asciiTheme="minorHAnsi" w:eastAsia="Times New Roman" w:hAnsiTheme="minorHAnsi"/>
        </w:rPr>
        <w:t xml:space="preserve"> strong demand growth generated by </w:t>
      </w:r>
      <w:r w:rsidR="0054454E" w:rsidRPr="4FD0AA81">
        <w:rPr>
          <w:rFonts w:asciiTheme="minorHAnsi" w:eastAsia="Times New Roman" w:hAnsiTheme="minorHAnsi"/>
        </w:rPr>
        <w:t>G</w:t>
      </w:r>
      <w:r w:rsidR="00E352BE" w:rsidRPr="4FD0AA81">
        <w:rPr>
          <w:rFonts w:asciiTheme="minorHAnsi" w:eastAsia="Times New Roman" w:hAnsiTheme="minorHAnsi"/>
        </w:rPr>
        <w:t>overnments’ response to the pandemic, unemployment reduced to 3.</w:t>
      </w:r>
      <w:r w:rsidR="0008220B" w:rsidRPr="4FD0AA81">
        <w:rPr>
          <w:rFonts w:asciiTheme="minorHAnsi" w:eastAsia="Times New Roman" w:hAnsiTheme="minorHAnsi"/>
        </w:rPr>
        <w:t>5</w:t>
      </w:r>
      <w:r w:rsidR="00D55456" w:rsidRPr="4FD0AA81">
        <w:rPr>
          <w:rFonts w:asciiTheme="minorHAnsi" w:eastAsia="Times New Roman" w:hAnsiTheme="minorHAnsi"/>
        </w:rPr>
        <w:t>%</w:t>
      </w:r>
      <w:r w:rsidR="00E352BE" w:rsidRPr="4FD0AA81">
        <w:rPr>
          <w:rFonts w:asciiTheme="minorHAnsi" w:eastAsia="Times New Roman" w:hAnsiTheme="minorHAnsi"/>
        </w:rPr>
        <w:t xml:space="preserve"> nationally</w:t>
      </w:r>
      <w:r w:rsidR="00036889" w:rsidRPr="4FD0AA81">
        <w:rPr>
          <w:rFonts w:asciiTheme="minorHAnsi" w:eastAsia="Times New Roman" w:hAnsiTheme="minorHAnsi"/>
        </w:rPr>
        <w:t xml:space="preserve"> in the second half of 202</w:t>
      </w:r>
      <w:r w:rsidR="6A459C69" w:rsidRPr="4FD0AA81">
        <w:rPr>
          <w:rFonts w:asciiTheme="minorHAnsi" w:eastAsia="Times New Roman" w:hAnsiTheme="minorHAnsi"/>
        </w:rPr>
        <w:t>2</w:t>
      </w:r>
      <w:r w:rsidR="00BC61D2" w:rsidRPr="4FD0AA81">
        <w:rPr>
          <w:rFonts w:asciiTheme="minorHAnsi" w:eastAsia="Times New Roman" w:hAnsiTheme="minorHAnsi"/>
        </w:rPr>
        <w:t xml:space="preserve"> </w:t>
      </w:r>
      <w:r w:rsidR="00E352BE" w:rsidRPr="4FD0AA81">
        <w:rPr>
          <w:rFonts w:asciiTheme="minorHAnsi" w:eastAsia="Times New Roman" w:hAnsiTheme="minorHAnsi"/>
        </w:rPr>
        <w:t xml:space="preserve">and skill shortages became extensive with regional Australia heavily impacted. </w:t>
      </w:r>
    </w:p>
    <w:p w14:paraId="030153D7" w14:textId="7A6A8608" w:rsidR="00E352BE" w:rsidRPr="00E352BE" w:rsidRDefault="00E352BE" w:rsidP="00297C3B">
      <w:pPr>
        <w:rPr>
          <w:rFonts w:asciiTheme="minorHAnsi" w:eastAsia="Arial" w:hAnsiTheme="minorHAnsi" w:cstheme="minorHAnsi"/>
        </w:rPr>
      </w:pPr>
      <w:r w:rsidRPr="00E352BE">
        <w:rPr>
          <w:rFonts w:eastAsia="Arial"/>
        </w:rPr>
        <w:t>Skill level 1 occupations in Health Care and Social Assistance</w:t>
      </w:r>
      <w:r w:rsidR="00017CF2">
        <w:rPr>
          <w:rFonts w:asciiTheme="minorHAnsi" w:eastAsia="Arial" w:hAnsiTheme="minorHAnsi" w:cstheme="minorHAnsi"/>
        </w:rPr>
        <w:t xml:space="preserve">, such as Registered Nurses and </w:t>
      </w:r>
      <w:r w:rsidR="00D559E0">
        <w:rPr>
          <w:rFonts w:asciiTheme="minorHAnsi" w:eastAsia="Arial" w:hAnsiTheme="minorHAnsi" w:cstheme="minorHAnsi"/>
        </w:rPr>
        <w:t xml:space="preserve">General Practitioners and </w:t>
      </w:r>
      <w:r w:rsidR="00780567">
        <w:rPr>
          <w:rFonts w:asciiTheme="minorHAnsi" w:eastAsia="Arial" w:hAnsiTheme="minorHAnsi" w:cstheme="minorHAnsi"/>
        </w:rPr>
        <w:t xml:space="preserve">Resident </w:t>
      </w:r>
      <w:r w:rsidR="00D559E0">
        <w:rPr>
          <w:rFonts w:asciiTheme="minorHAnsi" w:eastAsia="Arial" w:hAnsiTheme="minorHAnsi" w:cstheme="minorHAnsi"/>
        </w:rPr>
        <w:t>Medical Officers,</w:t>
      </w:r>
      <w:r w:rsidRPr="00E352BE">
        <w:rPr>
          <w:rFonts w:asciiTheme="minorHAnsi" w:eastAsia="Arial" w:hAnsiTheme="minorHAnsi" w:cstheme="minorHAnsi"/>
        </w:rPr>
        <w:t xml:space="preserve"> tend to have higher vacancy rates in regional Australia than in capital cities. For skill level 2</w:t>
      </w:r>
      <w:r w:rsidR="007D1B04">
        <w:rPr>
          <w:rFonts w:asciiTheme="minorHAnsi" w:eastAsia="Arial" w:hAnsiTheme="minorHAnsi" w:cstheme="minorHAnsi"/>
        </w:rPr>
        <w:t>–</w:t>
      </w:r>
      <w:r w:rsidRPr="00E352BE">
        <w:rPr>
          <w:rFonts w:asciiTheme="minorHAnsi" w:eastAsia="Arial" w:hAnsiTheme="minorHAnsi" w:cstheme="minorHAnsi"/>
        </w:rPr>
        <w:t>4</w:t>
      </w:r>
      <w:r w:rsidR="004F3940">
        <w:rPr>
          <w:rFonts w:asciiTheme="minorHAnsi" w:eastAsia="Arial" w:hAnsiTheme="minorHAnsi" w:cstheme="minorHAnsi"/>
        </w:rPr>
        <w:t xml:space="preserve"> occupations</w:t>
      </w:r>
      <w:r w:rsidRPr="00E352BE">
        <w:rPr>
          <w:rFonts w:asciiTheme="minorHAnsi" w:eastAsia="Arial" w:hAnsiTheme="minorHAnsi" w:cstheme="minorHAnsi"/>
        </w:rPr>
        <w:t>, Aged and Disabled Carers, Truck Drivers, and Electricians are some of the most common occupations a</w:t>
      </w:r>
      <w:r w:rsidR="00D55456">
        <w:rPr>
          <w:rFonts w:asciiTheme="minorHAnsi" w:eastAsia="Arial" w:hAnsiTheme="minorHAnsi" w:cstheme="minorHAnsi"/>
        </w:rPr>
        <w:t>n</w:t>
      </w:r>
      <w:r w:rsidRPr="00E352BE">
        <w:rPr>
          <w:rFonts w:asciiTheme="minorHAnsi" w:eastAsia="Arial" w:hAnsiTheme="minorHAnsi" w:cstheme="minorHAnsi"/>
        </w:rPr>
        <w:t xml:space="preserve">d are all in </w:t>
      </w:r>
      <w:r w:rsidR="00E24F26">
        <w:rPr>
          <w:rFonts w:asciiTheme="minorHAnsi" w:eastAsia="Arial" w:hAnsiTheme="minorHAnsi" w:cstheme="minorHAnsi"/>
        </w:rPr>
        <w:t>n</w:t>
      </w:r>
      <w:r w:rsidRPr="00E352BE">
        <w:rPr>
          <w:rFonts w:asciiTheme="minorHAnsi" w:eastAsia="Arial" w:hAnsiTheme="minorHAnsi" w:cstheme="minorHAnsi"/>
        </w:rPr>
        <w:t xml:space="preserve">ational </w:t>
      </w:r>
      <w:r w:rsidR="00E24F26">
        <w:rPr>
          <w:rFonts w:asciiTheme="minorHAnsi" w:eastAsia="Arial" w:hAnsiTheme="minorHAnsi" w:cstheme="minorHAnsi"/>
        </w:rPr>
        <w:t>s</w:t>
      </w:r>
      <w:r w:rsidRPr="00E352BE">
        <w:rPr>
          <w:rFonts w:asciiTheme="minorHAnsi" w:eastAsia="Arial" w:hAnsiTheme="minorHAnsi" w:cstheme="minorHAnsi"/>
        </w:rPr>
        <w:t xml:space="preserve">hortage. </w:t>
      </w:r>
    </w:p>
    <w:p w14:paraId="64FA1607" w14:textId="5A9A41DD" w:rsidR="00E352BE" w:rsidRDefault="00E352BE" w:rsidP="00297C3B">
      <w:pPr>
        <w:rPr>
          <w:rFonts w:asciiTheme="minorHAnsi" w:eastAsia="Arial" w:hAnsiTheme="minorHAnsi" w:cstheme="minorHAnsi"/>
        </w:rPr>
      </w:pPr>
      <w:r w:rsidRPr="00E352BE">
        <w:rPr>
          <w:rFonts w:eastAsia="Arial"/>
        </w:rPr>
        <w:t xml:space="preserve">The top </w:t>
      </w:r>
      <w:r w:rsidR="00B94296">
        <w:rPr>
          <w:rFonts w:asciiTheme="minorHAnsi" w:eastAsia="Arial" w:hAnsiTheme="minorHAnsi" w:cstheme="minorHAnsi"/>
        </w:rPr>
        <w:t>five</w:t>
      </w:r>
      <w:r w:rsidRPr="00E352BE">
        <w:rPr>
          <w:rFonts w:asciiTheme="minorHAnsi" w:eastAsia="Arial" w:hAnsiTheme="minorHAnsi" w:cstheme="minorHAnsi"/>
        </w:rPr>
        <w:t xml:space="preserve"> Health Care and Social Assistance occupations in demand in regional Australia are Registered Nurses, Aged and Disabled Carers, Child Carers, Nursing Support and Personal Care Workers, and General Practitioners and Resident Medical Officers. All of these occupations are rated as being in </w:t>
      </w:r>
      <w:r w:rsidR="00761AB1">
        <w:rPr>
          <w:rFonts w:asciiTheme="minorHAnsi" w:eastAsia="Arial" w:hAnsiTheme="minorHAnsi" w:cstheme="minorHAnsi"/>
        </w:rPr>
        <w:t>n</w:t>
      </w:r>
      <w:r w:rsidRPr="00E352BE">
        <w:rPr>
          <w:rFonts w:asciiTheme="minorHAnsi" w:eastAsia="Arial" w:hAnsiTheme="minorHAnsi" w:cstheme="minorHAnsi"/>
        </w:rPr>
        <w:t xml:space="preserve">ational </w:t>
      </w:r>
      <w:r w:rsidR="00761AB1">
        <w:rPr>
          <w:rFonts w:asciiTheme="minorHAnsi" w:eastAsia="Arial" w:hAnsiTheme="minorHAnsi" w:cstheme="minorHAnsi"/>
        </w:rPr>
        <w:t>s</w:t>
      </w:r>
      <w:r w:rsidRPr="00E352BE">
        <w:rPr>
          <w:rFonts w:asciiTheme="minorHAnsi" w:eastAsia="Arial" w:hAnsiTheme="minorHAnsi" w:cstheme="minorHAnsi"/>
        </w:rPr>
        <w:t xml:space="preserve">hortage and these shortages are largely driven by long training pathways </w:t>
      </w:r>
      <w:r w:rsidR="004173C2">
        <w:rPr>
          <w:rFonts w:asciiTheme="minorHAnsi" w:eastAsia="Arial" w:hAnsiTheme="minorHAnsi" w:cstheme="minorHAnsi"/>
        </w:rPr>
        <w:t>or</w:t>
      </w:r>
      <w:r w:rsidRPr="00E352BE">
        <w:rPr>
          <w:rFonts w:asciiTheme="minorHAnsi" w:eastAsia="Arial" w:hAnsiTheme="minorHAnsi" w:cstheme="minorHAnsi"/>
        </w:rPr>
        <w:t xml:space="preserve"> retention issues. </w:t>
      </w:r>
    </w:p>
    <w:p w14:paraId="4FC6B79E" w14:textId="680AFEEE" w:rsidR="004717E1" w:rsidRPr="00E352BE" w:rsidRDefault="00DD75CF" w:rsidP="00297C3B">
      <w:pPr>
        <w:rPr>
          <w:rFonts w:asciiTheme="minorHAnsi" w:eastAsia="Arial" w:hAnsiTheme="minorHAnsi" w:cstheme="minorHAnsi"/>
        </w:rPr>
      </w:pPr>
      <w:r w:rsidRPr="00DD75CF">
        <w:rPr>
          <w:rFonts w:eastAsia="Arial"/>
        </w:rPr>
        <w:t>Occupational gender segregation is closely linked to remoteness, with regional and remote areas with lower population density hav</w:t>
      </w:r>
      <w:r w:rsidR="00592019">
        <w:rPr>
          <w:rFonts w:eastAsia="Arial"/>
        </w:rPr>
        <w:t>ing</w:t>
      </w:r>
      <w:r w:rsidRPr="00DD75CF">
        <w:rPr>
          <w:rFonts w:eastAsia="Arial"/>
        </w:rPr>
        <w:t xml:space="preserve"> distinctly higher gender segregation than their capital city counterparts.</w:t>
      </w:r>
    </w:p>
    <w:p w14:paraId="158BE223" w14:textId="77777777" w:rsidR="00E352BE" w:rsidRPr="00930E3F" w:rsidRDefault="00E352BE" w:rsidP="00413FC4">
      <w:pPr>
        <w:pStyle w:val="Heading3"/>
        <w:rPr>
          <w:rFonts w:asciiTheme="majorHAnsi" w:hAnsiTheme="majorHAnsi" w:cstheme="majorHAnsi"/>
        </w:rPr>
      </w:pPr>
      <w:r w:rsidRPr="00930E3F">
        <w:rPr>
          <w:rFonts w:asciiTheme="majorHAnsi" w:hAnsiTheme="majorHAnsi" w:cstheme="majorHAnsi"/>
        </w:rPr>
        <w:t>The Regional Skills System</w:t>
      </w:r>
    </w:p>
    <w:p w14:paraId="6BAEC8E4" w14:textId="77777777" w:rsidR="00E352BE" w:rsidRPr="00930E3F" w:rsidRDefault="00E352BE" w:rsidP="000775B3">
      <w:pPr>
        <w:pStyle w:val="Heading4"/>
      </w:pPr>
      <w:bookmarkStart w:id="15" w:name="_Toc171937398"/>
      <w:r w:rsidRPr="00930E3F">
        <w:t xml:space="preserve">Higher </w:t>
      </w:r>
      <w:r w:rsidRPr="000775B3">
        <w:t>Education</w:t>
      </w:r>
      <w:bookmarkEnd w:id="15"/>
    </w:p>
    <w:p w14:paraId="4522FD85" w14:textId="0EF19C97" w:rsidR="00E352BE" w:rsidRPr="00E352BE" w:rsidRDefault="00E352BE" w:rsidP="00297C3B">
      <w:pPr>
        <w:rPr>
          <w:rFonts w:asciiTheme="minorHAnsi" w:eastAsia="Times New Roman" w:hAnsiTheme="minorHAnsi" w:cstheme="minorHAnsi"/>
        </w:rPr>
      </w:pPr>
      <w:r w:rsidRPr="00E352BE">
        <w:t xml:space="preserve">Australia’s higher education system has a strong regional presence but is </w:t>
      </w:r>
      <w:r w:rsidRPr="00E352BE">
        <w:rPr>
          <w:rFonts w:asciiTheme="minorHAnsi" w:eastAsia="Times New Roman" w:hAnsiTheme="minorHAnsi" w:cstheme="minorHAnsi"/>
        </w:rPr>
        <w:t>currently not managing to meet the current skills needs in regional and remote Australia, particularly for skill level 1 occupations.</w:t>
      </w:r>
    </w:p>
    <w:p w14:paraId="3240D079" w14:textId="7A5A3B29" w:rsidR="00E352BE" w:rsidRPr="00E352BE" w:rsidRDefault="00E352BE" w:rsidP="00297C3B">
      <w:pPr>
        <w:rPr>
          <w:rFonts w:asciiTheme="minorHAnsi" w:eastAsia="Times New Roman" w:hAnsiTheme="minorHAnsi"/>
        </w:rPr>
      </w:pPr>
      <w:r w:rsidRPr="0E6A4691">
        <w:t xml:space="preserve">There is a clear disparity between people completing higher education qualifications in regional and remote areas compared to </w:t>
      </w:r>
      <w:r w:rsidR="00431FA2">
        <w:rPr>
          <w:rFonts w:asciiTheme="minorHAnsi" w:eastAsia="Times New Roman" w:hAnsiTheme="minorHAnsi"/>
        </w:rPr>
        <w:t>major</w:t>
      </w:r>
      <w:r w:rsidRPr="0E6A4691">
        <w:rPr>
          <w:rFonts w:asciiTheme="minorHAnsi" w:eastAsia="Times New Roman" w:hAnsiTheme="minorHAnsi"/>
        </w:rPr>
        <w:t xml:space="preserve"> cities, with educational </w:t>
      </w:r>
      <w:r w:rsidRPr="00E352BE">
        <w:rPr>
          <w:rFonts w:asciiTheme="minorHAnsi" w:eastAsia="Times New Roman" w:hAnsiTheme="minorHAnsi" w:cstheme="minorHAnsi"/>
        </w:rPr>
        <w:t>attainment</w:t>
      </w:r>
      <w:r w:rsidRPr="0E6A4691">
        <w:rPr>
          <w:rFonts w:asciiTheme="minorHAnsi" w:eastAsia="Times New Roman" w:hAnsiTheme="minorHAnsi"/>
        </w:rPr>
        <w:t xml:space="preserve"> decreasing with increasing remoteness. </w:t>
      </w:r>
      <w:r w:rsidR="001B40D9">
        <w:t>In</w:t>
      </w:r>
      <w:r w:rsidR="001B40D9" w:rsidRPr="00E352BE">
        <w:rPr>
          <w:rFonts w:asciiTheme="minorHAnsi" w:eastAsia="Times New Roman" w:hAnsiTheme="minorHAnsi" w:cstheme="minorHAnsi"/>
        </w:rPr>
        <w:t xml:space="preserve"> the last </w:t>
      </w:r>
      <w:r w:rsidR="001B40D9">
        <w:rPr>
          <w:rFonts w:asciiTheme="minorHAnsi" w:eastAsia="Times New Roman" w:hAnsiTheme="minorHAnsi" w:cstheme="minorHAnsi"/>
        </w:rPr>
        <w:t>five</w:t>
      </w:r>
      <w:r w:rsidR="001B40D9" w:rsidRPr="00E352BE">
        <w:rPr>
          <w:rFonts w:asciiTheme="minorHAnsi" w:eastAsia="Times New Roman" w:hAnsiTheme="minorHAnsi" w:cstheme="minorHAnsi"/>
        </w:rPr>
        <w:t xml:space="preserve"> years</w:t>
      </w:r>
      <w:r w:rsidR="001B40D9">
        <w:rPr>
          <w:rFonts w:asciiTheme="minorHAnsi" w:eastAsia="Times New Roman" w:hAnsiTheme="minorHAnsi" w:cstheme="minorHAnsi"/>
        </w:rPr>
        <w:t>,</w:t>
      </w:r>
      <w:r w:rsidR="001B40D9" w:rsidRPr="00E352BE">
        <w:rPr>
          <w:rFonts w:asciiTheme="minorHAnsi" w:eastAsia="Times New Roman" w:hAnsiTheme="minorHAnsi" w:cstheme="minorHAnsi"/>
        </w:rPr>
        <w:t xml:space="preserve"> university enrolments in regional and remote areas have generally been declining. </w:t>
      </w:r>
      <w:r w:rsidRPr="0E6A4691">
        <w:rPr>
          <w:rFonts w:asciiTheme="minorHAnsi" w:eastAsia="Times New Roman" w:hAnsiTheme="minorHAnsi"/>
        </w:rPr>
        <w:t>Regionally headquartered universities have higher student attrition rates compared to the national average.</w:t>
      </w:r>
    </w:p>
    <w:p w14:paraId="3C5B45D9" w14:textId="4C332A23" w:rsidR="00E352BE" w:rsidRPr="00E352BE" w:rsidRDefault="00E352BE" w:rsidP="00297C3B">
      <w:pPr>
        <w:rPr>
          <w:rFonts w:asciiTheme="minorHAnsi" w:eastAsia="Times New Roman" w:hAnsiTheme="minorHAnsi" w:cstheme="minorHAnsi"/>
        </w:rPr>
      </w:pPr>
      <w:r w:rsidRPr="00E352BE">
        <w:t>Despite many regional universities offering courses in priority areas including health and education, skill shortages in many professional occupation</w:t>
      </w:r>
      <w:r w:rsidR="009E4A5A">
        <w:rPr>
          <w:rFonts w:asciiTheme="minorHAnsi" w:eastAsia="Times New Roman" w:hAnsiTheme="minorHAnsi" w:cstheme="minorHAnsi"/>
        </w:rPr>
        <w:t>s</w:t>
      </w:r>
      <w:r w:rsidRPr="00E352BE">
        <w:rPr>
          <w:rFonts w:asciiTheme="minorHAnsi" w:eastAsia="Times New Roman" w:hAnsiTheme="minorHAnsi" w:cstheme="minorHAnsi"/>
        </w:rPr>
        <w:t xml:space="preserve"> are persistent in regional areas.</w:t>
      </w:r>
    </w:p>
    <w:p w14:paraId="760AB858" w14:textId="2746D425" w:rsidR="00E352BE" w:rsidRPr="00E352BE" w:rsidRDefault="00E352BE" w:rsidP="00297C3B">
      <w:pPr>
        <w:rPr>
          <w:rFonts w:asciiTheme="minorHAnsi" w:eastAsia="Times New Roman" w:hAnsiTheme="minorHAnsi" w:cstheme="minorHAnsi"/>
        </w:rPr>
      </w:pPr>
      <w:r w:rsidRPr="00E352BE">
        <w:t xml:space="preserve">The Universities Accord Final Report outlines a </w:t>
      </w:r>
      <w:r w:rsidR="0054454E" w:rsidRPr="00E352BE">
        <w:rPr>
          <w:rFonts w:asciiTheme="minorHAnsi" w:eastAsia="Times New Roman" w:hAnsiTheme="minorHAnsi" w:cstheme="minorHAnsi"/>
        </w:rPr>
        <w:t>long-term</w:t>
      </w:r>
      <w:r w:rsidRPr="00E352BE">
        <w:rPr>
          <w:rFonts w:asciiTheme="minorHAnsi" w:eastAsia="Times New Roman" w:hAnsiTheme="minorHAnsi" w:cstheme="minorHAnsi"/>
        </w:rPr>
        <w:t xml:space="preserve"> reform plan for higher education, in which it sees raising participation and achievement in regional and remote areas as a priority. </w:t>
      </w:r>
    </w:p>
    <w:p w14:paraId="36A8D55A" w14:textId="77777777" w:rsidR="00E352BE" w:rsidRPr="00F622C6" w:rsidRDefault="00E352BE" w:rsidP="00413FC4">
      <w:pPr>
        <w:pStyle w:val="Heading4"/>
        <w:rPr>
          <w:rFonts w:asciiTheme="majorHAnsi" w:hAnsiTheme="majorHAnsi" w:cstheme="majorHAnsi"/>
        </w:rPr>
      </w:pPr>
      <w:bookmarkStart w:id="16" w:name="_Toc171937399"/>
      <w:r w:rsidRPr="00F622C6">
        <w:rPr>
          <w:rFonts w:asciiTheme="majorHAnsi" w:hAnsiTheme="majorHAnsi" w:cstheme="majorHAnsi"/>
        </w:rPr>
        <w:t>Vocational Education and Training</w:t>
      </w:r>
      <w:bookmarkEnd w:id="16"/>
      <w:r w:rsidRPr="00F622C6">
        <w:rPr>
          <w:rFonts w:asciiTheme="majorHAnsi" w:hAnsiTheme="majorHAnsi" w:cstheme="majorHAnsi"/>
        </w:rPr>
        <w:t xml:space="preserve"> </w:t>
      </w:r>
    </w:p>
    <w:p w14:paraId="584C68AC" w14:textId="0080D71C" w:rsidR="00E352BE" w:rsidRPr="00E352BE" w:rsidRDefault="00E352BE" w:rsidP="00297C3B">
      <w:pPr>
        <w:rPr>
          <w:rFonts w:asciiTheme="minorHAnsi" w:hAnsiTheme="minorHAnsi" w:cstheme="minorHAnsi"/>
        </w:rPr>
      </w:pPr>
      <w:r w:rsidRPr="00E352BE">
        <w:t xml:space="preserve">The delivery and attainment of VET varies significantly across regional areas. VET qualifications are most likely to be the highest level of educational attainment in regional and remote areas and VET provision is important for regional areas. </w:t>
      </w:r>
    </w:p>
    <w:p w14:paraId="09E05BBB" w14:textId="13D228C1" w:rsidR="00E352BE" w:rsidRPr="00E352BE" w:rsidRDefault="00E352BE" w:rsidP="00297C3B">
      <w:pPr>
        <w:rPr>
          <w:rFonts w:asciiTheme="minorHAnsi" w:hAnsiTheme="minorHAnsi" w:cstheme="minorHAnsi"/>
        </w:rPr>
      </w:pPr>
      <w:r w:rsidRPr="00E352BE">
        <w:t xml:space="preserve">There are, however, many barriers and issues faced in accessing VET in regional Australia. The coverage of </w:t>
      </w:r>
      <w:r w:rsidR="005657ED">
        <w:rPr>
          <w:rFonts w:asciiTheme="minorHAnsi" w:hAnsiTheme="minorHAnsi" w:cstheme="minorHAnsi"/>
        </w:rPr>
        <w:t>Registered Training Organisations (RTOs)</w:t>
      </w:r>
      <w:r w:rsidRPr="00E352BE">
        <w:rPr>
          <w:rFonts w:asciiTheme="minorHAnsi" w:hAnsiTheme="minorHAnsi" w:cstheme="minorHAnsi"/>
        </w:rPr>
        <w:t xml:space="preserve"> in remote areas is sparse. The sta</w:t>
      </w:r>
      <w:r>
        <w:rPr>
          <w:rFonts w:asciiTheme="minorHAnsi" w:hAnsiTheme="minorHAnsi" w:cstheme="minorHAnsi"/>
        </w:rPr>
        <w:t>t</w:t>
      </w:r>
      <w:r w:rsidRPr="00E352BE">
        <w:rPr>
          <w:rFonts w:asciiTheme="minorHAnsi" w:hAnsiTheme="minorHAnsi" w:cstheme="minorHAnsi"/>
        </w:rPr>
        <w:t>es with some very remote RTO head offices tended to have higher enrolments in these regions.</w:t>
      </w:r>
    </w:p>
    <w:p w14:paraId="14DB4A1D" w14:textId="5618A00C" w:rsidR="00E352BE" w:rsidRPr="00E352BE" w:rsidRDefault="00E352BE" w:rsidP="00297C3B">
      <w:pPr>
        <w:rPr>
          <w:rFonts w:asciiTheme="minorHAnsi" w:hAnsiTheme="minorHAnsi" w:cstheme="minorHAnsi"/>
        </w:rPr>
      </w:pPr>
      <w:r w:rsidRPr="00E352BE">
        <w:t xml:space="preserve">Students from regional and remote locations were more likely to enrol in </w:t>
      </w:r>
      <w:r w:rsidR="0054454E" w:rsidRPr="00E352BE">
        <w:rPr>
          <w:rFonts w:asciiTheme="minorHAnsi" w:hAnsiTheme="minorHAnsi" w:cstheme="minorHAnsi"/>
        </w:rPr>
        <w:t>lower-level</w:t>
      </w:r>
      <w:r w:rsidRPr="00E352BE">
        <w:rPr>
          <w:rFonts w:asciiTheme="minorHAnsi" w:hAnsiTheme="minorHAnsi" w:cstheme="minorHAnsi"/>
        </w:rPr>
        <w:t xml:space="preserve"> VET </w:t>
      </w:r>
      <w:r w:rsidR="00766C37">
        <w:rPr>
          <w:rFonts w:asciiTheme="minorHAnsi" w:hAnsiTheme="minorHAnsi" w:cstheme="minorHAnsi"/>
        </w:rPr>
        <w:t xml:space="preserve">courses </w:t>
      </w:r>
      <w:r w:rsidRPr="00E352BE">
        <w:rPr>
          <w:rFonts w:asciiTheme="minorHAnsi" w:hAnsiTheme="minorHAnsi" w:cstheme="minorHAnsi"/>
        </w:rPr>
        <w:t>than their m</w:t>
      </w:r>
      <w:r w:rsidR="00B46F07">
        <w:rPr>
          <w:rFonts w:asciiTheme="minorHAnsi" w:hAnsiTheme="minorHAnsi" w:cstheme="minorHAnsi"/>
        </w:rPr>
        <w:t>ajor city</w:t>
      </w:r>
      <w:r w:rsidRPr="00E352BE">
        <w:rPr>
          <w:rFonts w:asciiTheme="minorHAnsi" w:hAnsiTheme="minorHAnsi" w:cstheme="minorHAnsi"/>
        </w:rPr>
        <w:t xml:space="preserve"> counterparts. Enrolments in regional and remote Australia are highest in qualifications like Certificate III Individual Support</w:t>
      </w:r>
      <w:r w:rsidR="009E4A5A">
        <w:rPr>
          <w:rFonts w:asciiTheme="minorHAnsi" w:hAnsiTheme="minorHAnsi" w:cstheme="minorHAnsi"/>
        </w:rPr>
        <w:t>,</w:t>
      </w:r>
      <w:r w:rsidRPr="00E352BE">
        <w:rPr>
          <w:rFonts w:asciiTheme="minorHAnsi" w:hAnsiTheme="minorHAnsi" w:cstheme="minorHAnsi"/>
        </w:rPr>
        <w:t xml:space="preserve"> Certificate III Early Childhood Education and Care</w:t>
      </w:r>
      <w:r w:rsidR="009E4A5A">
        <w:rPr>
          <w:rFonts w:asciiTheme="minorHAnsi" w:hAnsiTheme="minorHAnsi" w:cstheme="minorHAnsi"/>
        </w:rPr>
        <w:t>,</w:t>
      </w:r>
      <w:r w:rsidRPr="00E352BE">
        <w:rPr>
          <w:rFonts w:asciiTheme="minorHAnsi" w:hAnsiTheme="minorHAnsi" w:cstheme="minorHAnsi"/>
        </w:rPr>
        <w:t xml:space="preserve"> </w:t>
      </w:r>
      <w:r w:rsidR="007C6B12">
        <w:rPr>
          <w:rFonts w:asciiTheme="minorHAnsi" w:hAnsiTheme="minorHAnsi" w:cstheme="minorHAnsi"/>
        </w:rPr>
        <w:t xml:space="preserve">and </w:t>
      </w:r>
      <w:r w:rsidRPr="00E352BE">
        <w:rPr>
          <w:rFonts w:asciiTheme="minorHAnsi" w:hAnsiTheme="minorHAnsi" w:cstheme="minorHAnsi"/>
        </w:rPr>
        <w:t>Certificate III</w:t>
      </w:r>
      <w:r w:rsidR="003526CC">
        <w:rPr>
          <w:rFonts w:asciiTheme="minorHAnsi" w:hAnsiTheme="minorHAnsi" w:cstheme="minorHAnsi"/>
        </w:rPr>
        <w:t xml:space="preserve"> in</w:t>
      </w:r>
      <w:r w:rsidRPr="00E352BE">
        <w:rPr>
          <w:rFonts w:asciiTheme="minorHAnsi" w:hAnsiTheme="minorHAnsi" w:cstheme="minorHAnsi"/>
        </w:rPr>
        <w:t xml:space="preserve"> Carpentry.</w:t>
      </w:r>
      <w:r w:rsidR="007C6B12">
        <w:rPr>
          <w:rFonts w:asciiTheme="minorHAnsi" w:hAnsiTheme="minorHAnsi" w:cstheme="minorHAnsi"/>
        </w:rPr>
        <w:t xml:space="preserve"> </w:t>
      </w:r>
      <w:r w:rsidRPr="00E352BE">
        <w:t>In remote Australia, Certificate III in Civil Construction Plant Operation is in the top 5 course enrolments and Certificate III in Engineering – Mechanical trade and Certificate III in Agriculture are in the top 10.</w:t>
      </w:r>
    </w:p>
    <w:p w14:paraId="754E49D1" w14:textId="4E0B1A42" w:rsidR="00E352BE" w:rsidRPr="00E352BE" w:rsidRDefault="00E352BE" w:rsidP="00297C3B">
      <w:pPr>
        <w:rPr>
          <w:rFonts w:asciiTheme="minorHAnsi" w:hAnsiTheme="minorHAnsi"/>
        </w:rPr>
      </w:pPr>
      <w:r w:rsidRPr="61FC3CE6">
        <w:t xml:space="preserve">The National Skills Agreement between the Commonwealth and the </w:t>
      </w:r>
      <w:r w:rsidR="008338E3" w:rsidRPr="61FC3CE6">
        <w:rPr>
          <w:rFonts w:asciiTheme="minorHAnsi" w:hAnsiTheme="minorHAnsi"/>
        </w:rPr>
        <w:t>s</w:t>
      </w:r>
      <w:r w:rsidRPr="61FC3CE6">
        <w:rPr>
          <w:rFonts w:asciiTheme="minorHAnsi" w:hAnsiTheme="minorHAnsi"/>
        </w:rPr>
        <w:t>tates, agree</w:t>
      </w:r>
      <w:r w:rsidR="0011792D" w:rsidRPr="61FC3CE6">
        <w:rPr>
          <w:rFonts w:asciiTheme="minorHAnsi" w:hAnsiTheme="minorHAnsi"/>
        </w:rPr>
        <w:t>d to</w:t>
      </w:r>
      <w:r w:rsidRPr="61FC3CE6">
        <w:rPr>
          <w:rFonts w:asciiTheme="minorHAnsi" w:hAnsiTheme="minorHAnsi"/>
        </w:rPr>
        <w:t xml:space="preserve"> in late 2023</w:t>
      </w:r>
      <w:r w:rsidR="00A17F06" w:rsidRPr="61FC3CE6">
        <w:rPr>
          <w:rFonts w:asciiTheme="minorHAnsi" w:hAnsiTheme="minorHAnsi"/>
        </w:rPr>
        <w:t>,</w:t>
      </w:r>
      <w:r w:rsidRPr="61FC3CE6">
        <w:rPr>
          <w:rFonts w:asciiTheme="minorHAnsi" w:hAnsiTheme="minorHAnsi"/>
        </w:rPr>
        <w:t xml:space="preserve"> will result in a significant increase in investment in VET across the states and territories. </w:t>
      </w:r>
      <w:r w:rsidR="00AC01FA">
        <w:rPr>
          <w:rFonts w:asciiTheme="minorHAnsi" w:hAnsiTheme="minorHAnsi"/>
        </w:rPr>
        <w:t xml:space="preserve">Further work by JSA </w:t>
      </w:r>
      <w:r w:rsidR="00141FC1">
        <w:rPr>
          <w:rFonts w:asciiTheme="minorHAnsi" w:hAnsiTheme="minorHAnsi"/>
        </w:rPr>
        <w:t>will</w:t>
      </w:r>
      <w:r w:rsidRPr="61FC3CE6">
        <w:rPr>
          <w:rFonts w:asciiTheme="minorHAnsi" w:hAnsiTheme="minorHAnsi"/>
        </w:rPr>
        <w:t xml:space="preserve"> examine</w:t>
      </w:r>
      <w:r w:rsidR="004F339B">
        <w:rPr>
          <w:rFonts w:asciiTheme="minorHAnsi" w:hAnsiTheme="minorHAnsi"/>
        </w:rPr>
        <w:t xml:space="preserve"> </w:t>
      </w:r>
      <w:r w:rsidRPr="61FC3CE6">
        <w:rPr>
          <w:rFonts w:asciiTheme="minorHAnsi" w:hAnsiTheme="minorHAnsi"/>
        </w:rPr>
        <w:t>these investments</w:t>
      </w:r>
      <w:r w:rsidR="00B84949">
        <w:rPr>
          <w:rFonts w:asciiTheme="minorHAnsi" w:hAnsiTheme="minorHAnsi"/>
        </w:rPr>
        <w:t>,</w:t>
      </w:r>
      <w:r w:rsidRPr="61FC3CE6">
        <w:rPr>
          <w:rFonts w:asciiTheme="minorHAnsi" w:hAnsiTheme="minorHAnsi"/>
        </w:rPr>
        <w:t xml:space="preserve"> </w:t>
      </w:r>
      <w:r w:rsidR="00A842C4">
        <w:rPr>
          <w:rFonts w:asciiTheme="minorHAnsi" w:hAnsiTheme="minorHAnsi"/>
        </w:rPr>
        <w:t xml:space="preserve">and </w:t>
      </w:r>
      <w:r w:rsidR="00A97948">
        <w:rPr>
          <w:rFonts w:asciiTheme="minorHAnsi" w:hAnsiTheme="minorHAnsi"/>
        </w:rPr>
        <w:t xml:space="preserve">current </w:t>
      </w:r>
      <w:r w:rsidR="004F339B" w:rsidRPr="61FC3CE6">
        <w:rPr>
          <w:rFonts w:asciiTheme="minorHAnsi" w:hAnsiTheme="minorHAnsi"/>
        </w:rPr>
        <w:t>state government priorities</w:t>
      </w:r>
      <w:r w:rsidR="00B9595B">
        <w:rPr>
          <w:rFonts w:asciiTheme="minorHAnsi" w:hAnsiTheme="minorHAnsi"/>
        </w:rPr>
        <w:t xml:space="preserve">, and </w:t>
      </w:r>
      <w:r w:rsidR="00B84949">
        <w:rPr>
          <w:rFonts w:asciiTheme="minorHAnsi" w:hAnsiTheme="minorHAnsi"/>
        </w:rPr>
        <w:t xml:space="preserve">consider </w:t>
      </w:r>
      <w:r w:rsidR="00B9595B" w:rsidRPr="61FC3CE6">
        <w:rPr>
          <w:rFonts w:asciiTheme="minorHAnsi" w:hAnsiTheme="minorHAnsi"/>
        </w:rPr>
        <w:t>the</w:t>
      </w:r>
      <w:r w:rsidR="00B9595B">
        <w:rPr>
          <w:rFonts w:asciiTheme="minorHAnsi" w:hAnsiTheme="minorHAnsi"/>
        </w:rPr>
        <w:t>ir</w:t>
      </w:r>
      <w:r w:rsidR="00B9595B" w:rsidRPr="61FC3CE6">
        <w:rPr>
          <w:rFonts w:asciiTheme="minorHAnsi" w:hAnsiTheme="minorHAnsi"/>
        </w:rPr>
        <w:t xml:space="preserve"> likely impact </w:t>
      </w:r>
      <w:r w:rsidRPr="61FC3CE6">
        <w:rPr>
          <w:rFonts w:asciiTheme="minorHAnsi" w:hAnsiTheme="minorHAnsi"/>
        </w:rPr>
        <w:t>on regional, rural and remote Australia</w:t>
      </w:r>
      <w:r w:rsidR="00B9595B">
        <w:rPr>
          <w:rFonts w:asciiTheme="minorHAnsi" w:hAnsiTheme="minorHAnsi"/>
        </w:rPr>
        <w:t>.</w:t>
      </w:r>
      <w:r w:rsidRPr="61FC3CE6">
        <w:rPr>
          <w:rFonts w:asciiTheme="minorHAnsi" w:hAnsiTheme="minorHAnsi"/>
        </w:rPr>
        <w:t xml:space="preserve"> </w:t>
      </w:r>
    </w:p>
    <w:p w14:paraId="689E097C" w14:textId="0853DB21" w:rsidR="00E352BE" w:rsidRPr="00F622C6" w:rsidRDefault="00E352BE" w:rsidP="00413FC4">
      <w:pPr>
        <w:pStyle w:val="Heading3"/>
        <w:rPr>
          <w:rFonts w:asciiTheme="majorHAnsi" w:hAnsiTheme="majorHAnsi" w:cstheme="majorHAnsi"/>
        </w:rPr>
      </w:pPr>
      <w:bookmarkStart w:id="17" w:name="_Toc171937400"/>
      <w:r w:rsidRPr="00F622C6">
        <w:rPr>
          <w:rFonts w:asciiTheme="majorHAnsi" w:hAnsiTheme="majorHAnsi" w:cstheme="majorHAnsi"/>
        </w:rPr>
        <w:t>Towards a Regional</w:t>
      </w:r>
      <w:r w:rsidR="009772A3">
        <w:rPr>
          <w:rFonts w:asciiTheme="majorHAnsi" w:hAnsiTheme="majorHAnsi" w:cstheme="majorHAnsi"/>
        </w:rPr>
        <w:t>,</w:t>
      </w:r>
      <w:r w:rsidRPr="00F622C6">
        <w:rPr>
          <w:rFonts w:asciiTheme="majorHAnsi" w:hAnsiTheme="majorHAnsi" w:cstheme="majorHAnsi"/>
        </w:rPr>
        <w:t xml:space="preserve"> Rural and Remote Jobs and Skills Roadmap</w:t>
      </w:r>
      <w:bookmarkEnd w:id="17"/>
      <w:r w:rsidRPr="00F622C6">
        <w:rPr>
          <w:rFonts w:asciiTheme="majorHAnsi" w:hAnsiTheme="majorHAnsi" w:cstheme="majorHAnsi"/>
        </w:rPr>
        <w:t xml:space="preserve"> </w:t>
      </w:r>
    </w:p>
    <w:p w14:paraId="6C4E1CB0" w14:textId="77777777" w:rsidR="00197191" w:rsidRDefault="00197191" w:rsidP="00297C3B">
      <w:pPr>
        <w:rPr>
          <w:rFonts w:asciiTheme="majorHAnsi" w:eastAsia="Arial" w:hAnsiTheme="majorHAnsi" w:cstheme="majorHAnsi"/>
        </w:rPr>
      </w:pPr>
      <w:r>
        <w:t>To</w:t>
      </w:r>
      <w:r w:rsidRPr="00CA76EF">
        <w:rPr>
          <w:rFonts w:asciiTheme="majorHAnsi" w:eastAsia="Arial" w:hAnsiTheme="majorHAnsi" w:cstheme="majorHAnsi"/>
        </w:rPr>
        <w:t xml:space="preserve"> ensure a region’s workforce can meet its current and future labour market needs, it is critical that the regional skills system can make effective connections and pathways to supply skills that meet demand of the future. </w:t>
      </w:r>
    </w:p>
    <w:p w14:paraId="0BAF7717" w14:textId="184C2998" w:rsidR="00197191" w:rsidRDefault="00197191" w:rsidP="00297C3B">
      <w:pPr>
        <w:rPr>
          <w:rFonts w:asciiTheme="majorHAnsi" w:eastAsia="Arial" w:hAnsiTheme="majorHAnsi" w:cstheme="majorHAnsi"/>
        </w:rPr>
      </w:pPr>
      <w:r>
        <w:t>The objectives of the roadmap are</w:t>
      </w:r>
      <w:r w:rsidR="003A1FB1">
        <w:t xml:space="preserve"> to</w:t>
      </w:r>
      <w:r>
        <w:t>:</w:t>
      </w:r>
    </w:p>
    <w:p w14:paraId="6578573D" w14:textId="3CBB0820" w:rsidR="00197191" w:rsidRPr="00297C3B" w:rsidRDefault="00197191" w:rsidP="000775B3">
      <w:pPr>
        <w:pStyle w:val="ListBullet"/>
      </w:pPr>
      <w:r w:rsidRPr="00297C3B">
        <w:t>identify the drivers and pressures on regional labour markets.</w:t>
      </w:r>
    </w:p>
    <w:p w14:paraId="54B7AD9B" w14:textId="7DED75D3" w:rsidR="00197191" w:rsidRPr="00297C3B" w:rsidRDefault="00197191" w:rsidP="000775B3">
      <w:pPr>
        <w:pStyle w:val="ListBullet"/>
      </w:pPr>
      <w:r w:rsidRPr="00297C3B">
        <w:t xml:space="preserve">assess the current performance of the regional skills system. </w:t>
      </w:r>
    </w:p>
    <w:p w14:paraId="258BE31C" w14:textId="39EE820D" w:rsidR="00197191" w:rsidRPr="00297C3B" w:rsidRDefault="00197191" w:rsidP="000775B3">
      <w:pPr>
        <w:pStyle w:val="ListBullet"/>
      </w:pPr>
      <w:r w:rsidRPr="00297C3B">
        <w:t>identify changes to the regional skills system resulting from current reform processes and their likely impact.</w:t>
      </w:r>
    </w:p>
    <w:p w14:paraId="02946DCF" w14:textId="5B46DDFF" w:rsidR="00197191" w:rsidRPr="00297C3B" w:rsidRDefault="00197191" w:rsidP="000775B3">
      <w:pPr>
        <w:pStyle w:val="ListBullet"/>
      </w:pPr>
      <w:r w:rsidRPr="00297C3B">
        <w:t>identify the residual challenges and explore potential remedies for discussion with key stakeholder and policy makers.</w:t>
      </w:r>
    </w:p>
    <w:p w14:paraId="04F2AE4B" w14:textId="2B0E5992" w:rsidR="00E352BE" w:rsidRPr="00A73C11" w:rsidRDefault="00E352BE" w:rsidP="00297C3B">
      <w:pPr>
        <w:rPr>
          <w:rFonts w:asciiTheme="minorHAnsi" w:eastAsia="Times New Roman" w:hAnsiTheme="minorHAnsi"/>
        </w:rPr>
      </w:pPr>
      <w:r w:rsidRPr="61FC3CE6">
        <w:t>Feedback on this</w:t>
      </w:r>
      <w:r w:rsidR="002145AE" w:rsidRPr="61FC3CE6">
        <w:t xml:space="preserve"> </w:t>
      </w:r>
      <w:r w:rsidR="009772A3">
        <w:t xml:space="preserve">interim </w:t>
      </w:r>
      <w:r w:rsidRPr="61FC3CE6">
        <w:t xml:space="preserve">report will help shape </w:t>
      </w:r>
      <w:r w:rsidR="008C44AA" w:rsidRPr="61FC3CE6">
        <w:rPr>
          <w:rFonts w:asciiTheme="majorHAnsi" w:eastAsia="Arial" w:hAnsiTheme="majorHAnsi" w:cstheme="majorBidi"/>
        </w:rPr>
        <w:t>the</w:t>
      </w:r>
      <w:r w:rsidRPr="61FC3CE6">
        <w:rPr>
          <w:rFonts w:asciiTheme="majorHAnsi" w:eastAsia="Arial" w:hAnsiTheme="majorHAnsi" w:cstheme="majorBidi"/>
        </w:rPr>
        <w:t xml:space="preserve"> research agenda</w:t>
      </w:r>
      <w:r w:rsidR="00DD0C62" w:rsidRPr="61FC3CE6">
        <w:rPr>
          <w:rFonts w:asciiTheme="majorHAnsi" w:eastAsia="Arial" w:hAnsiTheme="majorHAnsi" w:cstheme="majorBidi"/>
        </w:rPr>
        <w:t xml:space="preserve"> </w:t>
      </w:r>
      <w:r w:rsidRPr="61FC3CE6">
        <w:rPr>
          <w:rFonts w:asciiTheme="majorHAnsi" w:eastAsia="Arial" w:hAnsiTheme="majorHAnsi" w:cstheme="majorBidi"/>
        </w:rPr>
        <w:t xml:space="preserve">that will underpin </w:t>
      </w:r>
      <w:r w:rsidR="72E2693C" w:rsidRPr="61FC3CE6">
        <w:rPr>
          <w:rFonts w:asciiTheme="majorHAnsi" w:eastAsia="Arial" w:hAnsiTheme="majorHAnsi" w:cstheme="majorBidi"/>
        </w:rPr>
        <w:t xml:space="preserve">the </w:t>
      </w:r>
      <w:r w:rsidR="72E2693C" w:rsidRPr="61FC3CE6">
        <w:rPr>
          <w:rFonts w:asciiTheme="minorHAnsi" w:hAnsiTheme="minorHAnsi"/>
        </w:rPr>
        <w:t xml:space="preserve">Regional, Rural and Remote </w:t>
      </w:r>
      <w:r w:rsidR="00200DCA">
        <w:rPr>
          <w:rFonts w:asciiTheme="minorHAnsi" w:hAnsiTheme="minorHAnsi"/>
        </w:rPr>
        <w:t xml:space="preserve">Jobs and Skills </w:t>
      </w:r>
      <w:r w:rsidR="72E2693C" w:rsidRPr="61FC3CE6">
        <w:rPr>
          <w:rFonts w:asciiTheme="minorHAnsi" w:hAnsiTheme="minorHAnsi"/>
        </w:rPr>
        <w:t>Roadmap,</w:t>
      </w:r>
      <w:r w:rsidR="72E2693C" w:rsidRPr="61FC3CE6">
        <w:rPr>
          <w:rFonts w:asciiTheme="majorHAnsi" w:eastAsia="Arial" w:hAnsiTheme="majorHAnsi" w:cstheme="majorBidi"/>
        </w:rPr>
        <w:t xml:space="preserve"> </w:t>
      </w:r>
      <w:r w:rsidRPr="61FC3CE6">
        <w:rPr>
          <w:rFonts w:asciiTheme="majorHAnsi" w:eastAsia="Arial" w:hAnsiTheme="majorHAnsi" w:cstheme="majorBidi"/>
        </w:rPr>
        <w:t xml:space="preserve">which </w:t>
      </w:r>
      <w:r w:rsidR="00197191" w:rsidRPr="61FC3CE6">
        <w:rPr>
          <w:rFonts w:asciiTheme="majorHAnsi" w:eastAsia="Arial" w:hAnsiTheme="majorHAnsi" w:cstheme="majorBidi"/>
        </w:rPr>
        <w:t xml:space="preserve">aims </w:t>
      </w:r>
      <w:r w:rsidRPr="61FC3CE6">
        <w:rPr>
          <w:rFonts w:asciiTheme="majorHAnsi" w:eastAsia="Arial" w:hAnsiTheme="majorHAnsi" w:cstheme="majorBidi"/>
        </w:rPr>
        <w:t>to crystali</w:t>
      </w:r>
      <w:r w:rsidR="00D627CD">
        <w:rPr>
          <w:rFonts w:asciiTheme="majorHAnsi" w:eastAsia="Arial" w:hAnsiTheme="majorHAnsi" w:cstheme="majorBidi"/>
        </w:rPr>
        <w:t>s</w:t>
      </w:r>
      <w:r w:rsidRPr="61FC3CE6">
        <w:rPr>
          <w:rFonts w:asciiTheme="majorHAnsi" w:eastAsia="Arial" w:hAnsiTheme="majorHAnsi" w:cstheme="majorBidi"/>
        </w:rPr>
        <w:t xml:space="preserve">e the issues and challenges for jobs and skills in regional Australia and chart </w:t>
      </w:r>
      <w:r w:rsidR="14B1A14A" w:rsidRPr="61FC3CE6">
        <w:rPr>
          <w:rFonts w:asciiTheme="majorHAnsi" w:eastAsia="Arial" w:hAnsiTheme="majorHAnsi" w:cstheme="majorBidi"/>
        </w:rPr>
        <w:t>a</w:t>
      </w:r>
      <w:r w:rsidRPr="61FC3CE6">
        <w:rPr>
          <w:rFonts w:asciiTheme="majorHAnsi" w:eastAsia="Arial" w:hAnsiTheme="majorHAnsi" w:cstheme="majorBidi"/>
        </w:rPr>
        <w:t xml:space="preserve"> way forward in dealing with them.</w:t>
      </w:r>
    </w:p>
    <w:p w14:paraId="576FFDA8" w14:textId="3835170F" w:rsidR="00DC63F3" w:rsidRPr="00CA76EF" w:rsidRDefault="00DC63F3" w:rsidP="003D070F"/>
    <w:p w14:paraId="1440DAD4" w14:textId="77777777" w:rsidR="00911B6F" w:rsidRDefault="00911B6F" w:rsidP="003739A9">
      <w:pPr>
        <w:pStyle w:val="Heading1"/>
        <w:rPr>
          <w:rFonts w:asciiTheme="majorHAnsi" w:hAnsiTheme="majorHAnsi" w:cstheme="majorHAnsi"/>
        </w:rPr>
        <w:sectPr w:rsidR="00911B6F" w:rsidSect="00B56C82">
          <w:footerReference w:type="default" r:id="rId21"/>
          <w:footerReference w:type="first" r:id="rId22"/>
          <w:type w:val="continuous"/>
          <w:pgSz w:w="11906" w:h="16838"/>
          <w:pgMar w:top="1276" w:right="1440" w:bottom="1134" w:left="1440" w:header="0" w:footer="539" w:gutter="0"/>
          <w:cols w:space="708"/>
          <w:titlePg/>
          <w:docGrid w:linePitch="360"/>
        </w:sectPr>
      </w:pPr>
      <w:bookmarkStart w:id="18" w:name="_Toc171937401"/>
    </w:p>
    <w:p w14:paraId="099D0FF6" w14:textId="1B64E3FE" w:rsidR="00E777A8" w:rsidRPr="00FB5218" w:rsidRDefault="00AF605A" w:rsidP="003739A9">
      <w:pPr>
        <w:pStyle w:val="Heading1"/>
        <w:rPr>
          <w:rFonts w:asciiTheme="majorHAnsi" w:hAnsiTheme="majorHAnsi" w:cstheme="majorHAnsi"/>
        </w:rPr>
      </w:pPr>
      <w:bookmarkStart w:id="19" w:name="_Toc178173725"/>
      <w:r w:rsidRPr="00FB5218">
        <w:rPr>
          <w:rFonts w:asciiTheme="majorHAnsi" w:hAnsiTheme="majorHAnsi" w:cstheme="majorHAnsi"/>
        </w:rPr>
        <w:t xml:space="preserve">Regional Labour Market </w:t>
      </w:r>
      <w:r w:rsidR="003739A9" w:rsidRPr="00FB5218">
        <w:rPr>
          <w:rFonts w:asciiTheme="majorHAnsi" w:hAnsiTheme="majorHAnsi" w:cstheme="majorHAnsi"/>
        </w:rPr>
        <w:t>Summary</w:t>
      </w:r>
      <w:bookmarkEnd w:id="18"/>
      <w:bookmarkEnd w:id="19"/>
    </w:p>
    <w:tbl>
      <w:tblPr>
        <w:tblStyle w:val="Box"/>
        <w:tblW w:w="0" w:type="auto"/>
        <w:tblLook w:val="04A0" w:firstRow="1" w:lastRow="0" w:firstColumn="1" w:lastColumn="0" w:noHBand="0" w:noVBand="1"/>
      </w:tblPr>
      <w:tblGrid>
        <w:gridCol w:w="8996"/>
      </w:tblGrid>
      <w:tr w:rsidR="000775B3" w14:paraId="460007E6" w14:textId="77777777" w:rsidTr="005C1F87">
        <w:tc>
          <w:tcPr>
            <w:tcW w:w="9016" w:type="dxa"/>
          </w:tcPr>
          <w:p w14:paraId="7E45921D" w14:textId="77777777" w:rsidR="000775B3" w:rsidRPr="003739A9" w:rsidRDefault="000775B3" w:rsidP="000775B3">
            <w:pPr>
              <w:pStyle w:val="Heading2"/>
              <w:rPr>
                <w:rFonts w:asciiTheme="minorHAnsi" w:hAnsiTheme="minorHAnsi" w:cstheme="minorHAnsi"/>
              </w:rPr>
            </w:pPr>
            <w:bookmarkStart w:id="20" w:name="_Toc178173726"/>
            <w:bookmarkStart w:id="21" w:name="_Toc171937402"/>
            <w:r>
              <w:rPr>
                <w:rFonts w:asciiTheme="minorHAnsi" w:hAnsiTheme="minorHAnsi" w:cstheme="minorHAnsi"/>
              </w:rPr>
              <w:t>Key Findings</w:t>
            </w:r>
            <w:bookmarkEnd w:id="20"/>
          </w:p>
          <w:p w14:paraId="4E0355D9" w14:textId="77777777" w:rsidR="000775B3" w:rsidRPr="00297C3B" w:rsidRDefault="000775B3" w:rsidP="000775B3">
            <w:pPr>
              <w:pStyle w:val="ListBullet"/>
            </w:pPr>
            <w:r w:rsidRPr="00297C3B">
              <w:t xml:space="preserve">Australia’s labour market remains reasonably strong, despite some recent slowing in economic activity. Going forward, the labour market is expected to ease in the period ahead, with a number of measures of labour demand tapering off in recent months. </w:t>
            </w:r>
          </w:p>
          <w:p w14:paraId="710154A6" w14:textId="77777777" w:rsidR="000775B3" w:rsidRPr="00297C3B" w:rsidRDefault="000775B3" w:rsidP="000775B3">
            <w:pPr>
              <w:pStyle w:val="ListBullet"/>
            </w:pPr>
            <w:r w:rsidRPr="00297C3B">
              <w:t xml:space="preserve">While most regions have benefited from the recent strong conditions, there remains persistent disadvantage between the stronger and poorer-performing regions. </w:t>
            </w:r>
          </w:p>
          <w:p w14:paraId="5B1956F2" w14:textId="77777777" w:rsidR="000775B3" w:rsidRPr="00297C3B" w:rsidRDefault="000775B3" w:rsidP="000775B3">
            <w:pPr>
              <w:pStyle w:val="ListBullet"/>
            </w:pPr>
            <w:r w:rsidRPr="00297C3B">
              <w:t xml:space="preserve">Labour market challenges are more pronounced in regional and remote areas, with these areas generally facing limited job opportunities, higher unemployment, lower educational attainment levels and difficulties in attracting suitable workers. This is reflected in these regions having poorer labour market performance.   </w:t>
            </w:r>
          </w:p>
          <w:p w14:paraId="76295874" w14:textId="77777777" w:rsidR="000775B3" w:rsidRPr="00297C3B" w:rsidRDefault="000775B3" w:rsidP="000775B3">
            <w:pPr>
              <w:pStyle w:val="ListBullet"/>
            </w:pPr>
            <w:r w:rsidRPr="00297C3B">
              <w:t>There are a number of key trends driving regional labour market variation including population growth, ageing population and a dependence on the care and support sectors, growth in a high skilled workforce and the net zero transformation.</w:t>
            </w:r>
          </w:p>
          <w:p w14:paraId="2B33527A" w14:textId="77777777" w:rsidR="000775B3" w:rsidRPr="00297C3B" w:rsidRDefault="000775B3" w:rsidP="000775B3">
            <w:pPr>
              <w:pStyle w:val="ListBullet"/>
            </w:pPr>
            <w:r w:rsidRPr="00297C3B">
              <w:t>Coastal regions have benefited from strong population growth, driven predominately by net internal migration. While strong population growth has many advantages, it can pose some challenges.</w:t>
            </w:r>
          </w:p>
          <w:p w14:paraId="6AEFE15E" w14:textId="77777777" w:rsidR="000775B3" w:rsidRPr="00297C3B" w:rsidRDefault="000775B3" w:rsidP="000775B3">
            <w:pPr>
              <w:pStyle w:val="ListBullet"/>
            </w:pPr>
            <w:r w:rsidRPr="00297C3B">
              <w:t>Regional and remote areas have an older age demographic. The ageing of the population presents a number of challenges for the workforce, reducing the labour supply available as older workers retire. It will also place additional pressure on the care and support sector, a sector already facing significant shortages in regional areas.</w:t>
            </w:r>
          </w:p>
          <w:p w14:paraId="0FA5C531" w14:textId="34C5AD8C" w:rsidR="000775B3" w:rsidRPr="00297C3B" w:rsidRDefault="000775B3" w:rsidP="000775B3">
            <w:pPr>
              <w:pStyle w:val="ListBullet"/>
            </w:pPr>
            <w:r w:rsidRPr="00297C3B">
              <w:t>Increasing demand for more highly skilled jobs has had an uneven impact across regions.</w:t>
            </w:r>
            <w:r w:rsidR="006B3DD7">
              <w:t xml:space="preserve"> </w:t>
            </w:r>
            <w:r w:rsidR="006B3DD7" w:rsidRPr="006B3DD7">
              <w:t>Unlike capital cities and regional cities, where there has been the largest shift in the share of employment towards skill level 1 occupations, regional and remote areas have experienced a shift in the share of employment towards occupations where VET is the primary pathway</w:t>
            </w:r>
            <w:r w:rsidR="006B3DD7">
              <w:t>, in addition to increased share in skill level 1 roles</w:t>
            </w:r>
            <w:r w:rsidRPr="00297C3B">
              <w:t>.</w:t>
            </w:r>
          </w:p>
          <w:p w14:paraId="658AADF5" w14:textId="77777777" w:rsidR="000775B3" w:rsidRPr="00297C3B" w:rsidRDefault="000775B3" w:rsidP="000775B3">
            <w:pPr>
              <w:pStyle w:val="ListBullet"/>
            </w:pPr>
            <w:r w:rsidRPr="00297C3B">
              <w:t>A number of regional areas across Australia will be disproportionately impacted by the impact of decarbonisation due to the high share of workers in transitioning sectors.</w:t>
            </w:r>
          </w:p>
          <w:p w14:paraId="144082F2" w14:textId="77777777" w:rsidR="000775B3" w:rsidRPr="00297C3B" w:rsidRDefault="000775B3" w:rsidP="000775B3">
            <w:pPr>
              <w:pStyle w:val="ListBullet"/>
            </w:pPr>
            <w:r w:rsidRPr="00297C3B">
              <w:t>It is also important to recognise that there are a number of other broader drivers, such as housing, transport and access to services, that play a crucial role in attracting and keeping people that contribute to the workforce in regional Australia.</w:t>
            </w:r>
          </w:p>
          <w:p w14:paraId="23C1344C" w14:textId="48D8B0D7" w:rsidR="000775B3" w:rsidRDefault="000775B3" w:rsidP="000775B3">
            <w:pPr>
              <w:pStyle w:val="ListBullet"/>
            </w:pPr>
            <w:r w:rsidRPr="00297C3B">
              <w:t>Understanding the capacity of regions to adjust to economic transition is of increasing interest to policy makers. JSA seeks to contribute to the growing evidence base on regional vulnerability by assessing a regions adaptive capacity by developing a skill’s-based approach.</w:t>
            </w:r>
          </w:p>
        </w:tc>
      </w:tr>
    </w:tbl>
    <w:p w14:paraId="6F97EFEF" w14:textId="77777777" w:rsidR="000775B3" w:rsidRDefault="000775B3" w:rsidP="000775B3"/>
    <w:p w14:paraId="0D1E7D33" w14:textId="37923574" w:rsidR="003739A9" w:rsidRPr="003D6C8A" w:rsidRDefault="003739A9" w:rsidP="003739A9">
      <w:pPr>
        <w:pStyle w:val="Heading2"/>
        <w:rPr>
          <w:rFonts w:asciiTheme="minorHAnsi" w:hAnsiTheme="minorHAnsi" w:cstheme="minorHAnsi"/>
        </w:rPr>
      </w:pPr>
      <w:bookmarkStart w:id="22" w:name="_Toc171937403"/>
      <w:bookmarkStart w:id="23" w:name="_Toc178173727"/>
      <w:bookmarkEnd w:id="21"/>
      <w:r w:rsidRPr="003D6C8A">
        <w:rPr>
          <w:rFonts w:asciiTheme="minorHAnsi" w:hAnsiTheme="minorHAnsi" w:cstheme="minorHAnsi"/>
        </w:rPr>
        <w:t xml:space="preserve">National labour market </w:t>
      </w:r>
      <w:r w:rsidR="003D6C8A" w:rsidRPr="003D6C8A">
        <w:rPr>
          <w:rFonts w:asciiTheme="minorHAnsi" w:hAnsiTheme="minorHAnsi" w:cstheme="minorHAnsi"/>
        </w:rPr>
        <w:t>summary</w:t>
      </w:r>
      <w:bookmarkEnd w:id="22"/>
      <w:bookmarkEnd w:id="23"/>
    </w:p>
    <w:p w14:paraId="27B992B1" w14:textId="4ECB5F99" w:rsidR="00C9084F" w:rsidRPr="00C156AE" w:rsidRDefault="00C9084F" w:rsidP="00C156AE">
      <w:pPr>
        <w:pStyle w:val="Heading3"/>
        <w:rPr>
          <w:rFonts w:asciiTheme="minorHAnsi" w:hAnsiTheme="minorHAnsi" w:cstheme="minorHAnsi"/>
          <w:b w:val="0"/>
          <w:szCs w:val="26"/>
        </w:rPr>
      </w:pPr>
      <w:r w:rsidRPr="00C156AE">
        <w:rPr>
          <w:rFonts w:asciiTheme="majorHAnsi" w:hAnsiTheme="majorHAnsi" w:cstheme="majorHAnsi"/>
        </w:rPr>
        <w:t xml:space="preserve">Australia’s labour market remains tight, despite </w:t>
      </w:r>
      <w:r w:rsidR="00AF605A" w:rsidRPr="00C72419">
        <w:rPr>
          <w:rFonts w:asciiTheme="majorHAnsi" w:hAnsiTheme="majorHAnsi" w:cstheme="majorHAnsi"/>
        </w:rPr>
        <w:t>a slowing in economic activity</w:t>
      </w:r>
    </w:p>
    <w:p w14:paraId="16759F8F" w14:textId="1D2A2D14" w:rsidR="00E702CA" w:rsidRPr="00297C3B" w:rsidRDefault="004F69B7" w:rsidP="00B22427">
      <w:pPr>
        <w:rPr>
          <w:rFonts w:asciiTheme="minorHAnsi" w:hAnsiTheme="minorHAnsi" w:cstheme="minorHAnsi"/>
        </w:rPr>
      </w:pPr>
      <w:r w:rsidRPr="00F35ECB">
        <w:t>D</w:t>
      </w:r>
      <w:r w:rsidR="00C9084F" w:rsidRPr="00297C3B">
        <w:t xml:space="preserve">espite </w:t>
      </w:r>
      <w:r w:rsidR="00225111" w:rsidRPr="00297C3B">
        <w:t xml:space="preserve">a </w:t>
      </w:r>
      <w:r w:rsidR="00C9084F" w:rsidRPr="00297C3B">
        <w:t>recent easing in economic activity</w:t>
      </w:r>
      <w:r w:rsidR="00E702CA" w:rsidRPr="00297C3B">
        <w:t xml:space="preserve">, with earlier interest rate rises and weak consumer spending </w:t>
      </w:r>
      <w:r w:rsidR="00C04B33" w:rsidRPr="00297C3B">
        <w:t>weighing on economic activity</w:t>
      </w:r>
      <w:r w:rsidR="003D2D53" w:rsidRPr="00297C3B">
        <w:t xml:space="preserve"> </w:t>
      </w:r>
      <w:r w:rsidR="00947197" w:rsidRPr="00297C3B">
        <w:t>in 2024</w:t>
      </w:r>
      <w:r w:rsidRPr="00297C3B">
        <w:t>, Australia’s labour market remains relatively tight</w:t>
      </w:r>
      <w:r w:rsidR="0076699D" w:rsidRPr="00297C3B">
        <w:t xml:space="preserve">. </w:t>
      </w:r>
      <w:r w:rsidR="0076699D" w:rsidRPr="00297C3B">
        <w:rPr>
          <w:rFonts w:asciiTheme="minorHAnsi" w:hAnsiTheme="minorHAnsi" w:cstheme="minorHAnsi"/>
        </w:rPr>
        <w:t>That said,</w:t>
      </w:r>
      <w:r w:rsidR="00012541" w:rsidRPr="00297C3B">
        <w:rPr>
          <w:rFonts w:asciiTheme="minorHAnsi" w:hAnsiTheme="minorHAnsi" w:cstheme="minorHAnsi"/>
        </w:rPr>
        <w:t xml:space="preserve"> some </w:t>
      </w:r>
      <w:r w:rsidR="001C4CD9" w:rsidRPr="00297C3B">
        <w:rPr>
          <w:rFonts w:asciiTheme="minorHAnsi" w:hAnsiTheme="minorHAnsi" w:cstheme="minorHAnsi"/>
        </w:rPr>
        <w:t>softening in the hours worked, together</w:t>
      </w:r>
      <w:r w:rsidR="006E06AA" w:rsidRPr="00297C3B">
        <w:rPr>
          <w:rFonts w:asciiTheme="minorHAnsi" w:hAnsiTheme="minorHAnsi" w:cstheme="minorHAnsi"/>
        </w:rPr>
        <w:t xml:space="preserve"> with</w:t>
      </w:r>
      <w:r w:rsidR="001C4CD9" w:rsidRPr="00297C3B">
        <w:rPr>
          <w:rFonts w:asciiTheme="minorHAnsi" w:hAnsiTheme="minorHAnsi" w:cstheme="minorHAnsi"/>
        </w:rPr>
        <w:t xml:space="preserve"> </w:t>
      </w:r>
      <w:r w:rsidR="00D348C8" w:rsidRPr="00297C3B">
        <w:rPr>
          <w:rFonts w:asciiTheme="minorHAnsi" w:hAnsiTheme="minorHAnsi" w:cstheme="minorHAnsi"/>
        </w:rPr>
        <w:t>an increase in the underemployment rate</w:t>
      </w:r>
      <w:r w:rsidR="001C4CD9" w:rsidRPr="00297C3B">
        <w:rPr>
          <w:rFonts w:asciiTheme="minorHAnsi" w:hAnsiTheme="minorHAnsi" w:cstheme="minorHAnsi"/>
        </w:rPr>
        <w:t xml:space="preserve"> </w:t>
      </w:r>
      <w:r w:rsidR="00D348C8" w:rsidRPr="00297C3B">
        <w:rPr>
          <w:rFonts w:asciiTheme="minorHAnsi" w:hAnsiTheme="minorHAnsi" w:cstheme="minorHAnsi"/>
        </w:rPr>
        <w:t>suggest</w:t>
      </w:r>
      <w:r w:rsidR="00DF3835" w:rsidRPr="00297C3B">
        <w:rPr>
          <w:rFonts w:asciiTheme="minorHAnsi" w:hAnsiTheme="minorHAnsi" w:cstheme="minorHAnsi"/>
        </w:rPr>
        <w:t>s</w:t>
      </w:r>
      <w:r w:rsidR="001C4CD9" w:rsidRPr="00297C3B">
        <w:rPr>
          <w:rFonts w:asciiTheme="minorHAnsi" w:hAnsiTheme="minorHAnsi" w:cstheme="minorHAnsi"/>
        </w:rPr>
        <w:t xml:space="preserve"> </w:t>
      </w:r>
      <w:r w:rsidR="0076699D" w:rsidRPr="00297C3B">
        <w:rPr>
          <w:rFonts w:asciiTheme="minorHAnsi" w:hAnsiTheme="minorHAnsi" w:cstheme="minorHAnsi"/>
        </w:rPr>
        <w:t xml:space="preserve">some </w:t>
      </w:r>
      <w:r w:rsidR="00012541" w:rsidRPr="00297C3B">
        <w:rPr>
          <w:rFonts w:asciiTheme="minorHAnsi" w:hAnsiTheme="minorHAnsi" w:cstheme="minorHAnsi"/>
        </w:rPr>
        <w:t xml:space="preserve">signs of </w:t>
      </w:r>
      <w:r w:rsidR="00D348C8" w:rsidRPr="00297C3B">
        <w:rPr>
          <w:rFonts w:asciiTheme="minorHAnsi" w:hAnsiTheme="minorHAnsi" w:cstheme="minorHAnsi"/>
        </w:rPr>
        <w:t>labour market slack are emer</w:t>
      </w:r>
      <w:r w:rsidR="008F0E05" w:rsidRPr="00297C3B">
        <w:rPr>
          <w:rFonts w:asciiTheme="minorHAnsi" w:hAnsiTheme="minorHAnsi" w:cstheme="minorHAnsi"/>
        </w:rPr>
        <w:t>ging</w:t>
      </w:r>
      <w:r w:rsidR="00BE14A9" w:rsidRPr="00297C3B">
        <w:rPr>
          <w:rFonts w:asciiTheme="minorHAnsi" w:hAnsiTheme="minorHAnsi" w:cstheme="minorHAnsi"/>
        </w:rPr>
        <w:t>.</w:t>
      </w:r>
    </w:p>
    <w:p w14:paraId="153D50F8" w14:textId="16C95839" w:rsidR="00C9084F" w:rsidRPr="00297C3B" w:rsidRDefault="00C9084F" w:rsidP="00F35ECB">
      <w:r w:rsidRPr="00F35ECB">
        <w:t>Strong and sustained employment growth in recent years has seen Australia’s unemployment rate remain low</w:t>
      </w:r>
      <w:r w:rsidR="002D7B72" w:rsidRPr="00297C3B">
        <w:t xml:space="preserve"> and the </w:t>
      </w:r>
      <w:r w:rsidRPr="00297C3B">
        <w:t xml:space="preserve">participation rate at record highs. </w:t>
      </w:r>
    </w:p>
    <w:p w14:paraId="6C57E433" w14:textId="0F342BFE" w:rsidR="00C9084F" w:rsidRPr="00297C3B" w:rsidRDefault="00C9084F" w:rsidP="00F35ECB">
      <w:r w:rsidRPr="00F35ECB">
        <w:t xml:space="preserve">Encouragingly, the recent strength in the labour market has enabled more people in cohorts that traditionally face barriers to employment </w:t>
      </w:r>
      <w:r w:rsidR="323A0CA5" w:rsidRPr="00F35ECB">
        <w:t>to</w:t>
      </w:r>
      <w:r w:rsidRPr="00F35ECB">
        <w:t xml:space="preserve"> find work. Female participation reached a record high in late </w:t>
      </w:r>
      <w:r w:rsidRPr="00297C3B">
        <w:t>2023, while youth unemployment remains low compared to pre</w:t>
      </w:r>
      <w:r w:rsidR="007D1B04">
        <w:rPr>
          <w:rFonts w:cs="Arial"/>
          <w:kern w:val="2"/>
          <w14:ligatures w14:val="standardContextual"/>
        </w:rPr>
        <w:t>–</w:t>
      </w:r>
      <w:r w:rsidRPr="00297C3B">
        <w:t>pandemic levels.</w:t>
      </w:r>
    </w:p>
    <w:p w14:paraId="02DA7BE1" w14:textId="4A76D55E" w:rsidR="00C9084F" w:rsidRPr="00297C3B" w:rsidRDefault="00C9084F" w:rsidP="00F35ECB">
      <w:r w:rsidRPr="00F35ECB">
        <w:t xml:space="preserve">While underlying </w:t>
      </w:r>
      <w:r w:rsidR="008D5978" w:rsidRPr="00297C3B">
        <w:t>labour market</w:t>
      </w:r>
      <w:r w:rsidRPr="00297C3B">
        <w:t xml:space="preserve"> conditions remain reasonably strong, there are signs that the labour market is easing as other measures of labour market slack, such as underemployment are emerging. This is further backed by signs of easing in labour demand, as seen in</w:t>
      </w:r>
      <w:r w:rsidRPr="00D02BA0">
        <w:rPr>
          <w:rFonts w:asciiTheme="majorHAnsi" w:eastAsia="Arial" w:hAnsiTheme="majorHAnsi" w:cstheme="majorHAnsi"/>
        </w:rPr>
        <w:t xml:space="preserve"> </w:t>
      </w:r>
      <w:hyperlink r:id="rId23" w:history="1">
        <w:r w:rsidRPr="000B6E9F">
          <w:rPr>
            <w:rStyle w:val="Hyperlink"/>
            <w:rFonts w:asciiTheme="majorHAnsi" w:eastAsia="Arial" w:hAnsiTheme="majorHAnsi" w:cstheme="majorHAnsi"/>
          </w:rPr>
          <w:t>JSA’s Internet Vacancy Index (IVI)</w:t>
        </w:r>
      </w:hyperlink>
      <w:r w:rsidRPr="00D02BA0">
        <w:rPr>
          <w:rFonts w:asciiTheme="majorHAnsi" w:eastAsia="Arial" w:hAnsiTheme="majorHAnsi" w:cstheme="majorHAnsi"/>
        </w:rPr>
        <w:t xml:space="preserve"> </w:t>
      </w:r>
      <w:r w:rsidRPr="00297C3B">
        <w:t>and</w:t>
      </w:r>
      <w:r w:rsidRPr="00D02BA0">
        <w:rPr>
          <w:rFonts w:asciiTheme="majorHAnsi" w:eastAsia="Arial" w:hAnsiTheme="majorHAnsi" w:cstheme="majorHAnsi"/>
        </w:rPr>
        <w:t xml:space="preserve"> </w:t>
      </w:r>
      <w:hyperlink r:id="rId24" w:history="1">
        <w:r w:rsidRPr="00FE5328">
          <w:rPr>
            <w:rStyle w:val="Hyperlink"/>
            <w:rFonts w:asciiTheme="majorHAnsi" w:eastAsia="Arial" w:hAnsiTheme="majorHAnsi" w:cstheme="majorHAnsi"/>
          </w:rPr>
          <w:t>Recruitment Experiences and Outlook Survey (REOS)</w:t>
        </w:r>
      </w:hyperlink>
      <w:r w:rsidRPr="00D02BA0">
        <w:rPr>
          <w:rFonts w:asciiTheme="majorHAnsi" w:eastAsia="Arial" w:hAnsiTheme="majorHAnsi" w:cstheme="majorHAnsi"/>
        </w:rPr>
        <w:t xml:space="preserve">, </w:t>
      </w:r>
      <w:r w:rsidRPr="00297C3B">
        <w:t xml:space="preserve">which both show that </w:t>
      </w:r>
      <w:r w:rsidR="00966277" w:rsidRPr="00297C3B">
        <w:t xml:space="preserve">vacancies and </w:t>
      </w:r>
      <w:r w:rsidRPr="00297C3B">
        <w:t>recruitment activity is tapering off.</w:t>
      </w:r>
      <w:r w:rsidR="00357204" w:rsidRPr="00297C3B">
        <w:t xml:space="preserve"> The labour market is expected to ease further </w:t>
      </w:r>
      <w:r w:rsidR="00CB5C5A" w:rsidRPr="00297C3B">
        <w:t xml:space="preserve">in the </w:t>
      </w:r>
      <w:r w:rsidR="004F69B7" w:rsidRPr="00297C3B">
        <w:t>period ahead.</w:t>
      </w:r>
    </w:p>
    <w:p w14:paraId="12CF2A40" w14:textId="7CA5C547" w:rsidR="00C9084F" w:rsidRPr="00297C3B" w:rsidRDefault="00C9084F" w:rsidP="00AE5ABC">
      <w:r w:rsidRPr="00AE5ABC">
        <w:t xml:space="preserve">This is also consistent with Treasury’s </w:t>
      </w:r>
      <w:r w:rsidRPr="00297C3B">
        <w:t>2024</w:t>
      </w:r>
      <w:r w:rsidR="007D1B04">
        <w:rPr>
          <w:rFonts w:cs="Arial"/>
          <w:kern w:val="2"/>
          <w14:ligatures w14:val="standardContextual"/>
        </w:rPr>
        <w:t>–</w:t>
      </w:r>
      <w:r w:rsidRPr="00297C3B">
        <w:t>25 Budget forecasts, which are for the pace of employment growth to slow to</w:t>
      </w:r>
      <w:r w:rsidR="005A17D4">
        <w:t xml:space="preserve"> </w:t>
      </w:r>
      <w:r w:rsidR="009E15F8">
        <w:t>¾</w:t>
      </w:r>
      <w:r w:rsidRPr="00297C3B">
        <w:t>% in 2024</w:t>
      </w:r>
      <w:r w:rsidR="007D1B04">
        <w:rPr>
          <w:rFonts w:cs="Arial"/>
          <w:kern w:val="2"/>
          <w14:ligatures w14:val="standardContextual"/>
        </w:rPr>
        <w:t>–</w:t>
      </w:r>
      <w:r w:rsidRPr="00297C3B">
        <w:t>25, with the unemployment rate expected to increase to 4½% by the June quarter 2025</w:t>
      </w:r>
      <w:r w:rsidR="00333A41" w:rsidRPr="00297C3B">
        <w:t>.</w:t>
      </w:r>
      <w:r w:rsidRPr="00297C3B">
        <w:rPr>
          <w:rStyle w:val="FootnoteReference"/>
        </w:rPr>
        <w:footnoteReference w:id="5"/>
      </w:r>
    </w:p>
    <w:p w14:paraId="615EC755" w14:textId="77777777" w:rsidR="00D2015C" w:rsidRDefault="003739A9" w:rsidP="003739A9">
      <w:pPr>
        <w:pStyle w:val="Heading2"/>
        <w:rPr>
          <w:rFonts w:asciiTheme="minorHAnsi" w:hAnsiTheme="minorHAnsi" w:cstheme="minorHAnsi"/>
        </w:rPr>
      </w:pPr>
      <w:bookmarkStart w:id="24" w:name="_Toc171937404"/>
      <w:bookmarkStart w:id="25" w:name="_Toc178173728"/>
      <w:r w:rsidRPr="003739A9">
        <w:rPr>
          <w:rFonts w:asciiTheme="minorHAnsi" w:hAnsiTheme="minorHAnsi" w:cstheme="minorHAnsi"/>
        </w:rPr>
        <w:t>Regional labour market performance</w:t>
      </w:r>
      <w:bookmarkEnd w:id="24"/>
      <w:bookmarkEnd w:id="25"/>
    </w:p>
    <w:p w14:paraId="4A2F4566" w14:textId="1CE79FCE" w:rsidR="00A0155F" w:rsidRPr="00B56C82" w:rsidRDefault="00A0155F" w:rsidP="00A0155F">
      <w:r w:rsidRPr="00B56C82">
        <w:t xml:space="preserve">The June 2024 </w:t>
      </w:r>
      <w:r w:rsidR="00EC5177">
        <w:t xml:space="preserve">results from JSA’s </w:t>
      </w:r>
      <w:r w:rsidRPr="00A02F5D">
        <w:rPr>
          <w:i/>
          <w:iCs/>
        </w:rPr>
        <w:t>Regional Labour Market Indicator</w:t>
      </w:r>
      <w:r>
        <w:t xml:space="preserve"> (</w:t>
      </w:r>
      <w:r w:rsidRPr="00B56C82">
        <w:t>RLMI</w:t>
      </w:r>
      <w:r>
        <w:t>)</w:t>
      </w:r>
      <w:r>
        <w:rPr>
          <w:rStyle w:val="FootnoteReference"/>
        </w:rPr>
        <w:footnoteReference w:id="6"/>
      </w:r>
      <w:r w:rsidRPr="00B56C82">
        <w:t xml:space="preserve"> results confirm that regional and remote areas are more likely to experience weaker labour market conditions than their metropolitan city counterparts, highlighting the additional challenges faced in many regional areas by both employers and jobseekers (Figure 1). </w:t>
      </w:r>
    </w:p>
    <w:p w14:paraId="128630AD" w14:textId="44F9DDD9" w:rsidR="00A0155F" w:rsidRDefault="00A0155F" w:rsidP="00CC6DC2">
      <w:pPr>
        <w:pStyle w:val="Caption"/>
        <w:rPr>
          <w:rFonts w:asciiTheme="minorHAnsi" w:hAnsiTheme="minorHAnsi" w:cstheme="minorHAnsi"/>
          <w:szCs w:val="20"/>
        </w:rPr>
      </w:pPr>
      <w:r w:rsidRPr="00CC6DC2">
        <w:rPr>
          <w:rFonts w:asciiTheme="minorHAnsi" w:hAnsiTheme="minorHAnsi" w:cstheme="minorHAnsi"/>
          <w:szCs w:val="20"/>
        </w:rPr>
        <w:t>Figure 1: RLMI ratings of relative labour market performance, June 2024</w:t>
      </w:r>
    </w:p>
    <w:p w14:paraId="3A68DD99" w14:textId="6409F838" w:rsidR="009B70D2" w:rsidRPr="009B70D2" w:rsidRDefault="009B70D2" w:rsidP="009B70D2">
      <w:r w:rsidRPr="00CC6DC2">
        <w:rPr>
          <w:rFonts w:asciiTheme="minorHAnsi" w:hAnsiTheme="minorHAnsi" w:cstheme="minorHAnsi"/>
          <w:noProof/>
          <w:sz w:val="20"/>
          <w:szCs w:val="20"/>
        </w:rPr>
        <mc:AlternateContent>
          <mc:Choice Requires="wpg">
            <w:drawing>
              <wp:inline distT="0" distB="0" distL="0" distR="0" wp14:anchorId="6D845AAD" wp14:editId="099792FD">
                <wp:extent cx="5339538" cy="4763135"/>
                <wp:effectExtent l="0" t="0" r="0" b="0"/>
                <wp:docPr id="651447784" name="Group 1" descr="A map of Australia displaying the RLMI ratings of labour market performance (Strong, Above average, Average, Below average, Poor) by SA4. The map shows that regional and remote regions are more likely to experience weaker labour market conditions than their capital city counterparts."/>
                <wp:cNvGraphicFramePr/>
                <a:graphic xmlns:a="http://schemas.openxmlformats.org/drawingml/2006/main">
                  <a:graphicData uri="http://schemas.microsoft.com/office/word/2010/wordprocessingGroup">
                    <wpg:wgp>
                      <wpg:cNvGrpSpPr/>
                      <wpg:grpSpPr>
                        <a:xfrm>
                          <a:off x="0" y="0"/>
                          <a:ext cx="5339538" cy="4763135"/>
                          <a:chOff x="-204796" y="23568"/>
                          <a:chExt cx="5812425" cy="5385362"/>
                        </a:xfrm>
                      </wpg:grpSpPr>
                      <pic:pic xmlns:pic="http://schemas.openxmlformats.org/drawingml/2006/picture">
                        <pic:nvPicPr>
                          <pic:cNvPr id="999913938" name="Picture 1"/>
                          <pic:cNvPicPr>
                            <a:picLocks noChangeAspect="1"/>
                          </pic:cNvPicPr>
                        </pic:nvPicPr>
                        <pic:blipFill rotWithShape="1">
                          <a:blip r:embed="rId25">
                            <a:extLst>
                              <a:ext uri="{28A0092B-C50C-407E-A947-70E740481C1C}">
                                <a14:useLocalDpi xmlns:a14="http://schemas.microsoft.com/office/drawing/2010/main" val="0"/>
                              </a:ext>
                            </a:extLst>
                          </a:blip>
                          <a:srcRect l="2160" t="2831" r="1"/>
                          <a:stretch/>
                        </pic:blipFill>
                        <pic:spPr bwMode="auto">
                          <a:xfrm>
                            <a:off x="-1" y="23568"/>
                            <a:ext cx="5607630" cy="538536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47577552" name="Picture 1" descr="A legend of the RLMI rating categories (Strong, Above average, Average, Below average, Poor). "/>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204796" y="4920167"/>
                            <a:ext cx="4195049" cy="251413"/>
                          </a:xfrm>
                          <a:prstGeom prst="rect">
                            <a:avLst/>
                          </a:prstGeom>
                          <a:ln>
                            <a:noFill/>
                          </a:ln>
                        </pic:spPr>
                      </pic:pic>
                    </wpg:wgp>
                  </a:graphicData>
                </a:graphic>
              </wp:inline>
            </w:drawing>
          </mc:Choice>
          <mc:Fallback>
            <w:pict>
              <v:group w14:anchorId="29940C15" id="Group 1" o:spid="_x0000_s1026" alt="A map of Australia displaying the RLMI ratings of labour market performance (Strong, Above average, Average, Below average, Poor) by SA4. The map shows that regional and remote regions are more likely to experience weaker labour market conditions than their capital city counterparts." style="width:420.45pt;height:375.05pt;mso-position-horizontal-relative:char;mso-position-vertical-relative:line" coordorigin="-2047,235" coordsize="58124,53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235;width:56076;height:5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">
                  <v:imagedata r:id="rId27" o:title="" croptop="1855f" cropleft="1416f" cropright="1f"/>
                </v:shape>
                <v:shape id="Picture 1" o:spid="_x0000_s1028" type="#_x0000_t75" alt="A legend of the RLMI rating categories (Strong, Above average, Average, Below average, Poor). " style="position:absolute;left:-2047;top:49201;width:41949;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">
                  <v:imagedata r:id="rId28" o:title="A legend of the RLMI rating categories (Strong, Above average, Average, Below average, Poor)"/>
                </v:shape>
                <w10:anchorlock/>
              </v:group>
            </w:pict>
          </mc:Fallback>
        </mc:AlternateContent>
      </w:r>
    </w:p>
    <w:p w14:paraId="41060F6D" w14:textId="77777777" w:rsidR="00EB58B6" w:rsidRPr="00E6113D" w:rsidRDefault="00EB58B6" w:rsidP="00E6113D">
      <w:pPr>
        <w:pStyle w:val="Source"/>
        <w:rPr>
          <w:rFonts w:asciiTheme="minorHAnsi" w:hAnsiTheme="minorHAnsi" w:cstheme="minorHAnsi"/>
        </w:rPr>
      </w:pPr>
      <w:r w:rsidRPr="00E6113D">
        <w:rPr>
          <w:rFonts w:asciiTheme="minorHAnsi" w:hAnsiTheme="minorHAnsi" w:cstheme="minorHAnsi"/>
        </w:rPr>
        <w:t xml:space="preserve">Source: JSA, </w:t>
      </w:r>
      <w:r w:rsidRPr="00A02F5D">
        <w:rPr>
          <w:rFonts w:asciiTheme="minorHAnsi" w:hAnsiTheme="minorHAnsi" w:cstheme="minorHAnsi"/>
          <w:i/>
          <w:iCs/>
        </w:rPr>
        <w:t>Regional Labour Market Indicator</w:t>
      </w:r>
      <w:r w:rsidRPr="00E6113D">
        <w:rPr>
          <w:rFonts w:asciiTheme="minorHAnsi" w:hAnsiTheme="minorHAnsi" w:cstheme="minorHAnsi"/>
        </w:rPr>
        <w:t xml:space="preserve"> (RLMI), June 2024</w:t>
      </w:r>
    </w:p>
    <w:p w14:paraId="208A9361" w14:textId="793C1E29" w:rsidR="00A0155F" w:rsidRPr="00B56C82" w:rsidRDefault="00A0155F" w:rsidP="00A0155F">
      <w:r w:rsidRPr="00B56C82">
        <w:t>Indeed, 19 of the 28 SA4’s (or 68%) that were rated either ‘below average' or 'poor’ in June 2024 were located in regional or remote areas.</w:t>
      </w:r>
      <w:r>
        <w:t xml:space="preserve"> By contrast</w:t>
      </w:r>
      <w:r w:rsidRPr="00B56C82">
        <w:t xml:space="preserve">, 28 of the 39 SA4’s (or 72%) that were rated either ‘strong’ or ‘above average’ in June 2024 were located in metropolitan cities </w:t>
      </w:r>
      <w:r w:rsidR="000322E0">
        <w:t>(</w:t>
      </w:r>
      <w:r>
        <w:t>Figure</w:t>
      </w:r>
      <w:r w:rsidRPr="00B56C82">
        <w:t xml:space="preserve"> 2). </w:t>
      </w:r>
    </w:p>
    <w:p w14:paraId="7F44AE5A" w14:textId="03DDAF74" w:rsidR="00A0155F" w:rsidRPr="00E6113D" w:rsidRDefault="00A0155F" w:rsidP="00C05A80">
      <w:r w:rsidRPr="00E6113D">
        <w:t xml:space="preserve">While regional and remote areas are more likely to experience weaker labour market conditions than their capital city counterparts, these regions cover large geographical areas which are sparsely populated. </w:t>
      </w:r>
      <w:r w:rsidR="002B05CD">
        <w:t>R</w:t>
      </w:r>
      <w:r w:rsidRPr="00E6113D">
        <w:t>egional and remote areas account for just over 20% of the total working age population of Australia (Figure 2).</w:t>
      </w:r>
    </w:p>
    <w:p w14:paraId="08E1A2CB" w14:textId="77777777" w:rsidR="00A0155F" w:rsidRPr="00150241" w:rsidRDefault="00A0155F" w:rsidP="00150241">
      <w:pPr>
        <w:pStyle w:val="Caption"/>
        <w:rPr>
          <w:rFonts w:asciiTheme="minorHAnsi" w:hAnsiTheme="minorHAnsi" w:cstheme="minorHAnsi"/>
          <w:szCs w:val="20"/>
        </w:rPr>
      </w:pPr>
      <w:r w:rsidRPr="00150241">
        <w:rPr>
          <w:rFonts w:asciiTheme="minorHAnsi" w:hAnsiTheme="minorHAnsi" w:cstheme="minorHAnsi"/>
          <w:szCs w:val="20"/>
        </w:rPr>
        <w:t>Figure 2: RLMI ratings by remoteness category, June 2024</w:t>
      </w:r>
    </w:p>
    <w:p w14:paraId="532EEF08" w14:textId="77777777" w:rsidR="00A0155F" w:rsidRPr="00B21702" w:rsidRDefault="00A0155F" w:rsidP="003D070F">
      <w:pPr>
        <w:rPr>
          <w:rFonts w:eastAsia="Arial"/>
          <w:sz w:val="20"/>
          <w:szCs w:val="20"/>
        </w:rPr>
      </w:pPr>
      <w:r>
        <w:rPr>
          <w:noProof/>
        </w:rPr>
        <w:drawing>
          <wp:inline distT="0" distB="0" distL="0" distR="0" wp14:anchorId="279A62D9" wp14:editId="68CED680">
            <wp:extent cx="5731200" cy="3070800"/>
            <wp:effectExtent l="0" t="0" r="3175" b="0"/>
            <wp:docPr id="1997916679" name="Chart 1" descr="A stacked bar chart showing RLMI ratings (Strong, Above average, Average, Below average, Poor) by remoteness category (metropolitan city, regional city, regional and remote) for June 2024. The chart shows that regional and remote regions are more likely to experience weaker labour market conditions than their capital city counterparts.">
              <a:extLst xmlns:a="http://schemas.openxmlformats.org/drawingml/2006/main">
                <a:ext uri="{FF2B5EF4-FFF2-40B4-BE49-F238E27FC236}">
                  <a16:creationId xmlns:a16="http://schemas.microsoft.com/office/drawing/2014/main" id="{AFC0AA22-F961-4E7A-9A0A-7D4679B6B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94E2F8" w14:textId="77777777" w:rsidR="00A0155F" w:rsidRPr="00B21702" w:rsidRDefault="00A0155F" w:rsidP="003D070F">
      <w:pPr>
        <w:rPr>
          <w:rFonts w:eastAsia="Arial"/>
          <w:sz w:val="20"/>
          <w:szCs w:val="20"/>
        </w:rPr>
      </w:pPr>
      <w:r>
        <w:rPr>
          <w:noProof/>
        </w:rPr>
        <w:drawing>
          <wp:inline distT="0" distB="0" distL="0" distR="0" wp14:anchorId="6207EB21" wp14:editId="64D429C7">
            <wp:extent cx="5562000" cy="1915200"/>
            <wp:effectExtent l="0" t="0" r="635" b="8890"/>
            <wp:docPr id="261196825" name="Chart 1" descr="A bar chart showing the proportion of the working age population by remoteness category (capital city, regional city, regional, remote). &#10;&#10;The chart shows that poor-er performing regions tend to be concentrated in remote areas which are sparsely populated.">
              <a:extLst xmlns:a="http://schemas.openxmlformats.org/drawingml/2006/main">
                <a:ext uri="{FF2B5EF4-FFF2-40B4-BE49-F238E27FC236}">
                  <a16:creationId xmlns:a16="http://schemas.microsoft.com/office/drawing/2014/main" id="{A40AE1F8-7A0E-FFE4-C39B-0D701EF58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D40E7F" w14:textId="77777777" w:rsidR="00A0155F" w:rsidRDefault="00A0155F" w:rsidP="00A0155F">
      <w:pPr>
        <w:pStyle w:val="Source"/>
        <w:rPr>
          <w:rFonts w:asciiTheme="minorHAnsi" w:hAnsiTheme="minorHAnsi" w:cstheme="minorHAnsi"/>
        </w:rPr>
      </w:pPr>
      <w:r w:rsidRPr="00515456">
        <w:rPr>
          <w:rFonts w:asciiTheme="minorHAnsi" w:hAnsiTheme="minorHAnsi" w:cstheme="minorHAnsi"/>
        </w:rPr>
        <w:t xml:space="preserve">Source: JSA, </w:t>
      </w:r>
      <w:r w:rsidRPr="00A02F5D">
        <w:rPr>
          <w:rFonts w:asciiTheme="minorHAnsi" w:hAnsiTheme="minorHAnsi" w:cstheme="minorHAnsi"/>
          <w:i/>
          <w:iCs/>
        </w:rPr>
        <w:t>Regional Labour Market Indicator</w:t>
      </w:r>
      <w:r w:rsidRPr="00515456">
        <w:rPr>
          <w:rFonts w:asciiTheme="minorHAnsi" w:hAnsiTheme="minorHAnsi" w:cstheme="minorHAnsi"/>
        </w:rPr>
        <w:t xml:space="preserve"> (RLMI), June 2024. Population data are from ABS</w:t>
      </w:r>
      <w:r w:rsidRPr="00A02F5D">
        <w:rPr>
          <w:rFonts w:asciiTheme="minorHAnsi" w:hAnsiTheme="minorHAnsi" w:cstheme="minorHAnsi"/>
          <w:i/>
          <w:iCs/>
        </w:rPr>
        <w:t>, Labour Force, Australia, Detailed</w:t>
      </w:r>
      <w:r w:rsidRPr="00515456">
        <w:rPr>
          <w:rFonts w:asciiTheme="minorHAnsi" w:hAnsiTheme="minorHAnsi" w:cstheme="minorHAnsi"/>
        </w:rPr>
        <w:t>, June 2024, 6-month averages of original averages</w:t>
      </w:r>
      <w:r>
        <w:rPr>
          <w:rFonts w:asciiTheme="minorHAnsi" w:hAnsiTheme="minorHAnsi" w:cstheme="minorHAnsi"/>
        </w:rPr>
        <w:t>.</w:t>
      </w:r>
    </w:p>
    <w:p w14:paraId="75550566" w14:textId="77777777" w:rsidR="00EC5177" w:rsidRPr="005C69F8" w:rsidRDefault="00EC5177" w:rsidP="00EC5177">
      <w:pPr>
        <w:pStyle w:val="Heading3"/>
        <w:rPr>
          <w:rFonts w:cs="Arial"/>
        </w:rPr>
      </w:pPr>
      <w:r w:rsidRPr="005C69F8">
        <w:rPr>
          <w:rFonts w:cs="Arial"/>
        </w:rPr>
        <w:t>Recent trends in regional labour market performance</w:t>
      </w:r>
    </w:p>
    <w:p w14:paraId="59BD0BA5" w14:textId="50F26D8F" w:rsidR="00EC5177" w:rsidRDefault="00EC5177" w:rsidP="00EC5177">
      <w:r>
        <w:t xml:space="preserve">The </w:t>
      </w:r>
      <w:r w:rsidRPr="00B56C82">
        <w:t xml:space="preserve">June 2024 </w:t>
      </w:r>
      <w:r w:rsidR="00003A3E">
        <w:t xml:space="preserve">RLMI </w:t>
      </w:r>
      <w:r>
        <w:t xml:space="preserve">results suggest labour market conditions are showing signs of easing in a number of metropolitan areas and regional cities, compared to regional areas where, on average, conditions have improved. For instance, the labour market rating declined for 13 metropolitan/regional city areas (or 25%), and improved for 4 (or 8%), over the year to June 2024. By comparison, the labour market rating improved for 7 regional areas (or 29%), and declined for 4 (or 17%), over the same period. </w:t>
      </w:r>
    </w:p>
    <w:p w14:paraId="4474A0DE" w14:textId="333DC9A9" w:rsidR="00EC5177" w:rsidRPr="00E402A3" w:rsidRDefault="00EC5177" w:rsidP="00515456">
      <w:r>
        <w:t xml:space="preserve">For most remote regions, labour market conditions remain </w:t>
      </w:r>
      <w:r w:rsidR="005F6CEE">
        <w:t xml:space="preserve">relatively </w:t>
      </w:r>
      <w:r>
        <w:t>weak,</w:t>
      </w:r>
      <w:r w:rsidRPr="00E402A3">
        <w:t xml:space="preserve"> with </w:t>
      </w:r>
      <w:r>
        <w:t xml:space="preserve">the </w:t>
      </w:r>
      <w:r w:rsidRPr="00E402A3">
        <w:t>number of regions rated either ‘below average’ or ‘poor’ unchanged over the year to June 2024</w:t>
      </w:r>
      <w:r>
        <w:t xml:space="preserve"> (7</w:t>
      </w:r>
      <w:r w:rsidR="005F6CEE">
        <w:t> </w:t>
      </w:r>
      <w:r>
        <w:t>regions or 82%)</w:t>
      </w:r>
      <w:r w:rsidRPr="00E402A3">
        <w:t xml:space="preserve">. </w:t>
      </w:r>
    </w:p>
    <w:p w14:paraId="494C3C04" w14:textId="77777777" w:rsidR="00EC5177" w:rsidRDefault="00EC5177" w:rsidP="008C4195">
      <w:pPr>
        <w:keepNext/>
      </w:pPr>
      <w:r>
        <w:t>Highlighted below are some of the trends that are contributing to the easing in conditions for metropolitan/regional city areas.</w:t>
      </w:r>
    </w:p>
    <w:p w14:paraId="0CA7375A" w14:textId="017E39EA" w:rsidR="00EC5177" w:rsidRPr="00281B95" w:rsidRDefault="00EC5177" w:rsidP="008C4195">
      <w:pPr>
        <w:pStyle w:val="ListBullet"/>
        <w:keepNext/>
        <w:keepLines/>
      </w:pPr>
      <w:r w:rsidRPr="00281B95">
        <w:t>The average working age employment rate for metropolitan/regional city areas fell by 0.3</w:t>
      </w:r>
      <w:r w:rsidR="00281B95">
        <w:t> </w:t>
      </w:r>
      <w:r w:rsidRPr="00281B95">
        <w:t>percentage points over the year, to 77.8% in June 2024 (Figure 3), while the average unemployment rate for metropolitan/regional city areas increased by 0.4 percentage points over the year, to 3.9% in June 2024</w:t>
      </w:r>
    </w:p>
    <w:p w14:paraId="06033FA1" w14:textId="564F52A0" w:rsidR="00EC5177" w:rsidRPr="00281B95" w:rsidRDefault="00EC5177" w:rsidP="00FE5C85">
      <w:pPr>
        <w:pStyle w:val="ListBullet"/>
        <w:sectPr w:rsidR="00EC5177" w:rsidRPr="00281B95" w:rsidSect="00EC5177">
          <w:pgSz w:w="11906" w:h="16838"/>
          <w:pgMar w:top="1276" w:right="1440" w:bottom="1134" w:left="1440" w:header="0" w:footer="539" w:gutter="0"/>
          <w:cols w:space="708"/>
          <w:titlePg/>
          <w:docGrid w:linePitch="360"/>
        </w:sectPr>
      </w:pPr>
      <w:r w:rsidRPr="00281B95">
        <w:t>By contrast, the average working age employment rate for regional areas increased by 0.5 percentage points over the year, to 76.2% in June 2024, while the average unemployment rate for regional areas increased marginally over the year, by just 0.1</w:t>
      </w:r>
      <w:r w:rsidR="00D513FF">
        <w:t> </w:t>
      </w:r>
      <w:r w:rsidRPr="00281B95">
        <w:t>percentage point, to 3.3% in June 2024 (Figure 4)</w:t>
      </w:r>
      <w:r w:rsidR="00281B95">
        <w:t>.</w:t>
      </w:r>
    </w:p>
    <w:p w14:paraId="45ACC55A" w14:textId="6B6148DC" w:rsidR="00EC5177" w:rsidRPr="00150241" w:rsidRDefault="00EC5177" w:rsidP="00150241">
      <w:pPr>
        <w:pStyle w:val="Caption"/>
        <w:rPr>
          <w:rFonts w:asciiTheme="minorHAnsi" w:hAnsiTheme="minorHAnsi" w:cstheme="minorHAnsi"/>
          <w:szCs w:val="20"/>
        </w:rPr>
      </w:pPr>
      <w:r w:rsidRPr="00150241">
        <w:rPr>
          <w:rFonts w:asciiTheme="minorHAnsi" w:hAnsiTheme="minorHAnsi" w:cstheme="minorHAnsi"/>
          <w:szCs w:val="20"/>
        </w:rPr>
        <w:t>Figure 3: Employment rate (15</w:t>
      </w:r>
      <w:r w:rsidR="007D1B04">
        <w:rPr>
          <w:rFonts w:asciiTheme="minorHAnsi" w:hAnsiTheme="minorHAnsi" w:cstheme="minorHAnsi"/>
          <w:szCs w:val="20"/>
        </w:rPr>
        <w:t>–</w:t>
      </w:r>
      <w:r w:rsidRPr="00150241">
        <w:rPr>
          <w:rFonts w:asciiTheme="minorHAnsi" w:hAnsiTheme="minorHAnsi" w:cstheme="minorHAnsi"/>
          <w:szCs w:val="20"/>
        </w:rPr>
        <w:t>64 years) by remoteness category, June 2024 to June 2024</w:t>
      </w:r>
    </w:p>
    <w:p w14:paraId="101BDA93" w14:textId="77777777" w:rsidR="00EC5177" w:rsidRDefault="00EC5177" w:rsidP="003D070F">
      <w:r>
        <w:rPr>
          <w:noProof/>
        </w:rPr>
        <w:drawing>
          <wp:inline distT="0" distB="0" distL="0" distR="0" wp14:anchorId="76FFB5AE" wp14:editId="4AE9D071">
            <wp:extent cx="2964722" cy="2077085"/>
            <wp:effectExtent l="0" t="0" r="7620" b="0"/>
            <wp:docPr id="1010843119" name="Picture 1" descr="A line chart showing the average working age (15-64 years) employment rate by remoteness category. The findings illustrate that there are signs of some easing in labour market conditions in a number of metropolitan/regional city areas, particularly when compared to regional areas, where conditions have improved, on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43119" name="Picture 1" descr="A line chart showing the average working age (15-64 years) employment rate by remoteness category. The findings illustrate that there are signs of some easing in labour market conditions in a number of metropolitan/regional city areas, particularly when compared to regional areas, where conditions have improved, on average.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05543" cy="2105685"/>
                    </a:xfrm>
                    <a:prstGeom prst="rect">
                      <a:avLst/>
                    </a:prstGeom>
                    <a:noFill/>
                  </pic:spPr>
                </pic:pic>
              </a:graphicData>
            </a:graphic>
          </wp:inline>
        </w:drawing>
      </w:r>
    </w:p>
    <w:p w14:paraId="179CFAD1" w14:textId="77777777" w:rsidR="00EC5177" w:rsidRPr="00983CFA" w:rsidRDefault="00EC5177" w:rsidP="00EC5177">
      <w:pPr>
        <w:pStyle w:val="Source"/>
        <w:rPr>
          <w:rFonts w:cs="Arial"/>
        </w:rPr>
      </w:pPr>
      <w:r w:rsidRPr="00983CFA">
        <w:rPr>
          <w:rFonts w:cs="Arial"/>
        </w:rPr>
        <w:t xml:space="preserve">Source: ABS, </w:t>
      </w:r>
      <w:r w:rsidRPr="00A02F5D">
        <w:rPr>
          <w:rFonts w:cs="Arial"/>
          <w:i/>
          <w:iCs/>
        </w:rPr>
        <w:t>Labour Force, Australia, Detailed</w:t>
      </w:r>
      <w:r w:rsidRPr="00983CFA">
        <w:rPr>
          <w:rFonts w:cs="Arial"/>
        </w:rPr>
        <w:t xml:space="preserve">, June 2024, 12-month averages of original estimates. </w:t>
      </w:r>
    </w:p>
    <w:p w14:paraId="7C4EED5A" w14:textId="77777777" w:rsidR="00EC5177" w:rsidRPr="00150241" w:rsidRDefault="00EC5177" w:rsidP="00EC5177">
      <w:pPr>
        <w:pStyle w:val="Caption"/>
        <w:rPr>
          <w:rFonts w:asciiTheme="minorHAnsi" w:hAnsiTheme="minorHAnsi" w:cstheme="minorHAnsi"/>
          <w:szCs w:val="20"/>
        </w:rPr>
      </w:pPr>
      <w:r w:rsidRPr="00150241">
        <w:rPr>
          <w:rFonts w:asciiTheme="minorHAnsi" w:hAnsiTheme="minorHAnsi" w:cstheme="minorHAnsi"/>
          <w:szCs w:val="20"/>
        </w:rPr>
        <w:t>Figure 4: Unemployment rate by remoteness category, June 2014 to June 2024</w:t>
      </w:r>
    </w:p>
    <w:p w14:paraId="7AF49632" w14:textId="77777777" w:rsidR="00EC5177" w:rsidRDefault="00EC5177" w:rsidP="003D070F">
      <w:r>
        <w:rPr>
          <w:noProof/>
        </w:rPr>
        <w:drawing>
          <wp:inline distT="0" distB="0" distL="0" distR="0" wp14:anchorId="06EE5F30" wp14:editId="01C669A4">
            <wp:extent cx="3019580" cy="2113280"/>
            <wp:effectExtent l="0" t="0" r="9525" b="1270"/>
            <wp:docPr id="622901475" name="Picture 2" descr="A line chart showing the average unemployment rate by remoteness category. The findings illustrate that there are signs of some easing in labour market conditions in a number of metropolitan/regional city areas, particularly when compared to regional areas, where conditions have improved, on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01475" name="Picture 2" descr="A line chart showing the average unemployment rate by remoteness category. The findings illustrate that there are signs of some easing in labour market conditions in a number of metropolitan/regional city areas, particularly when compared to regional areas, where conditions have improved, on aver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4483" cy="2123710"/>
                    </a:xfrm>
                    <a:prstGeom prst="rect">
                      <a:avLst/>
                    </a:prstGeom>
                    <a:noFill/>
                  </pic:spPr>
                </pic:pic>
              </a:graphicData>
            </a:graphic>
          </wp:inline>
        </w:drawing>
      </w:r>
    </w:p>
    <w:p w14:paraId="1432E9CA" w14:textId="77777777" w:rsidR="00EC5177" w:rsidRPr="00983CFA" w:rsidRDefault="00EC5177" w:rsidP="00EC5177">
      <w:pPr>
        <w:pStyle w:val="Source"/>
        <w:rPr>
          <w:rFonts w:cs="Arial"/>
        </w:rPr>
      </w:pPr>
      <w:r w:rsidRPr="00983CFA">
        <w:rPr>
          <w:rFonts w:cs="Arial"/>
        </w:rPr>
        <w:t xml:space="preserve">Source: ABS, </w:t>
      </w:r>
      <w:r w:rsidRPr="00A02F5D">
        <w:rPr>
          <w:rFonts w:cs="Arial"/>
          <w:i/>
          <w:iCs/>
        </w:rPr>
        <w:t>Labour Force, Australia, Detailed</w:t>
      </w:r>
      <w:r w:rsidRPr="00983CFA">
        <w:rPr>
          <w:rFonts w:cs="Arial"/>
        </w:rPr>
        <w:t>, June 2024, 12-month averages of original estimates.</w:t>
      </w:r>
    </w:p>
    <w:p w14:paraId="3628510B" w14:textId="77777777" w:rsidR="00EC5177" w:rsidRPr="004F5D87" w:rsidRDefault="00EC5177" w:rsidP="00EC5177">
      <w:pPr>
        <w:sectPr w:rsidR="00EC5177" w:rsidRPr="004F5D87" w:rsidSect="00EC5177">
          <w:type w:val="continuous"/>
          <w:pgSz w:w="11906" w:h="16838"/>
          <w:pgMar w:top="1276" w:right="1440" w:bottom="1134" w:left="1440" w:header="0" w:footer="539" w:gutter="0"/>
          <w:cols w:num="2" w:space="708"/>
          <w:titlePg/>
          <w:docGrid w:linePitch="360"/>
        </w:sectPr>
      </w:pPr>
    </w:p>
    <w:p w14:paraId="43B9E485" w14:textId="77777777" w:rsidR="00EC5177" w:rsidRDefault="00EC5177" w:rsidP="00EC5177">
      <w:pPr>
        <w:pStyle w:val="Heading3"/>
        <w:rPr>
          <w:rFonts w:cs="Arial"/>
        </w:rPr>
        <w:sectPr w:rsidR="00EC5177" w:rsidSect="00EC5177">
          <w:headerReference w:type="even" r:id="rId33"/>
          <w:headerReference w:type="default" r:id="rId34"/>
          <w:headerReference w:type="first" r:id="rId35"/>
          <w:footerReference w:type="first" r:id="rId36"/>
          <w:type w:val="continuous"/>
          <w:pgSz w:w="11906" w:h="16838"/>
          <w:pgMar w:top="1276" w:right="1440" w:bottom="1134" w:left="1440" w:header="0" w:footer="539" w:gutter="0"/>
          <w:cols w:space="708"/>
          <w:titlePg/>
          <w:docGrid w:linePitch="360"/>
        </w:sectPr>
      </w:pPr>
    </w:p>
    <w:tbl>
      <w:tblPr>
        <w:tblStyle w:val="Box"/>
        <w:tblW w:w="0" w:type="auto"/>
        <w:tblLook w:val="04A0" w:firstRow="1" w:lastRow="0" w:firstColumn="1" w:lastColumn="0" w:noHBand="0" w:noVBand="1"/>
      </w:tblPr>
      <w:tblGrid>
        <w:gridCol w:w="8996"/>
      </w:tblGrid>
      <w:tr w:rsidR="00FE5C85" w14:paraId="3CB6AFC9" w14:textId="77777777" w:rsidTr="00FE5C85">
        <w:tc>
          <w:tcPr>
            <w:tcW w:w="9016" w:type="dxa"/>
          </w:tcPr>
          <w:p w14:paraId="0E32DFDB" w14:textId="77777777" w:rsidR="00FE5C85" w:rsidRPr="00983CFA" w:rsidRDefault="00FE5C85" w:rsidP="00FE5C85">
            <w:pPr>
              <w:pStyle w:val="Heading3"/>
              <w:rPr>
                <w:rFonts w:asciiTheme="majorHAnsi" w:hAnsiTheme="majorHAnsi" w:cstheme="majorHAnsi"/>
              </w:rPr>
            </w:pPr>
            <w:r w:rsidRPr="00983CFA">
              <w:rPr>
                <w:rFonts w:asciiTheme="majorHAnsi" w:hAnsiTheme="majorHAnsi" w:cstheme="majorHAnsi"/>
              </w:rPr>
              <w:t>Spotlight: Recent trends in regional labour market performance</w:t>
            </w:r>
          </w:p>
          <w:p w14:paraId="50C292F9" w14:textId="77777777" w:rsidR="00FE5C85" w:rsidRPr="005C69F8" w:rsidRDefault="00FE5C85" w:rsidP="00FE5C85">
            <w:pPr>
              <w:pStyle w:val="Heading4"/>
            </w:pPr>
            <w:r w:rsidRPr="00983CFA">
              <w:rPr>
                <w:rFonts w:asciiTheme="majorHAnsi" w:hAnsiTheme="majorHAnsi" w:cstheme="majorHAnsi"/>
              </w:rPr>
              <w:t>Inner Metropolitan Brisbane</w:t>
            </w:r>
            <w:r w:rsidRPr="005C69F8">
              <w:rPr>
                <w:rStyle w:val="FootnoteReference"/>
                <w:sz w:val="22"/>
              </w:rPr>
              <w:footnoteReference w:id="7"/>
            </w:r>
          </w:p>
          <w:p w14:paraId="538D400F" w14:textId="77777777" w:rsidR="00FE5C85" w:rsidRDefault="00FE5C85" w:rsidP="00FE5C85">
            <w:r>
              <w:t xml:space="preserve">One example of the gradual easing of conditions in a number of metropolitan/regional city areas can be seen in the decline in labour market ratings in inner metropolitan Brisbane over the last year. While overall conditions remain relatively strong, several key indicators of labour market performance have recently softened in a number of these regions. As a result, conditions in Brisbane East, Brisbane North and Moreton Bay – South were rated as ‘above average’ in June 2024, down from their rating of ‘strong’ in June 2023 (Figure 5). </w:t>
            </w:r>
          </w:p>
          <w:p w14:paraId="6CDF64FA" w14:textId="77777777" w:rsidR="00FE5C85" w:rsidRPr="00983CFA" w:rsidRDefault="00FE5C85" w:rsidP="00FE5C85">
            <w:pPr>
              <w:pStyle w:val="Caption"/>
            </w:pPr>
            <w:r w:rsidRPr="00983CFA">
              <w:rPr>
                <w:rFonts w:asciiTheme="minorHAnsi" w:hAnsiTheme="minorHAnsi" w:cstheme="minorHAnsi"/>
                <w:szCs w:val="20"/>
              </w:rPr>
              <w:t xml:space="preserve">Figure 5: </w:t>
            </w:r>
            <w:r w:rsidRPr="00983CFA">
              <w:t xml:space="preserve">RLMI ratings of </w:t>
            </w:r>
            <w:r w:rsidRPr="00FE5C85">
              <w:t>relative</w:t>
            </w:r>
            <w:r w:rsidRPr="00983CFA">
              <w:t xml:space="preserve"> labour market performance</w:t>
            </w:r>
          </w:p>
          <w:p w14:paraId="5131A961" w14:textId="77777777" w:rsidR="00FE5C85" w:rsidRDefault="00FE5C85" w:rsidP="00FE5C85">
            <w:pPr>
              <w:pStyle w:val="Caption"/>
            </w:pPr>
            <w:r>
              <w:rPr>
                <w:rFonts w:asciiTheme="minorHAnsi" w:hAnsiTheme="minorHAnsi" w:cstheme="minorHAnsi"/>
                <w:noProof/>
                <w:szCs w:val="20"/>
              </w:rPr>
              <mc:AlternateContent>
                <mc:Choice Requires="wpg">
                  <w:drawing>
                    <wp:inline distT="0" distB="0" distL="0" distR="0" wp14:anchorId="4CEF1C10" wp14:editId="5F460BCA">
                      <wp:extent cx="5371200" cy="2527200"/>
                      <wp:effectExtent l="0" t="0" r="1270" b="26035"/>
                      <wp:docPr id="1683497794" name="Group 1" descr="A map of Inner Metropolitan Brisbane displaying the RLMI ratings of labour market performance (strong, above average, average, below average, poor). The map shows the decline in labour market rating in Moreton Bay South, Brisbane North and Brisbane East over the year to June 20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71200" cy="2527200"/>
                                <a:chOff x="0" y="0"/>
                                <a:chExt cx="5730875" cy="2696627"/>
                              </a:xfrm>
                            </wpg:grpSpPr>
                            <pic:pic xmlns:pic="http://schemas.openxmlformats.org/drawingml/2006/picture">
                              <pic:nvPicPr>
                                <pic:cNvPr id="957359606" name="Picture 1" descr="A legend of the RLMI rating categories (Strong, Above average, Average, Below average, Poor). "/>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9050" y="2475647"/>
                                  <a:ext cx="3702050" cy="220980"/>
                                </a:xfrm>
                                <a:prstGeom prst="rect">
                                  <a:avLst/>
                                </a:prstGeom>
                                <a:ln>
                                  <a:solidFill>
                                    <a:schemeClr val="tx1"/>
                                  </a:solidFill>
                                </a:ln>
                              </pic:spPr>
                            </pic:pic>
                            <pic:pic xmlns:pic="http://schemas.openxmlformats.org/drawingml/2006/picture">
                              <pic:nvPicPr>
                                <pic:cNvPr id="1689288799" name="Picture 1" descr="A map of Inner Metropolitan Brisbane displaying the RLMI ratings of labour market performance (strong, above average, average, below average, poor). The map shows the decline in labour market rating in Moreton Bay South, Brisbane North and Brisbane East over the year to June 202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730875" cy="2393950"/>
                                </a:xfrm>
                                <a:prstGeom prst="rect">
                                  <a:avLst/>
                                </a:prstGeom>
                              </pic:spPr>
                            </pic:pic>
                          </wpg:wgp>
                        </a:graphicData>
                      </a:graphic>
                    </wp:inline>
                  </w:drawing>
                </mc:Choice>
                <mc:Fallback>
                  <w:pict>
                    <v:group w14:anchorId="102BDECA" id="Group 1" o:spid="_x0000_s1026" alt="A map of Inner Metropolitan Brisbane displaying the RLMI ratings of labour market performance (strong, above average, average, below average, poor). The map shows the decline in labour market rating in Moreton Bay South, Brisbane North and Brisbane East over the year to June 2024." style="width:422.95pt;height:199pt;mso-position-horizontal-relative:char;mso-position-vertical-relative:line" coordsize="57308,26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">
                      <o:lock v:ext="edit" aspectratio="t"/>
                      <v:shape id="Picture 1" o:spid="_x0000_s1027" type="#_x0000_t75" alt="A legend of the RLMI rating categories (Strong, Above average, Average, Below average, Poor). " style="position:absolute;left:190;top:24756;width:3702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" stroked="t" strokecolor="black [3213]">
                        <v:imagedata r:id="rId28" o:title="A legend of the RLMI rating categories (Strong, Above average, Average, Below average, Poor)"/>
                        <v:path arrowok="t"/>
                      </v:shape>
                      <v:shape id="Picture 1" o:spid="_x0000_s1028" type="#_x0000_t75" alt="A map of Inner Metropolitan Brisbane displaying the RLMI ratings of labour market performance (strong, above average, average, below average, poor). The map shows the decline in labour market rating in Moreton Bay South, Brisbane North and Brisbane East over the year to June 2024." style="position:absolute;width:57308;height:23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">
                        <v:imagedata r:id="rId38" o:title="A map of Inner Metropolitan Brisbane displaying the RLMI ratings of labour market performance (strong, above average, average, below average, poor)"/>
                      </v:shape>
                      <w10:anchorlock/>
                    </v:group>
                  </w:pict>
                </mc:Fallback>
              </mc:AlternateContent>
            </w:r>
          </w:p>
          <w:p w14:paraId="793BD111" w14:textId="77777777" w:rsidR="00FE5C85" w:rsidRPr="0036175E" w:rsidRDefault="00FE5C85" w:rsidP="00FE5C85">
            <w:pPr>
              <w:pStyle w:val="Source"/>
              <w:rPr>
                <w:rFonts w:asciiTheme="minorHAnsi" w:hAnsiTheme="minorHAnsi" w:cstheme="minorHAnsi"/>
              </w:rPr>
            </w:pPr>
            <w:r w:rsidRPr="0036175E">
              <w:rPr>
                <w:rFonts w:asciiTheme="minorHAnsi" w:hAnsiTheme="minorHAnsi" w:cstheme="minorHAnsi"/>
              </w:rPr>
              <w:t xml:space="preserve">Source: JSA, </w:t>
            </w:r>
            <w:r w:rsidRPr="00A02F5D">
              <w:rPr>
                <w:rFonts w:asciiTheme="minorHAnsi" w:hAnsiTheme="minorHAnsi" w:cstheme="minorHAnsi"/>
                <w:i/>
                <w:iCs/>
              </w:rPr>
              <w:t>Regional Labour Market Indicator</w:t>
            </w:r>
            <w:r w:rsidRPr="0036175E">
              <w:rPr>
                <w:rFonts w:asciiTheme="minorHAnsi" w:hAnsiTheme="minorHAnsi" w:cstheme="minorHAnsi"/>
              </w:rPr>
              <w:t xml:space="preserve"> (RLMI), June 2024</w:t>
            </w:r>
          </w:p>
          <w:p w14:paraId="06D0696C" w14:textId="77777777" w:rsidR="00FE5C85" w:rsidRPr="0036175E" w:rsidRDefault="00FE5C85" w:rsidP="00FE5C85">
            <w:pPr>
              <w:pStyle w:val="Heading4"/>
              <w:rPr>
                <w:rFonts w:asciiTheme="majorHAnsi" w:hAnsiTheme="majorHAnsi" w:cstheme="majorHAnsi"/>
              </w:rPr>
            </w:pPr>
            <w:r w:rsidRPr="0036175E">
              <w:rPr>
                <w:rFonts w:asciiTheme="majorHAnsi" w:hAnsiTheme="majorHAnsi" w:cstheme="majorHAnsi"/>
              </w:rPr>
              <w:t>NSW/Victoria Border regions</w:t>
            </w:r>
          </w:p>
          <w:p w14:paraId="04690B9C" w14:textId="77777777" w:rsidR="00FE5C85" w:rsidRDefault="00FE5C85" w:rsidP="00FE5C85">
            <w:r>
              <w:t xml:space="preserve">The regions of Murray, Shepparton and Hume (on the border of New South Wales and Victoria) are just one example of where conditions have improved in regional areas, with labour market conditions in these regions rated ‘above average’ in June 2024, up from their rating of ‘average’ in June 2023 (Figure 6). </w:t>
            </w:r>
          </w:p>
          <w:p w14:paraId="19CF31D0" w14:textId="77777777" w:rsidR="00FE5C85" w:rsidRDefault="00FE5C85" w:rsidP="00FE5C85"/>
        </w:tc>
      </w:tr>
    </w:tbl>
    <w:p w14:paraId="0033B15B" w14:textId="77777777" w:rsidR="00FE5C85" w:rsidRDefault="00FE5C85" w:rsidP="00FE5C85"/>
    <w:p w14:paraId="1B5356E6" w14:textId="77777777" w:rsidR="00FE5C85" w:rsidRDefault="00FE5C85">
      <w:pPr>
        <w:spacing w:after="120" w:line="276" w:lineRule="auto"/>
        <w:rPr>
          <w:rFonts w:asciiTheme="majorHAnsi" w:eastAsiaTheme="majorEastAsia" w:hAnsiTheme="majorHAnsi" w:cstheme="majorHAnsi"/>
          <w:b/>
          <w:color w:val="4B0885" w:themeColor="text2"/>
          <w:sz w:val="26"/>
          <w:szCs w:val="24"/>
        </w:rPr>
      </w:pPr>
      <w:r>
        <w:rPr>
          <w:rFonts w:asciiTheme="majorHAnsi" w:hAnsiTheme="majorHAnsi" w:cstheme="majorHAnsi"/>
        </w:rPr>
        <w:br w:type="page"/>
      </w:r>
    </w:p>
    <w:tbl>
      <w:tblPr>
        <w:tblStyle w:val="Box"/>
        <w:tblW w:w="0" w:type="auto"/>
        <w:tblLook w:val="04A0" w:firstRow="1" w:lastRow="0" w:firstColumn="1" w:lastColumn="0" w:noHBand="0" w:noVBand="1"/>
      </w:tblPr>
      <w:tblGrid>
        <w:gridCol w:w="8996"/>
      </w:tblGrid>
      <w:tr w:rsidR="00FE5C85" w14:paraId="6D851553" w14:textId="77777777" w:rsidTr="00FE5C85">
        <w:tc>
          <w:tcPr>
            <w:tcW w:w="9016" w:type="dxa"/>
          </w:tcPr>
          <w:p w14:paraId="56015336" w14:textId="77777777" w:rsidR="00FE5C85" w:rsidRPr="00150241" w:rsidRDefault="00FE5C85" w:rsidP="00FE5C85">
            <w:pPr>
              <w:pStyle w:val="Caption"/>
            </w:pPr>
            <w:r w:rsidRPr="00150241">
              <w:t>Figure 6: RLMI ratings of relative labour market performance</w:t>
            </w:r>
          </w:p>
          <w:p w14:paraId="0BE2147D" w14:textId="77777777" w:rsidR="00FE5C85" w:rsidRPr="000C7E9E" w:rsidRDefault="00FE5C85" w:rsidP="00FE5C85">
            <w:r>
              <w:rPr>
                <w:noProof/>
              </w:rPr>
              <mc:AlternateContent>
                <mc:Choice Requires="wpg">
                  <w:drawing>
                    <wp:inline distT="0" distB="0" distL="0" distR="0" wp14:anchorId="7E43B37B" wp14:editId="1C516188">
                      <wp:extent cx="5370830" cy="2546502"/>
                      <wp:effectExtent l="0" t="0" r="1270" b="25400"/>
                      <wp:docPr id="10191122" name="Group 2" descr="A map of select NSW/Victoria Border regions displaying the RLMI ratings of labour market performance (strong, above average, average, below average, poor). The map shows the improvement in labour market rating in the regions of Murray, Shepparton and Hume over the year to June 2024."/>
                      <wp:cNvGraphicFramePr/>
                      <a:graphic xmlns:a="http://schemas.openxmlformats.org/drawingml/2006/main">
                        <a:graphicData uri="http://schemas.microsoft.com/office/word/2010/wordprocessingGroup">
                          <wpg:wgp>
                            <wpg:cNvGrpSpPr/>
                            <wpg:grpSpPr>
                              <a:xfrm>
                                <a:off x="0" y="0"/>
                                <a:ext cx="5370830" cy="2546502"/>
                                <a:chOff x="0" y="0"/>
                                <a:chExt cx="5370830" cy="2546502"/>
                              </a:xfrm>
                            </wpg:grpSpPr>
                            <pic:pic xmlns:pic="http://schemas.openxmlformats.org/drawingml/2006/picture">
                              <pic:nvPicPr>
                                <pic:cNvPr id="341515793" name="Picture 1" descr="A legend of the RLMI rating categories (Strong, Above average, Average, Below average, Poor). "/>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9050" y="2325522"/>
                                  <a:ext cx="3702050" cy="220980"/>
                                </a:xfrm>
                                <a:prstGeom prst="rect">
                                  <a:avLst/>
                                </a:prstGeom>
                                <a:ln>
                                  <a:solidFill>
                                    <a:schemeClr val="tx1"/>
                                  </a:solidFill>
                                </a:ln>
                              </pic:spPr>
                            </pic:pic>
                            <pic:pic xmlns:pic="http://schemas.openxmlformats.org/drawingml/2006/picture">
                              <pic:nvPicPr>
                                <pic:cNvPr id="1111947328" name="Picture 1" descr="A map of select NSW/Victoria Border regions displaying the RLMI ratings of labour market performance (strong, above average, average, below average, poor). The map shows the improvement in labour market rating in the regions of Murray, Shepparton and Hume over the year to June 2024."/>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370830" cy="2292985"/>
                                </a:xfrm>
                                <a:prstGeom prst="rect">
                                  <a:avLst/>
                                </a:prstGeom>
                              </pic:spPr>
                            </pic:pic>
                          </wpg:wgp>
                        </a:graphicData>
                      </a:graphic>
                    </wp:inline>
                  </w:drawing>
                </mc:Choice>
                <mc:Fallback>
                  <w:pict>
                    <v:group w14:anchorId="72FCD406" id="Group 2" o:spid="_x0000_s1026" alt="A map of select NSW/Victoria Border regions displaying the RLMI ratings of labour market performance (strong, above average, average, below average, poor). The map shows the improvement in labour market rating in the regions of Murray, Shepparton and Hume over the year to June 2024." style="width:422.9pt;height:200.5pt;mso-position-horizontal-relative:char;mso-position-vertical-relative:line" coordsize="53708,25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">
                      <v:shape id="Picture 1" o:spid="_x0000_s1027" type="#_x0000_t75" alt="A legend of the RLMI rating categories (Strong, Above average, Average, Below average, Poor). " style="position:absolute;left:190;top:23255;width:37021;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" stroked="t" strokecolor="black [3213]">
                        <v:imagedata r:id="rId28" o:title="A legend of the RLMI rating categories (Strong, Above average, Average, Below average, Poor)"/>
                        <v:path arrowok="t"/>
                      </v:shape>
                      <v:shape id="Picture 1" o:spid="_x0000_s1028" type="#_x0000_t75" alt="A map of select NSW/Victoria Border regions displaying the RLMI ratings of labour market performance (strong, above average, average, below average, poor). The map shows the improvement in labour market rating in the regions of Murray, Shepparton and Hume over the year to June 2024." style="position:absolute;width:53708;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">
                        <v:imagedata r:id="rId40" o:title="Victoria Border regions displaying the RLMI ratings of labour market performance (strong, above average, average, below average, poor)"/>
                      </v:shape>
                      <w10:anchorlock/>
                    </v:group>
                  </w:pict>
                </mc:Fallback>
              </mc:AlternateContent>
            </w:r>
          </w:p>
          <w:p w14:paraId="7B38B907" w14:textId="77777777" w:rsidR="00FE5C85" w:rsidRPr="003F1CF0" w:rsidRDefault="00FE5C85" w:rsidP="00FE5C85">
            <w:pPr>
              <w:pStyle w:val="Source"/>
              <w:rPr>
                <w:rFonts w:asciiTheme="minorHAnsi" w:hAnsiTheme="minorHAnsi" w:cstheme="minorHAnsi"/>
              </w:rPr>
            </w:pPr>
            <w:r w:rsidRPr="003F1CF0">
              <w:rPr>
                <w:rFonts w:asciiTheme="minorHAnsi" w:hAnsiTheme="minorHAnsi" w:cstheme="minorHAnsi"/>
              </w:rPr>
              <w:t xml:space="preserve">Source: JSA, </w:t>
            </w:r>
            <w:r w:rsidRPr="00A02F5D">
              <w:rPr>
                <w:rFonts w:asciiTheme="minorHAnsi" w:hAnsiTheme="minorHAnsi" w:cstheme="minorHAnsi"/>
                <w:i/>
                <w:iCs/>
              </w:rPr>
              <w:t>Regional Labour Market Indicator</w:t>
            </w:r>
            <w:r w:rsidRPr="003F1CF0">
              <w:rPr>
                <w:rFonts w:asciiTheme="minorHAnsi" w:hAnsiTheme="minorHAnsi" w:cstheme="minorHAnsi"/>
              </w:rPr>
              <w:t xml:space="preserve"> (RLMI), June 2024</w:t>
            </w:r>
          </w:p>
          <w:p w14:paraId="4A1F3588" w14:textId="40FED1C7" w:rsidR="00FE5C85" w:rsidRDefault="00FE5C85" w:rsidP="00FE5C85">
            <w:r>
              <w:t xml:space="preserve">While conditions in these regions have improved over the last year, data at the regional level </w:t>
            </w:r>
            <w:r w:rsidR="1B524E31">
              <w:t>is</w:t>
            </w:r>
            <w:r>
              <w:t xml:space="preserve"> inherently volatile. To help identify region-specific trends, it is often useful to compare a region’s rating over a longer period. When viewed from a long-term perspective, it is evident that the relative conditions in these regions have improved, with recent conditions consistently rating above their long-term trend (Figure 7).  </w:t>
            </w:r>
          </w:p>
          <w:p w14:paraId="2A558324" w14:textId="77777777" w:rsidR="00FE5C85" w:rsidRPr="00411207" w:rsidRDefault="00FE5C85" w:rsidP="00FE5C85">
            <w:pPr>
              <w:pStyle w:val="Caption"/>
            </w:pPr>
            <w:r w:rsidRPr="00411207">
              <w:t xml:space="preserve">Figure 7: Average RLMI </w:t>
            </w:r>
            <w:r w:rsidRPr="00FE5C85">
              <w:t>rating</w:t>
            </w:r>
            <w:r w:rsidRPr="00411207">
              <w:t xml:space="preserve"> for the Murray, Shepparton and Hume SA4 regions, March 2009 to March 2024</w:t>
            </w:r>
          </w:p>
          <w:p w14:paraId="2D94C2A9" w14:textId="77777777" w:rsidR="00FE5C85" w:rsidRDefault="00FE5C85" w:rsidP="00FE5C85">
            <w:pPr>
              <w:rPr>
                <w:rFonts w:eastAsia="Arial"/>
                <w:sz w:val="20"/>
                <w:szCs w:val="20"/>
              </w:rPr>
            </w:pPr>
            <w:r>
              <w:rPr>
                <w:noProof/>
              </w:rPr>
              <w:drawing>
                <wp:inline distT="0" distB="0" distL="0" distR="0" wp14:anchorId="4C504ACC" wp14:editId="620E53B8">
                  <wp:extent cx="5445457" cy="3070225"/>
                  <wp:effectExtent l="0" t="0" r="3175" b="0"/>
                  <wp:docPr id="1266069842" name="Chart 1" descr="A line chart showing the average RLMI rating category for the Murray, Shepparton and Hume SA4 regions. The Map illustrates that the relative conditions in these regions have improved, with recent conditions consistently rating above their long-term trend. ">
                    <a:extLst xmlns:a="http://schemas.openxmlformats.org/drawingml/2006/main">
                      <a:ext uri="{FF2B5EF4-FFF2-40B4-BE49-F238E27FC236}">
                        <a16:creationId xmlns:a16="http://schemas.microsoft.com/office/drawing/2014/main" id="{DAF45F8B-00F9-4467-994A-638957F07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FCAB48" w14:textId="77777777" w:rsidR="00FE5C85" w:rsidRPr="00FE5C85" w:rsidRDefault="00FE5C85" w:rsidP="00FE5C85">
            <w:pPr>
              <w:pStyle w:val="Source"/>
              <w:rPr>
                <w:rFonts w:asciiTheme="minorHAnsi" w:hAnsiTheme="minorHAnsi" w:cstheme="minorHAnsi"/>
                <w:b/>
                <w:bCs/>
                <w:sz w:val="20"/>
                <w:szCs w:val="20"/>
              </w:rPr>
            </w:pPr>
            <w:r w:rsidRPr="00411207">
              <w:rPr>
                <w:rFonts w:asciiTheme="minorHAnsi" w:hAnsiTheme="minorHAnsi" w:cstheme="minorHAnsi"/>
              </w:rPr>
              <w:t xml:space="preserve">Source: JSA, </w:t>
            </w:r>
            <w:r w:rsidRPr="00A02F5D">
              <w:rPr>
                <w:rFonts w:asciiTheme="minorHAnsi" w:hAnsiTheme="minorHAnsi" w:cstheme="minorHAnsi"/>
                <w:i/>
                <w:iCs/>
              </w:rPr>
              <w:t>Regional Labour Market Indicator</w:t>
            </w:r>
            <w:r w:rsidRPr="00411207">
              <w:rPr>
                <w:rFonts w:asciiTheme="minorHAnsi" w:hAnsiTheme="minorHAnsi" w:cstheme="minorHAnsi"/>
              </w:rPr>
              <w:t xml:space="preserve"> (RLMI), June 2024</w:t>
            </w:r>
          </w:p>
          <w:p w14:paraId="14F09B5E" w14:textId="77777777" w:rsidR="00FE5C85" w:rsidRDefault="00FE5C85" w:rsidP="00FE5C85"/>
        </w:tc>
      </w:tr>
    </w:tbl>
    <w:p w14:paraId="0741545E" w14:textId="77777777" w:rsidR="00FE5C85" w:rsidRDefault="00FE5C85" w:rsidP="00FE5C85"/>
    <w:p w14:paraId="5E9C1E96" w14:textId="77777777" w:rsidR="00003A3E" w:rsidRPr="00411207" w:rsidRDefault="00003A3E" w:rsidP="00003A3E">
      <w:pPr>
        <w:pStyle w:val="Heading3"/>
        <w:rPr>
          <w:rFonts w:asciiTheme="majorHAnsi" w:hAnsiTheme="majorHAnsi" w:cstheme="majorHAnsi"/>
        </w:rPr>
      </w:pPr>
      <w:r w:rsidRPr="00411207">
        <w:rPr>
          <w:rFonts w:asciiTheme="majorHAnsi" w:hAnsiTheme="majorHAnsi" w:cstheme="majorHAnsi"/>
        </w:rPr>
        <w:t>Labour market challenges are more pronounced in many regional areas</w:t>
      </w:r>
    </w:p>
    <w:p w14:paraId="6570873E" w14:textId="0A344C94" w:rsidR="00EC5177" w:rsidRPr="00D02BA0" w:rsidRDefault="00EC5177" w:rsidP="00EC5177">
      <w:r w:rsidRPr="00D02BA0">
        <w:t>A region’s location plays a crucial role in understanding regional labour market variation. Indeed, proximity to markets, access to services and a region’s amenities (such as physical and cultural attractiveness), amongst other things, can impact labour market performance.</w:t>
      </w:r>
    </w:p>
    <w:p w14:paraId="29013DAD" w14:textId="77777777" w:rsidR="00EC5177" w:rsidRDefault="00EC5177" w:rsidP="00EC5177">
      <w:r w:rsidRPr="00D02BA0">
        <w:t xml:space="preserve">Generally, labour markets in regions located in </w:t>
      </w:r>
      <w:r>
        <w:t>capital</w:t>
      </w:r>
      <w:r w:rsidRPr="00D02BA0">
        <w:t xml:space="preserve"> cities or larger regional cities perform better due to their larger population bases, greater accessibility to other regions and markets, wider array of job opportunities, more diverse skills base and higher educational attainment levels. On the other hand, regional and remote areas, particularly those with limited access to services and infrastructure, face challenges such as limited job opportunities, lower educational attainment levels and difficulties in attracting suitable workers, which often results in weaker labour market conditions.  </w:t>
      </w:r>
    </w:p>
    <w:p w14:paraId="7E3D0622" w14:textId="0CC0DADD" w:rsidR="00A0155F" w:rsidRDefault="00A0155F" w:rsidP="006A4F64">
      <w:pPr>
        <w:rPr>
          <w:rFonts w:eastAsia="Arial"/>
        </w:rPr>
      </w:pPr>
      <w:r w:rsidRPr="007840A4">
        <w:t>Regional and remote areas are also more likely to experience lower rates of labour market efficiency</w:t>
      </w:r>
      <w:r w:rsidRPr="007840A4">
        <w:rPr>
          <w:rStyle w:val="FootnoteReference"/>
          <w:rFonts w:eastAsia="Arial"/>
        </w:rPr>
        <w:footnoteReference w:id="8"/>
      </w:r>
      <w:r w:rsidRPr="007840A4">
        <w:rPr>
          <w:rFonts w:eastAsia="Arial"/>
        </w:rPr>
        <w:t xml:space="preserve">, compared with some of their larger regional city and capital city counterparts (Figure </w:t>
      </w:r>
      <w:r w:rsidR="007D3E9D">
        <w:rPr>
          <w:rFonts w:eastAsia="Arial"/>
        </w:rPr>
        <w:t>8</w:t>
      </w:r>
      <w:r w:rsidRPr="007840A4">
        <w:rPr>
          <w:rFonts w:eastAsia="Arial"/>
        </w:rPr>
        <w:t>). Indeed, a number of regions across Tasmania have low rates of labour market efficiency suggesting there is a significant mismatch between employers and the unemployed in these regions.</w:t>
      </w:r>
      <w:r>
        <w:rPr>
          <w:rFonts w:eastAsia="Arial"/>
        </w:rPr>
        <w:t xml:space="preserve"> </w:t>
      </w:r>
    </w:p>
    <w:p w14:paraId="06214B0E" w14:textId="3B864013" w:rsidR="00A0155F" w:rsidRPr="00A02F5D" w:rsidRDefault="00A0155F" w:rsidP="00D43896">
      <w:pPr>
        <w:pStyle w:val="Caption"/>
      </w:pPr>
      <w:r w:rsidRPr="00A02F5D">
        <w:t xml:space="preserve">Figure </w:t>
      </w:r>
      <w:r w:rsidR="007D3E9D" w:rsidRPr="00A02F5D">
        <w:t>8</w:t>
      </w:r>
      <w:r w:rsidRPr="00A02F5D">
        <w:t xml:space="preserve">: Labour market efficiency, </w:t>
      </w:r>
      <w:r w:rsidRPr="00D43896">
        <w:t>capital</w:t>
      </w:r>
      <w:r w:rsidRPr="00A02F5D">
        <w:t xml:space="preserve"> city and regional areas</w:t>
      </w:r>
    </w:p>
    <w:p w14:paraId="4648FF93" w14:textId="273F3F6A" w:rsidR="00A0155F" w:rsidRDefault="00084487" w:rsidP="003D070F">
      <w:pPr>
        <w:rPr>
          <w:rFonts w:eastAsia="Arial"/>
          <w:sz w:val="18"/>
          <w:szCs w:val="18"/>
        </w:rPr>
      </w:pPr>
      <w:r>
        <w:rPr>
          <w:noProof/>
        </w:rPr>
        <w:drawing>
          <wp:inline distT="0" distB="0" distL="0" distR="0" wp14:anchorId="40709515" wp14:editId="1999F999">
            <wp:extent cx="5439600" cy="3492000"/>
            <wp:effectExtent l="0" t="0" r="8890" b="0"/>
            <wp:docPr id="104704755" name="Chart 1" descr="A scatter plot of labour market efficiency ranked from lowest (efficiency) to highest (efficiency). &#10;The chart shows that regional and remote areas are more likely to experience lower rates of labour market efficiency than compared with some of their larger regional city and capital city counterparts.&#10;">
              <a:extLst xmlns:a="http://schemas.openxmlformats.org/drawingml/2006/main">
                <a:ext uri="{FF2B5EF4-FFF2-40B4-BE49-F238E27FC236}">
                  <a16:creationId xmlns:a16="http://schemas.microsoft.com/office/drawing/2014/main" id="{83368A40-B075-C13F-3D57-7E8BA8204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98179AC" w14:textId="77777777" w:rsidR="00A0155F" w:rsidRPr="009275D0" w:rsidRDefault="00A0155F" w:rsidP="00D43896">
      <w:pPr>
        <w:pStyle w:val="Source"/>
      </w:pPr>
      <w:r w:rsidRPr="009275D0">
        <w:t>Source: JSA, Matching Unemployed Vacancies Efficiency Residual (MUVER) model, experimental estimates of matching efficiency, 2023, unpublished data</w:t>
      </w:r>
    </w:p>
    <w:p w14:paraId="7725C26D" w14:textId="1527111C" w:rsidR="00A0155F" w:rsidRPr="00752EDE" w:rsidRDefault="00A0155F" w:rsidP="006A4F64">
      <w:pPr>
        <w:rPr>
          <w:rFonts w:asciiTheme="majorHAnsi" w:hAnsiTheme="majorHAnsi" w:cstheme="majorBidi"/>
        </w:rPr>
      </w:pPr>
      <w:r w:rsidRPr="61FC3CE6">
        <w:t xml:space="preserve">Reflecting, at least partially, poorer labour market conditions and lower matching efficiency, employees in regional and remote areas are also more likely to experience low and irregular pay (Figure </w:t>
      </w:r>
      <w:r w:rsidR="007D3E9D">
        <w:rPr>
          <w:rFonts w:asciiTheme="majorHAnsi" w:hAnsiTheme="majorHAnsi" w:cstheme="majorBidi"/>
        </w:rPr>
        <w:t>9</w:t>
      </w:r>
      <w:r w:rsidRPr="61FC3CE6">
        <w:rPr>
          <w:rFonts w:asciiTheme="majorHAnsi" w:hAnsiTheme="majorHAnsi" w:cstheme="majorBidi"/>
        </w:rPr>
        <w:t>). Low and irregular pay can significantly impact a workers’ financial security and reduce the capacity to plan their lives.</w:t>
      </w:r>
      <w:r w:rsidRPr="61FC3CE6">
        <w:rPr>
          <w:rStyle w:val="FootnoteReference"/>
          <w:rFonts w:asciiTheme="majorHAnsi" w:eastAsia="Arial" w:hAnsiTheme="majorHAnsi" w:cstheme="majorBidi"/>
        </w:rPr>
        <w:footnoteReference w:id="9"/>
      </w:r>
      <w:r w:rsidRPr="61FC3CE6">
        <w:rPr>
          <w:rFonts w:asciiTheme="majorHAnsi" w:hAnsiTheme="majorHAnsi" w:cstheme="majorBidi"/>
        </w:rPr>
        <w:t xml:space="preserve"> As such, these findings further highlight the challenges for employees in regional and remote areas.   </w:t>
      </w:r>
    </w:p>
    <w:p w14:paraId="7EA0D50B" w14:textId="2224D697" w:rsidR="00A0155F" w:rsidRPr="00A02F5D" w:rsidRDefault="00A0155F" w:rsidP="00D43896">
      <w:pPr>
        <w:pStyle w:val="Caption"/>
      </w:pPr>
      <w:r w:rsidRPr="00A02F5D">
        <w:rPr>
          <w:rFonts w:asciiTheme="minorHAnsi" w:hAnsiTheme="minorHAnsi" w:cstheme="minorHAnsi"/>
        </w:rPr>
        <w:t xml:space="preserve">Figure </w:t>
      </w:r>
      <w:r w:rsidR="007D3E9D" w:rsidRPr="00A02F5D">
        <w:t>9</w:t>
      </w:r>
      <w:r w:rsidRPr="00A02F5D">
        <w:t xml:space="preserve">: Income volatility </w:t>
      </w:r>
      <w:r w:rsidRPr="00D43896">
        <w:t>by</w:t>
      </w:r>
      <w:r w:rsidRPr="00A02F5D">
        <w:t xml:space="preserve"> remoteness category, 2022</w:t>
      </w:r>
      <w:r w:rsidR="007D1B04">
        <w:t>–</w:t>
      </w:r>
      <w:r w:rsidRPr="00A02F5D">
        <w:t>23</w:t>
      </w:r>
    </w:p>
    <w:p w14:paraId="7B19F42A" w14:textId="76109794" w:rsidR="00A0155F" w:rsidRDefault="00A0155F" w:rsidP="00D43896">
      <w:pPr>
        <w:jc w:val="center"/>
      </w:pPr>
      <w:r w:rsidRPr="00F427F1">
        <w:rPr>
          <w:noProof/>
        </w:rPr>
        <w:drawing>
          <wp:inline distT="0" distB="0" distL="0" distR="0" wp14:anchorId="1E574EE8" wp14:editId="715CE0CE">
            <wp:extent cx="3820058" cy="285790"/>
            <wp:effectExtent l="0" t="0" r="0" b="0"/>
            <wp:docPr id="7323638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63844" name="Picture 1">
                      <a:extLst>
                        <a:ext uri="{C183D7F6-B498-43B3-948B-1728B52AA6E4}">
                          <adec:decorative xmlns:adec="http://schemas.microsoft.com/office/drawing/2017/decorative" val="1"/>
                        </a:ext>
                      </a:extLst>
                    </pic:cNvPr>
                    <pic:cNvPicPr/>
                  </pic:nvPicPr>
                  <pic:blipFill>
                    <a:blip r:embed="rId43"/>
                    <a:stretch>
                      <a:fillRect/>
                    </a:stretch>
                  </pic:blipFill>
                  <pic:spPr>
                    <a:xfrm>
                      <a:off x="0" y="0"/>
                      <a:ext cx="3820058" cy="285790"/>
                    </a:xfrm>
                    <a:prstGeom prst="rect">
                      <a:avLst/>
                    </a:prstGeom>
                  </pic:spPr>
                </pic:pic>
              </a:graphicData>
            </a:graphic>
          </wp:inline>
        </w:drawing>
      </w:r>
    </w:p>
    <w:p w14:paraId="2DB8E220" w14:textId="77777777" w:rsidR="00A0155F" w:rsidRDefault="00A0155F" w:rsidP="003D070F">
      <w:pPr>
        <w:rPr>
          <w:rFonts w:eastAsia="Arial" w:cs="Arial"/>
          <w:color w:val="4B0885"/>
        </w:rPr>
      </w:pPr>
      <w:r>
        <w:rPr>
          <w:noProof/>
        </w:rPr>
        <w:drawing>
          <wp:inline distT="0" distB="0" distL="0" distR="0" wp14:anchorId="7FBBA294" wp14:editId="6087CA96">
            <wp:extent cx="5731510" cy="3398520"/>
            <wp:effectExtent l="0" t="0" r="2540" b="0"/>
            <wp:docPr id="119553099" name="Chart 1" descr="A scatter plot of income volatility (median number of weeks (per year) with an income fluctuation of 25% or more for all employees) and weekly income (median weekly income). &#10;&#10;The chart shows employees in regional and remote areas are more likely to experience low and irregular pay.&#10;">
              <a:extLst xmlns:a="http://schemas.openxmlformats.org/drawingml/2006/main">
                <a:ext uri="{FF2B5EF4-FFF2-40B4-BE49-F238E27FC236}">
                  <a16:creationId xmlns:a16="http://schemas.microsoft.com/office/drawing/2014/main" id="{6FBB31EE-831E-41AF-AC43-573FE25B8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8C7AAA3" w14:textId="77777777" w:rsidR="00A0155F" w:rsidRPr="00F667DA" w:rsidRDefault="00A0155F" w:rsidP="00D43896">
      <w:pPr>
        <w:pStyle w:val="Source"/>
        <w:rPr>
          <w:rFonts w:eastAsia="Arial"/>
        </w:rPr>
      </w:pPr>
      <w:r w:rsidRPr="00F667DA">
        <w:rPr>
          <w:rFonts w:eastAsia="Arial"/>
        </w:rPr>
        <w:t xml:space="preserve">Source: </w:t>
      </w:r>
      <w:r>
        <w:rPr>
          <w:rFonts w:eastAsia="Arial"/>
        </w:rPr>
        <w:t xml:space="preserve">ABS, </w:t>
      </w:r>
      <w:r w:rsidRPr="00F667DA">
        <w:t>P</w:t>
      </w:r>
      <w:r>
        <w:t xml:space="preserve">erson </w:t>
      </w:r>
      <w:r w:rsidRPr="00F667DA">
        <w:t>L</w:t>
      </w:r>
      <w:r>
        <w:t xml:space="preserve">evel </w:t>
      </w:r>
      <w:r w:rsidRPr="00F667DA">
        <w:t>I</w:t>
      </w:r>
      <w:r>
        <w:t xml:space="preserve">ntegrated </w:t>
      </w:r>
      <w:r w:rsidRPr="00F667DA">
        <w:t>D</w:t>
      </w:r>
      <w:r>
        <w:t xml:space="preserve">ata </w:t>
      </w:r>
      <w:r w:rsidRPr="00F667DA">
        <w:t>A</w:t>
      </w:r>
      <w:r>
        <w:t>sset (PLIDA)</w:t>
      </w:r>
      <w:r w:rsidRPr="00F667DA">
        <w:t xml:space="preserve"> 2024: Single Touch Payroll (STP) (1 July 2022–30 June 2023)</w:t>
      </w:r>
      <w:r>
        <w:t>;</w:t>
      </w:r>
      <w:r w:rsidRPr="00F667DA">
        <w:t xml:space="preserve"> ATO Income Tax Return (ITR) Context, (Financial Year 2021–22)</w:t>
      </w:r>
      <w:r>
        <w:t>;</w:t>
      </w:r>
      <w:r w:rsidRPr="00F667DA">
        <w:t xml:space="preserve"> Census 2021 </w:t>
      </w:r>
    </w:p>
    <w:p w14:paraId="0EE9EDDC" w14:textId="77777777" w:rsidR="00A0155F" w:rsidRDefault="00A0155F" w:rsidP="00AB6B58">
      <w:pPr>
        <w:pStyle w:val="Source"/>
      </w:pPr>
      <w:r w:rsidRPr="007020FB">
        <w:t>Note: Income volatility refers to the median number of weeks (per year) with an income fluctuation of 25% or more for all employees in their highest earning job. Median weekly income is calculated for employees highest earning job</w:t>
      </w:r>
      <w:r>
        <w:t xml:space="preserve">. </w:t>
      </w:r>
    </w:p>
    <w:p w14:paraId="33097774" w14:textId="77777777" w:rsidR="00C9084F" w:rsidRPr="006A4F64" w:rsidRDefault="00C9084F" w:rsidP="003D6C8A">
      <w:pPr>
        <w:pStyle w:val="Heading3"/>
        <w:rPr>
          <w:rFonts w:asciiTheme="majorHAnsi" w:hAnsiTheme="majorHAnsi" w:cstheme="majorHAnsi"/>
          <w:bCs/>
        </w:rPr>
      </w:pPr>
      <w:bookmarkStart w:id="26" w:name="_Toc171937410"/>
      <w:r w:rsidRPr="006A4F64">
        <w:rPr>
          <w:rFonts w:asciiTheme="majorHAnsi" w:hAnsiTheme="majorHAnsi" w:cstheme="majorHAnsi"/>
        </w:rPr>
        <w:t>First Nations people are over-represented in regional and remote regions with poor labour market conditions</w:t>
      </w:r>
      <w:bookmarkEnd w:id="26"/>
    </w:p>
    <w:p w14:paraId="0D3863F4" w14:textId="2418CB91" w:rsidR="00C9084F" w:rsidRPr="00D02BA0" w:rsidRDefault="00C9084F" w:rsidP="006A4F64">
      <w:pPr>
        <w:rPr>
          <w:rFonts w:eastAsia="Arial"/>
        </w:rPr>
      </w:pPr>
      <w:r w:rsidRPr="00D02BA0">
        <w:t xml:space="preserve">First Nations people make </w:t>
      </w:r>
      <w:r w:rsidRPr="00D02BA0">
        <w:rPr>
          <w:rFonts w:eastAsia="Arial"/>
        </w:rPr>
        <w:t xml:space="preserve">diverse and important contributions to Australia’s workforce and are leading the way at the pinnacle of many sectors, </w:t>
      </w:r>
      <w:r w:rsidR="486B8C13" w:rsidRPr="00D02BA0">
        <w:rPr>
          <w:rFonts w:eastAsia="Arial"/>
        </w:rPr>
        <w:t>however</w:t>
      </w:r>
      <w:r w:rsidRPr="00D02BA0">
        <w:rPr>
          <w:rFonts w:eastAsia="Arial"/>
        </w:rPr>
        <w:t xml:space="preserve"> unacceptable gaps persist in education and employment outcomes at the population level.</w:t>
      </w:r>
      <w:r w:rsidRPr="00D02BA0">
        <w:rPr>
          <w:rStyle w:val="FootnoteReference"/>
          <w:rFonts w:eastAsia="Arial"/>
        </w:rPr>
        <w:footnoteReference w:id="10"/>
      </w:r>
      <w:r w:rsidRPr="00D02BA0">
        <w:rPr>
          <w:rFonts w:eastAsia="Arial"/>
        </w:rPr>
        <w:t xml:space="preserve"> For instance, First Nations people are more likely to be unemployed, or to be employed in low-paid jobs and </w:t>
      </w:r>
      <w:r w:rsidR="00FD5062">
        <w:rPr>
          <w:rFonts w:eastAsia="Arial"/>
        </w:rPr>
        <w:t>face challenges</w:t>
      </w:r>
      <w:r w:rsidRPr="00D02BA0">
        <w:rPr>
          <w:rFonts w:eastAsia="Arial"/>
        </w:rPr>
        <w:t xml:space="preserve"> (for example, less </w:t>
      </w:r>
      <w:r w:rsidR="0069739A">
        <w:rPr>
          <w:rFonts w:eastAsia="Arial"/>
        </w:rPr>
        <w:t xml:space="preserve">labour market </w:t>
      </w:r>
      <w:r w:rsidRPr="00D02BA0">
        <w:rPr>
          <w:rFonts w:eastAsia="Arial"/>
        </w:rPr>
        <w:t>experience</w:t>
      </w:r>
      <w:r w:rsidR="004C57D1">
        <w:rPr>
          <w:rFonts w:eastAsia="Arial"/>
        </w:rPr>
        <w:t>,</w:t>
      </w:r>
      <w:r w:rsidRPr="00D02BA0">
        <w:rPr>
          <w:rFonts w:eastAsia="Arial"/>
        </w:rPr>
        <w:t xml:space="preserve"> lower educational attainment levels</w:t>
      </w:r>
      <w:r w:rsidR="004C57D1">
        <w:rPr>
          <w:rFonts w:eastAsia="Arial"/>
        </w:rPr>
        <w:t xml:space="preserve"> and </w:t>
      </w:r>
      <w:r w:rsidRPr="00D02BA0">
        <w:rPr>
          <w:rFonts w:eastAsia="Arial"/>
        </w:rPr>
        <w:t>greater time out of the labour market) that may predispose them to labour market disadvantage.</w:t>
      </w:r>
    </w:p>
    <w:p w14:paraId="475F2DB4" w14:textId="2869DE2D" w:rsidR="00C9084F" w:rsidRPr="00D02BA0" w:rsidRDefault="00C9084F" w:rsidP="008C4195">
      <w:pPr>
        <w:keepLines/>
        <w:rPr>
          <w:rFonts w:eastAsia="Arial"/>
        </w:rPr>
      </w:pPr>
      <w:r w:rsidRPr="61FC3CE6">
        <w:t xml:space="preserve">Moreover, First Nation people tend to be concentrated in regional and remote areas, which generally have a long history of entrenched labour market disadvantage. Indeed, </w:t>
      </w:r>
      <w:r w:rsidR="00D2419C" w:rsidRPr="61FC3CE6">
        <w:t>more than half</w:t>
      </w:r>
      <w:r w:rsidRPr="61FC3CE6">
        <w:t xml:space="preserve"> (or </w:t>
      </w:r>
      <w:r w:rsidR="00F5625D" w:rsidRPr="61FC3CE6">
        <w:t>52</w:t>
      </w:r>
      <w:r w:rsidRPr="61FC3CE6">
        <w:t xml:space="preserve">%) of the First Nations working age population reside in </w:t>
      </w:r>
      <w:r w:rsidR="00F5625D" w:rsidRPr="61FC3CE6">
        <w:t xml:space="preserve">regional or </w:t>
      </w:r>
      <w:r w:rsidRPr="61FC3CE6">
        <w:t xml:space="preserve">remote regions (such as Outback Northern Territory and Western Australia), well above the </w:t>
      </w:r>
      <w:r w:rsidR="004420E7" w:rsidRPr="61FC3CE6">
        <w:t>22</w:t>
      </w:r>
      <w:r w:rsidRPr="61FC3CE6">
        <w:t>% recorded for all persons (</w:t>
      </w:r>
      <w:r w:rsidR="00443FE7" w:rsidRPr="61FC3CE6">
        <w:t>Figure</w:t>
      </w:r>
      <w:r w:rsidR="00CB758B">
        <w:t xml:space="preserve"> </w:t>
      </w:r>
      <w:r w:rsidR="00BB498A">
        <w:t>10</w:t>
      </w:r>
      <w:r w:rsidRPr="61FC3CE6">
        <w:t>).</w:t>
      </w:r>
    </w:p>
    <w:p w14:paraId="296936B9" w14:textId="3ABDB1AB" w:rsidR="00C9084F" w:rsidRPr="00D02BA0" w:rsidRDefault="00C9084F" w:rsidP="006A4F64">
      <w:pPr>
        <w:rPr>
          <w:rFonts w:eastAsia="Arial"/>
        </w:rPr>
      </w:pPr>
      <w:r w:rsidRPr="00D02BA0">
        <w:t>The over-representation of First Nations people in labour markets with entrenched disadvantage, that are characterised by persistently high unemployment and limited employment and training opportunities, further highlight</w:t>
      </w:r>
      <w:r w:rsidR="002A0550">
        <w:rPr>
          <w:rFonts w:eastAsia="Arial"/>
        </w:rPr>
        <w:t>s</w:t>
      </w:r>
      <w:r w:rsidRPr="00D02BA0">
        <w:rPr>
          <w:rFonts w:eastAsia="Arial"/>
        </w:rPr>
        <w:t xml:space="preserve"> the significant (and often interconnected) barriers to employment.</w:t>
      </w:r>
    </w:p>
    <w:p w14:paraId="44651300" w14:textId="653E370B" w:rsidR="00C9084F" w:rsidRPr="00150241" w:rsidRDefault="00C069BE" w:rsidP="00150241">
      <w:pPr>
        <w:pStyle w:val="Caption"/>
        <w:rPr>
          <w:rFonts w:asciiTheme="minorHAnsi" w:hAnsiTheme="minorHAnsi" w:cstheme="minorHAnsi"/>
          <w:szCs w:val="20"/>
        </w:rPr>
      </w:pPr>
      <w:r w:rsidRPr="00150241">
        <w:rPr>
          <w:rFonts w:asciiTheme="minorHAnsi" w:hAnsiTheme="minorHAnsi" w:cstheme="minorHAnsi"/>
          <w:szCs w:val="20"/>
        </w:rPr>
        <w:t xml:space="preserve">Figure </w:t>
      </w:r>
      <w:r w:rsidR="00BB498A" w:rsidRPr="00150241">
        <w:rPr>
          <w:rFonts w:asciiTheme="minorHAnsi" w:hAnsiTheme="minorHAnsi" w:cstheme="minorHAnsi"/>
          <w:szCs w:val="20"/>
        </w:rPr>
        <w:t>10</w:t>
      </w:r>
      <w:r w:rsidR="00C9084F" w:rsidRPr="00150241">
        <w:rPr>
          <w:rFonts w:asciiTheme="minorHAnsi" w:hAnsiTheme="minorHAnsi" w:cstheme="minorHAnsi"/>
          <w:szCs w:val="20"/>
        </w:rPr>
        <w:t>: Proportion of the working age population by remoteness category, March 2024</w:t>
      </w:r>
    </w:p>
    <w:p w14:paraId="7496BEE3" w14:textId="77777777" w:rsidR="00C9084F" w:rsidRPr="00531531" w:rsidRDefault="00C9084F" w:rsidP="003D070F">
      <w:pPr>
        <w:rPr>
          <w:rFonts w:eastAsia="Arial"/>
        </w:rPr>
      </w:pPr>
      <w:r>
        <w:rPr>
          <w:noProof/>
        </w:rPr>
        <w:drawing>
          <wp:inline distT="0" distB="0" distL="0" distR="0" wp14:anchorId="1F835683" wp14:editId="51605895">
            <wp:extent cx="5731200" cy="3224213"/>
            <wp:effectExtent l="0" t="0" r="3175" b="0"/>
            <wp:docPr id="1986006105" name="Chart 1" descr="A bar chart showing the proportion of the working age population by remoteness category (capital city, regional city, regional, remote). &#10;&#10;The chart shows that First Nations people are over-represented in regional and remote regions. ">
              <a:extLst xmlns:a="http://schemas.openxmlformats.org/drawingml/2006/main">
                <a:ext uri="{FF2B5EF4-FFF2-40B4-BE49-F238E27FC236}">
                  <a16:creationId xmlns:a16="http://schemas.microsoft.com/office/drawing/2014/main" id="{564AC7D5-16FB-362D-3D8C-98D5BC4DF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6260D24" w14:textId="7DFC1561" w:rsidR="00C9084F" w:rsidRPr="006A4F64" w:rsidRDefault="00C9084F" w:rsidP="006A4F64">
      <w:pPr>
        <w:pStyle w:val="Source"/>
        <w:rPr>
          <w:rFonts w:eastAsia="Arial"/>
        </w:rPr>
      </w:pPr>
      <w:r w:rsidRPr="006A4F64">
        <w:rPr>
          <w:rFonts w:asciiTheme="minorHAnsi" w:hAnsiTheme="minorHAnsi" w:cstheme="minorHAnsi"/>
        </w:rPr>
        <w:t xml:space="preserve">Source: ABS, </w:t>
      </w:r>
      <w:r w:rsidRPr="006A4F64">
        <w:rPr>
          <w:rFonts w:eastAsia="Arial"/>
          <w:i/>
        </w:rPr>
        <w:t>Labour Force, Australia, Detailed</w:t>
      </w:r>
      <w:r w:rsidRPr="006A4F64">
        <w:rPr>
          <w:rFonts w:eastAsia="Arial"/>
        </w:rPr>
        <w:t xml:space="preserve">, </w:t>
      </w:r>
      <w:r w:rsidR="00EF5271" w:rsidRPr="006A4F64">
        <w:rPr>
          <w:rFonts w:eastAsia="Arial"/>
        </w:rPr>
        <w:t xml:space="preserve">June </w:t>
      </w:r>
      <w:r w:rsidRPr="006A4F64">
        <w:rPr>
          <w:rFonts w:eastAsia="Arial"/>
        </w:rPr>
        <w:t>2024, 6-month averages of original estimates</w:t>
      </w:r>
      <w:r w:rsidR="005228B1" w:rsidRPr="006A4F64">
        <w:rPr>
          <w:rFonts w:eastAsia="Arial"/>
        </w:rPr>
        <w:t>;</w:t>
      </w:r>
      <w:r w:rsidRPr="006A4F64">
        <w:rPr>
          <w:rFonts w:eastAsia="Arial"/>
        </w:rPr>
        <w:t xml:space="preserve"> ABS, </w:t>
      </w:r>
      <w:r w:rsidRPr="006A4F64">
        <w:rPr>
          <w:rFonts w:eastAsia="Arial"/>
          <w:i/>
        </w:rPr>
        <w:t>Census of Population and Housing</w:t>
      </w:r>
      <w:r w:rsidRPr="006A4F64">
        <w:rPr>
          <w:rFonts w:eastAsia="Arial"/>
        </w:rPr>
        <w:t xml:space="preserve">, 2021 </w:t>
      </w:r>
    </w:p>
    <w:p w14:paraId="0CD2EF87" w14:textId="77777777" w:rsidR="00C9084F" w:rsidRPr="006A4F64" w:rsidRDefault="00C9084F" w:rsidP="003D6C8A">
      <w:pPr>
        <w:pStyle w:val="Heading2"/>
        <w:rPr>
          <w:rFonts w:asciiTheme="majorHAnsi" w:hAnsiTheme="majorHAnsi" w:cstheme="majorHAnsi"/>
        </w:rPr>
      </w:pPr>
      <w:bookmarkStart w:id="27" w:name="_Toc171937411"/>
      <w:bookmarkStart w:id="28" w:name="_Toc178173729"/>
      <w:r w:rsidRPr="006A4F64">
        <w:rPr>
          <w:rFonts w:asciiTheme="majorHAnsi" w:hAnsiTheme="majorHAnsi" w:cstheme="majorHAnsi"/>
        </w:rPr>
        <w:t>Trends influencing regional labour market performance</w:t>
      </w:r>
      <w:bookmarkEnd w:id="27"/>
      <w:bookmarkEnd w:id="28"/>
    </w:p>
    <w:p w14:paraId="133BD288" w14:textId="5F5B8634" w:rsidR="00C9084F" w:rsidRPr="009C6048" w:rsidRDefault="00C9084F" w:rsidP="00E64DAF">
      <w:pPr>
        <w:keepNext/>
        <w:rPr>
          <w:rFonts w:eastAsia="Arial"/>
        </w:rPr>
      </w:pPr>
      <w:r w:rsidRPr="009C6048">
        <w:rPr>
          <w:rFonts w:eastAsia="Arial"/>
        </w:rPr>
        <w:t>While there have always been differences in regional economies and labour markets across Australia, changes in the fortunes of particular industries, infrastructure, technological developments and other factors mean that these differences vary over time and by region. Gaining an understanding of the trends that are associated with regional labour market performance will help better inform policy development and assist in ensuring Australia has the necessary pre-requisites to build a better-skilled and more adaptable workforce to position the Australian labour market for the future</w:t>
      </w:r>
      <w:r w:rsidR="06A1C201" w:rsidRPr="6F1BBB17">
        <w:rPr>
          <w:rFonts w:eastAsia="Arial"/>
        </w:rPr>
        <w:t xml:space="preserve"> (Figure 11)</w:t>
      </w:r>
      <w:r w:rsidRPr="6F1BBB17">
        <w:rPr>
          <w:rFonts w:eastAsia="Arial"/>
        </w:rPr>
        <w:t>.</w:t>
      </w:r>
    </w:p>
    <w:p w14:paraId="31ADDA6C" w14:textId="77777777" w:rsidR="006A4F64" w:rsidRPr="00E54B8C" w:rsidRDefault="006A4F64">
      <w:r w:rsidRPr="00E54B8C">
        <w:br w:type="page"/>
      </w:r>
    </w:p>
    <w:p w14:paraId="79085FA1" w14:textId="1D6B1FC0" w:rsidR="00C9084F" w:rsidRPr="006A4F64" w:rsidRDefault="00C9084F" w:rsidP="00D43896">
      <w:pPr>
        <w:pStyle w:val="Caption"/>
      </w:pPr>
      <w:r w:rsidRPr="006A4F64">
        <w:rPr>
          <w:rFonts w:asciiTheme="minorHAnsi" w:hAnsiTheme="minorHAnsi" w:cstheme="minorHAnsi"/>
          <w:szCs w:val="20"/>
        </w:rPr>
        <w:t xml:space="preserve">Figure </w:t>
      </w:r>
      <w:r w:rsidR="00BB498A" w:rsidRPr="006A4F64">
        <w:t>11</w:t>
      </w:r>
      <w:r w:rsidRPr="006A4F64">
        <w:t xml:space="preserve">: Trends influencing regional labour market </w:t>
      </w:r>
      <w:r w:rsidRPr="00D43896">
        <w:t>performance</w:t>
      </w:r>
    </w:p>
    <w:p w14:paraId="5149947B" w14:textId="2563B116" w:rsidR="00C9084F" w:rsidRPr="00E54B8C" w:rsidRDefault="006A4F64" w:rsidP="003D070F">
      <w:r w:rsidRPr="00E54B8C">
        <w:rPr>
          <w:noProof/>
        </w:rPr>
        <mc:AlternateContent>
          <mc:Choice Requires="wpg">
            <w:drawing>
              <wp:inline distT="0" distB="0" distL="0" distR="0" wp14:anchorId="22E02FA4" wp14:editId="7165B6F0">
                <wp:extent cx="5514340" cy="2305050"/>
                <wp:effectExtent l="0" t="0" r="0" b="0"/>
                <wp:docPr id="389097541" name="Group 1" descr="This graphic calls out four of the trends influencing labour market performance namely: population growth; the ageing population and the role of the health and support workforce; the high-skilled, service based workforce and the clean energy workforce"/>
                <wp:cNvGraphicFramePr/>
                <a:graphic xmlns:a="http://schemas.openxmlformats.org/drawingml/2006/main">
                  <a:graphicData uri="http://schemas.microsoft.com/office/word/2010/wordprocessingGroup">
                    <wpg:wgp>
                      <wpg:cNvGrpSpPr/>
                      <wpg:grpSpPr>
                        <a:xfrm>
                          <a:off x="0" y="0"/>
                          <a:ext cx="5514340" cy="2305050"/>
                          <a:chOff x="0" y="0"/>
                          <a:chExt cx="5514340" cy="2305050"/>
                        </a:xfrm>
                      </wpg:grpSpPr>
                      <wpg:grpSp>
                        <wpg:cNvPr id="81810422" name="Group 1"/>
                        <wpg:cNvGrpSpPr/>
                        <wpg:grpSpPr>
                          <a:xfrm>
                            <a:off x="0" y="0"/>
                            <a:ext cx="5514340" cy="2305050"/>
                            <a:chOff x="0" y="0"/>
                            <a:chExt cx="4615803" cy="2212340"/>
                          </a:xfrm>
                        </wpg:grpSpPr>
                        <wpg:grpSp>
                          <wpg:cNvPr id="5" name="Group 22" descr="Internet jobs boards 63%">
                            <a:extLst>
                              <a:ext uri="{FF2B5EF4-FFF2-40B4-BE49-F238E27FC236}">
                                <a16:creationId xmlns:a16="http://schemas.microsoft.com/office/drawing/2014/main" id="{BDA1836C-FA14-D1D6-F82F-4C886EF345B1}"/>
                              </a:ext>
                            </a:extLst>
                          </wpg:cNvPr>
                          <wpg:cNvGrpSpPr/>
                          <wpg:grpSpPr bwMode="auto">
                            <a:xfrm>
                              <a:off x="0" y="0"/>
                              <a:ext cx="1090295" cy="2212340"/>
                              <a:chOff x="0" y="5880"/>
                              <a:chExt cx="1920911" cy="3780000"/>
                            </a:xfrm>
                            <a:solidFill>
                              <a:srgbClr val="6929C4"/>
                            </a:solidFill>
                          </wpg:grpSpPr>
                          <wps:wsp>
                            <wps:cNvPr id="1112053784" name="Rectangle 1112053784">
                              <a:extLst>
                                <a:ext uri="{FF2B5EF4-FFF2-40B4-BE49-F238E27FC236}">
                                  <a16:creationId xmlns:a16="http://schemas.microsoft.com/office/drawing/2014/main" id="{D012E052-33B6-77C3-3D30-061476672692}"/>
                                </a:ext>
                              </a:extLst>
                            </wps:cNvPr>
                            <wps:cNvSpPr>
                              <a:spLocks noChangeArrowheads="1"/>
                            </wps:cNvSpPr>
                            <wps:spPr bwMode="auto">
                              <a:xfrm>
                                <a:off x="0" y="5880"/>
                                <a:ext cx="1920911" cy="3780000"/>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26351" tIns="26351" rIns="26351" bIns="26351" numCol="1" anchor="t" anchorCtr="0" compatLnSpc="1">
                              <a:prstTxWarp prst="textNoShape">
                                <a:avLst/>
                              </a:prstTxWarp>
                            </wps:bodyPr>
                          </wps:wsp>
                          <wps:wsp>
                            <wps:cNvPr id="65263542" name="Text Box 24">
                              <a:extLst>
                                <a:ext uri="{FF2B5EF4-FFF2-40B4-BE49-F238E27FC236}">
                                  <a16:creationId xmlns:a16="http://schemas.microsoft.com/office/drawing/2014/main" id="{89D8B126-8481-75B7-4266-6F2436130F64}"/>
                                </a:ext>
                              </a:extLst>
                            </wps:cNvPr>
                            <wps:cNvSpPr txBox="1">
                              <a:spLocks noChangeArrowheads="1"/>
                            </wps:cNvSpPr>
                            <wps:spPr bwMode="auto">
                              <a:xfrm>
                                <a:off x="43627" y="1640449"/>
                                <a:ext cx="1877284" cy="1499507"/>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0370C538"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Population Growth </w:t>
                                  </w:r>
                                </w:p>
                              </w:txbxContent>
                            </wps:txbx>
                            <wps:bodyPr vert="horz" wrap="square" lIns="26351" tIns="26351" rIns="26351" bIns="26351" numCol="1" anchor="ctr" anchorCtr="0" compatLnSpc="1">
                              <a:prstTxWarp prst="textNoShape">
                                <a:avLst/>
                              </a:prstTxWarp>
                            </wps:bodyPr>
                          </wps:wsp>
                          <pic:pic xmlns:pic="http://schemas.openxmlformats.org/drawingml/2006/picture">
                            <pic:nvPicPr>
                              <pic:cNvPr id="362780723" name="Graphic 362780723" descr="Business Growth outline">
                                <a:extLst>
                                  <a:ext uri="{FF2B5EF4-FFF2-40B4-BE49-F238E27FC236}">
                                    <a16:creationId xmlns:a16="http://schemas.microsoft.com/office/drawing/2014/main" id="{159125B5-334C-73C2-FDE5-3E5DC94ECC24}"/>
                                  </a:ext>
                                </a:extLst>
                              </pic:cNvPr>
                              <pic:cNvPicPr>
                                <a:picLocks noChangeAspect="1" noChangeArrowheads="1"/>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rcRect/>
                              <a:stretch/>
                            </pic:blipFill>
                            <pic:spPr bwMode="auto">
                              <a:xfrm>
                                <a:off x="169343" y="286804"/>
                                <a:ext cx="1602020" cy="1620001"/>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pic:spPr>
                          </pic:pic>
                        </wpg:grpSp>
                        <wpg:grpSp>
                          <wpg:cNvPr id="17" name="Group 12" descr="Social media, e.g. jobs froups on Facebook, 25%">
                            <a:extLst>
                              <a:ext uri="{FF2B5EF4-FFF2-40B4-BE49-F238E27FC236}">
                                <a16:creationId xmlns:a16="http://schemas.microsoft.com/office/drawing/2014/main" id="{D8B98819-1945-36CF-91E7-E1FECDEB167B}"/>
                              </a:ext>
                            </a:extLst>
                          </wpg:cNvPr>
                          <wpg:cNvGrpSpPr/>
                          <wpg:grpSpPr bwMode="auto">
                            <a:xfrm>
                              <a:off x="2362200" y="0"/>
                              <a:ext cx="1090930" cy="2212340"/>
                              <a:chOff x="2964520" y="1"/>
                              <a:chExt cx="1922945" cy="3780000"/>
                            </a:xfrm>
                            <a:solidFill>
                              <a:srgbClr val="005D5D"/>
                            </a:solidFill>
                          </wpg:grpSpPr>
                          <wps:wsp>
                            <wps:cNvPr id="1061435008" name="Rectangle 1061435008">
                              <a:extLst>
                                <a:ext uri="{FF2B5EF4-FFF2-40B4-BE49-F238E27FC236}">
                                  <a16:creationId xmlns:a16="http://schemas.microsoft.com/office/drawing/2014/main" id="{54A5A75E-1503-8E3A-3C31-CF29198775BF}"/>
                                </a:ext>
                              </a:extLst>
                            </wps:cNvPr>
                            <wps:cNvSpPr>
                              <a:spLocks noChangeArrowheads="1"/>
                            </wps:cNvSpPr>
                            <wps:spPr bwMode="auto">
                              <a:xfrm>
                                <a:off x="2964520" y="1"/>
                                <a:ext cx="1922945" cy="3780000"/>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26351" tIns="26351" rIns="26351" bIns="26351" numCol="1" anchor="t" anchorCtr="0" compatLnSpc="1">
                              <a:prstTxWarp prst="textNoShape">
                                <a:avLst/>
                              </a:prstTxWarp>
                            </wps:bodyPr>
                          </wps:wsp>
                          <wps:wsp>
                            <wps:cNvPr id="273387861" name="Text Box 16">
                              <a:extLst>
                                <a:ext uri="{FF2B5EF4-FFF2-40B4-BE49-F238E27FC236}">
                                  <a16:creationId xmlns:a16="http://schemas.microsoft.com/office/drawing/2014/main" id="{5B8DF3C8-6CCE-82DE-C850-B8E0E0DE74AA}"/>
                                </a:ext>
                              </a:extLst>
                            </wps:cNvPr>
                            <wps:cNvSpPr txBox="1">
                              <a:spLocks noChangeArrowheads="1"/>
                            </wps:cNvSpPr>
                            <wps:spPr bwMode="auto">
                              <a:xfrm>
                                <a:off x="3013294" y="2087073"/>
                                <a:ext cx="1831246" cy="1506588"/>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0274FAE3"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High Skilled, Service-Based Workforce </w:t>
                                  </w:r>
                                </w:p>
                              </w:txbxContent>
                            </wps:txbx>
                            <wps:bodyPr vert="horz" wrap="square" lIns="26351" tIns="26351" rIns="26351" bIns="26351" numCol="1" anchor="t" anchorCtr="0" compatLnSpc="1">
                              <a:prstTxWarp prst="textNoShape">
                                <a:avLst/>
                              </a:prstTxWarp>
                            </wps:bodyPr>
                          </wps:wsp>
                        </wpg:grpSp>
                        <wpg:grpSp>
                          <wpg:cNvPr id="36" name="Group 35" descr="Recruitment agency &amp; government employment services 15%">
                            <a:extLst>
                              <a:ext uri="{FF2B5EF4-FFF2-40B4-BE49-F238E27FC236}">
                                <a16:creationId xmlns:a16="http://schemas.microsoft.com/office/drawing/2014/main" id="{004A04AD-18AB-B150-A913-A80B0C4FA1B8}"/>
                              </a:ext>
                            </a:extLst>
                          </wpg:cNvPr>
                          <wpg:cNvGrpSpPr/>
                          <wpg:grpSpPr>
                            <a:xfrm>
                              <a:off x="3524249" y="0"/>
                              <a:ext cx="1091554" cy="2211705"/>
                              <a:chOff x="4537078" y="0"/>
                              <a:chExt cx="1230613" cy="2392211"/>
                            </a:xfrm>
                            <a:solidFill>
                              <a:srgbClr val="9F1853"/>
                            </a:solidFill>
                          </wpg:grpSpPr>
                          <wps:wsp>
                            <wps:cNvPr id="245609454" name="Rectangle 245609454">
                              <a:extLst>
                                <a:ext uri="{FF2B5EF4-FFF2-40B4-BE49-F238E27FC236}">
                                  <a16:creationId xmlns:a16="http://schemas.microsoft.com/office/drawing/2014/main" id="{86468746-0E03-D7D3-881F-ACE9D3C817DF}"/>
                                </a:ext>
                              </a:extLst>
                            </wps:cNvPr>
                            <wps:cNvSpPr>
                              <a:spLocks noChangeArrowheads="1"/>
                            </wps:cNvSpPr>
                            <wps:spPr bwMode="auto">
                              <a:xfrm>
                                <a:off x="4537078" y="0"/>
                                <a:ext cx="1230613" cy="2392211"/>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26351" tIns="26351" rIns="26351" bIns="26351" numCol="1" anchor="t" anchorCtr="0" compatLnSpc="1">
                              <a:prstTxWarp prst="textNoShape">
                                <a:avLst/>
                              </a:prstTxWarp>
                            </wps:bodyPr>
                          </wps:wsp>
                          <wps:wsp>
                            <wps:cNvPr id="1655357613" name="Text Box 5">
                              <a:extLst>
                                <a:ext uri="{FF2B5EF4-FFF2-40B4-BE49-F238E27FC236}">
                                  <a16:creationId xmlns:a16="http://schemas.microsoft.com/office/drawing/2014/main" id="{0EDE02B3-95C2-876D-5D3C-F70292E6C044}"/>
                                </a:ext>
                              </a:extLst>
                            </wps:cNvPr>
                            <wps:cNvSpPr txBox="1">
                              <a:spLocks noChangeArrowheads="1"/>
                            </wps:cNvSpPr>
                            <wps:spPr bwMode="auto">
                              <a:xfrm>
                                <a:off x="4579499" y="1320854"/>
                                <a:ext cx="1131284" cy="907245"/>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3D0AF9B7"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Clean Energy Workforce </w:t>
                                  </w:r>
                                </w:p>
                              </w:txbxContent>
                            </wps:txbx>
                            <wps:bodyPr vert="horz" wrap="square" lIns="26351" tIns="26351" rIns="26351" bIns="26351" numCol="1" anchor="t" anchorCtr="0" compatLnSpc="1">
                              <a:prstTxWarp prst="textNoShape">
                                <a:avLst/>
                              </a:prstTxWarp>
                            </wps:bodyPr>
                          </wps:wsp>
                        </wpg:grpSp>
                        <wpg:grpSp>
                          <wpg:cNvPr id="12" name="Group 17" descr="Word of mouth 32%">
                            <a:extLst>
                              <a:ext uri="{FF2B5EF4-FFF2-40B4-BE49-F238E27FC236}">
                                <a16:creationId xmlns:a16="http://schemas.microsoft.com/office/drawing/2014/main" id="{68EED0BA-DAB9-3F29-D364-7920DA553BE8}"/>
                              </a:ext>
                            </a:extLst>
                          </wpg:cNvPr>
                          <wpg:cNvGrpSpPr/>
                          <wpg:grpSpPr bwMode="auto">
                            <a:xfrm>
                              <a:off x="1133475" y="0"/>
                              <a:ext cx="3244850" cy="2211705"/>
                              <a:chOff x="0" y="0"/>
                              <a:chExt cx="5278535" cy="3780000"/>
                            </a:xfrm>
                            <a:solidFill>
                              <a:srgbClr val="1192E8"/>
                            </a:solidFill>
                          </wpg:grpSpPr>
                          <wps:wsp>
                            <wps:cNvPr id="931819593" name="Rectangle 931819593">
                              <a:extLst>
                                <a:ext uri="{FF2B5EF4-FFF2-40B4-BE49-F238E27FC236}">
                                  <a16:creationId xmlns:a16="http://schemas.microsoft.com/office/drawing/2014/main" id="{1A0DE6E9-179F-3533-6029-481396B095C3}"/>
                                </a:ext>
                              </a:extLst>
                            </wps:cNvPr>
                            <wps:cNvSpPr>
                              <a:spLocks noChangeArrowheads="1"/>
                            </wps:cNvSpPr>
                            <wps:spPr bwMode="auto">
                              <a:xfrm>
                                <a:off x="0" y="0"/>
                                <a:ext cx="1921362" cy="3780000"/>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vert="horz" wrap="square" lIns="26351" tIns="26351" rIns="26351" bIns="26351" numCol="1" anchor="t" anchorCtr="0" compatLnSpc="1">
                              <a:prstTxWarp prst="textNoShape">
                                <a:avLst/>
                              </a:prstTxWarp>
                            </wps:bodyPr>
                          </wps:wsp>
                          <wpg:grpSp>
                            <wpg:cNvPr id="641357299" name="Graphic 1536855593" descr="Electrician male outline"/>
                            <wpg:cNvGrpSpPr/>
                            <wpg:grpSpPr>
                              <a:xfrm>
                                <a:off x="4136265" y="358817"/>
                                <a:ext cx="1142270" cy="1338371"/>
                                <a:chOff x="4136265" y="358817"/>
                                <a:chExt cx="1142270" cy="1338371"/>
                              </a:xfrm>
                              <a:solidFill>
                                <a:srgbClr val="000000"/>
                              </a:solidFill>
                            </wpg:grpSpPr>
                            <wps:wsp>
                              <wps:cNvPr id="1731964465" name="Freeform: Shape 1731964465"/>
                              <wps:cNvSpPr/>
                              <wps:spPr>
                                <a:xfrm>
                                  <a:off x="4770465" y="453125"/>
                                  <a:ext cx="67000" cy="158576"/>
                                </a:xfrm>
                                <a:custGeom>
                                  <a:avLst/>
                                  <a:gdLst>
                                    <a:gd name="connsiteX0" fmla="*/ 63140 w 67000"/>
                                    <a:gd name="connsiteY0" fmla="*/ 58982 h 158576"/>
                                    <a:gd name="connsiteX1" fmla="*/ 42147 w 67000"/>
                                    <a:gd name="connsiteY1" fmla="*/ 58982 h 158576"/>
                                    <a:gd name="connsiteX2" fmla="*/ 57274 w 67000"/>
                                    <a:gd name="connsiteY2" fmla="*/ 4949 h 158576"/>
                                    <a:gd name="connsiteX3" fmla="*/ 54610 w 67000"/>
                                    <a:gd name="connsiteY3" fmla="*/ 146 h 158576"/>
                                    <a:gd name="connsiteX4" fmla="*/ 53570 w 67000"/>
                                    <a:gd name="connsiteY4" fmla="*/ 0 h 158576"/>
                                    <a:gd name="connsiteX5" fmla="*/ 16369 w 67000"/>
                                    <a:gd name="connsiteY5" fmla="*/ 0 h 158576"/>
                                    <a:gd name="connsiteX6" fmla="*/ 12556 w 67000"/>
                                    <a:gd name="connsiteY6" fmla="*/ 3268 h 158576"/>
                                    <a:gd name="connsiteX7" fmla="*/ 53 w 67000"/>
                                    <a:gd name="connsiteY7" fmla="*/ 81080 h 158576"/>
                                    <a:gd name="connsiteX8" fmla="*/ 3211 w 67000"/>
                                    <a:gd name="connsiteY8" fmla="*/ 85541 h 158576"/>
                                    <a:gd name="connsiteX9" fmla="*/ 3866 w 67000"/>
                                    <a:gd name="connsiteY9" fmla="*/ 85594 h 158576"/>
                                    <a:gd name="connsiteX10" fmla="*/ 24704 w 67000"/>
                                    <a:gd name="connsiteY10" fmla="*/ 85594 h 158576"/>
                                    <a:gd name="connsiteX11" fmla="*/ 7833 w 67000"/>
                                    <a:gd name="connsiteY11" fmla="*/ 153742 h 158576"/>
                                    <a:gd name="connsiteX12" fmla="*/ 10639 w 67000"/>
                                    <a:gd name="connsiteY12" fmla="*/ 158460 h 158576"/>
                                    <a:gd name="connsiteX13" fmla="*/ 14933 w 67000"/>
                                    <a:gd name="connsiteY13" fmla="*/ 156605 h 158576"/>
                                    <a:gd name="connsiteX14" fmla="*/ 66490 w 67000"/>
                                    <a:gd name="connsiteY14" fmla="*/ 64787 h 158576"/>
                                    <a:gd name="connsiteX15" fmla="*/ 65071 w 67000"/>
                                    <a:gd name="connsiteY15" fmla="*/ 59497 h 158576"/>
                                    <a:gd name="connsiteX16" fmla="*/ 63140 w 67000"/>
                                    <a:gd name="connsiteY16" fmla="*/ 58982 h 1585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000" h="158576">
                                      <a:moveTo>
                                        <a:pt x="63140" y="58982"/>
                                      </a:moveTo>
                                      <a:lnTo>
                                        <a:pt x="42147" y="58982"/>
                                      </a:lnTo>
                                      <a:lnTo>
                                        <a:pt x="57274" y="4949"/>
                                      </a:lnTo>
                                      <a:cubicBezTo>
                                        <a:pt x="57855" y="2881"/>
                                        <a:pt x="56662" y="731"/>
                                        <a:pt x="54610" y="146"/>
                                      </a:cubicBezTo>
                                      <a:cubicBezTo>
                                        <a:pt x="54272" y="50"/>
                                        <a:pt x="53922" y="2"/>
                                        <a:pt x="53570" y="0"/>
                                      </a:cubicBezTo>
                                      <a:lnTo>
                                        <a:pt x="16369" y="0"/>
                                      </a:lnTo>
                                      <a:cubicBezTo>
                                        <a:pt x="14475" y="-2"/>
                                        <a:pt x="12859" y="1383"/>
                                        <a:pt x="12556" y="3268"/>
                                      </a:cubicBezTo>
                                      <a:lnTo>
                                        <a:pt x="53" y="81080"/>
                                      </a:lnTo>
                                      <a:cubicBezTo>
                                        <a:pt x="-296" y="83191"/>
                                        <a:pt x="1118" y="85189"/>
                                        <a:pt x="3211" y="85541"/>
                                      </a:cubicBezTo>
                                      <a:cubicBezTo>
                                        <a:pt x="3427" y="85576"/>
                                        <a:pt x="3646" y="85595"/>
                                        <a:pt x="3866" y="85594"/>
                                      </a:cubicBezTo>
                                      <a:lnTo>
                                        <a:pt x="24704" y="85594"/>
                                      </a:lnTo>
                                      <a:lnTo>
                                        <a:pt x="7833" y="153742"/>
                                      </a:lnTo>
                                      <a:cubicBezTo>
                                        <a:pt x="7316" y="155825"/>
                                        <a:pt x="8572" y="157939"/>
                                        <a:pt x="10639" y="158460"/>
                                      </a:cubicBezTo>
                                      <a:cubicBezTo>
                                        <a:pt x="12321" y="158885"/>
                                        <a:pt x="14078" y="158125"/>
                                        <a:pt x="14933" y="156605"/>
                                      </a:cubicBezTo>
                                      <a:lnTo>
                                        <a:pt x="66490" y="64787"/>
                                      </a:lnTo>
                                      <a:cubicBezTo>
                                        <a:pt x="67547" y="62930"/>
                                        <a:pt x="66911" y="60563"/>
                                        <a:pt x="65071" y="59497"/>
                                      </a:cubicBezTo>
                                      <a:cubicBezTo>
                                        <a:pt x="64483" y="59156"/>
                                        <a:pt x="63818" y="58979"/>
                                        <a:pt x="63140" y="58982"/>
                                      </a:cubicBezTo>
                                      <a:close/>
                                    </a:path>
                                  </a:pathLst>
                                </a:custGeom>
                                <a:solidFill>
                                  <a:srgbClr val="000000"/>
                                </a:solidFill>
                                <a:ln w="942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3434315" name="Freeform: Shape 2023434315"/>
                              <wps:cNvSpPr/>
                              <wps:spPr>
                                <a:xfrm>
                                  <a:off x="4321498" y="1385939"/>
                                  <a:ext cx="108052" cy="214497"/>
                                </a:xfrm>
                                <a:custGeom>
                                  <a:avLst/>
                                  <a:gdLst>
                                    <a:gd name="connsiteX0" fmla="*/ 30872 w 108052"/>
                                    <a:gd name="connsiteY0" fmla="*/ 0 h 214497"/>
                                    <a:gd name="connsiteX1" fmla="*/ 0 w 108052"/>
                                    <a:gd name="connsiteY1" fmla="*/ 0 h 214497"/>
                                    <a:gd name="connsiteX2" fmla="*/ 0 w 108052"/>
                                    <a:gd name="connsiteY2" fmla="*/ 171716 h 214497"/>
                                    <a:gd name="connsiteX3" fmla="*/ 6869 w 108052"/>
                                    <a:gd name="connsiteY3" fmla="*/ 176385 h 214497"/>
                                    <a:gd name="connsiteX4" fmla="*/ 108053 w 108052"/>
                                    <a:gd name="connsiteY4" fmla="*/ 214497 h 214497"/>
                                    <a:gd name="connsiteX5" fmla="*/ 108053 w 108052"/>
                                    <a:gd name="connsiteY5" fmla="*/ 183046 h 214497"/>
                                    <a:gd name="connsiteX6" fmla="*/ 30872 w 108052"/>
                                    <a:gd name="connsiteY6" fmla="*/ 154722 h 214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8052" h="214497">
                                      <a:moveTo>
                                        <a:pt x="30872" y="0"/>
                                      </a:moveTo>
                                      <a:lnTo>
                                        <a:pt x="0" y="0"/>
                                      </a:lnTo>
                                      <a:lnTo>
                                        <a:pt x="0" y="171716"/>
                                      </a:lnTo>
                                      <a:lnTo>
                                        <a:pt x="6869" y="176385"/>
                                      </a:lnTo>
                                      <a:cubicBezTo>
                                        <a:pt x="38263" y="194666"/>
                                        <a:pt x="72460" y="207546"/>
                                        <a:pt x="108053" y="214497"/>
                                      </a:cubicBezTo>
                                      <a:lnTo>
                                        <a:pt x="108053" y="183046"/>
                                      </a:lnTo>
                                      <a:cubicBezTo>
                                        <a:pt x="81198" y="177079"/>
                                        <a:pt x="55247" y="167555"/>
                                        <a:pt x="30872" y="154722"/>
                                      </a:cubicBezTo>
                                      <a:close/>
                                    </a:path>
                                  </a:pathLst>
                                </a:custGeom>
                                <a:solidFill>
                                  <a:srgbClr val="000000"/>
                                </a:solidFill>
                                <a:ln w="942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350186" name="Freeform: Shape 467350186"/>
                              <wps:cNvSpPr/>
                              <wps:spPr>
                                <a:xfrm>
                                  <a:off x="4321498" y="358817"/>
                                  <a:ext cx="957037" cy="1276223"/>
                                </a:xfrm>
                                <a:custGeom>
                                  <a:avLst/>
                                  <a:gdLst>
                                    <a:gd name="connsiteX0" fmla="*/ 904987 w 957037"/>
                                    <a:gd name="connsiteY0" fmla="*/ 828343 h 1276223"/>
                                    <a:gd name="connsiteX1" fmla="*/ 777624 w 957037"/>
                                    <a:gd name="connsiteY1" fmla="*/ 753643 h 1276223"/>
                                    <a:gd name="connsiteX2" fmla="*/ 777624 w 957037"/>
                                    <a:gd name="connsiteY2" fmla="*/ 753643 h 1276223"/>
                                    <a:gd name="connsiteX3" fmla="*/ 733090 w 957037"/>
                                    <a:gd name="connsiteY3" fmla="*/ 735653 h 1276223"/>
                                    <a:gd name="connsiteX4" fmla="*/ 636615 w 957037"/>
                                    <a:gd name="connsiteY4" fmla="*/ 696747 h 1276223"/>
                                    <a:gd name="connsiteX5" fmla="*/ 617443 w 957037"/>
                                    <a:gd name="connsiteY5" fmla="*/ 667956 h 1276223"/>
                                    <a:gd name="connsiteX6" fmla="*/ 617443 w 957037"/>
                                    <a:gd name="connsiteY6" fmla="*/ 622094 h 1276223"/>
                                    <a:gd name="connsiteX7" fmla="*/ 710060 w 957037"/>
                                    <a:gd name="connsiteY7" fmla="*/ 435749 h 1276223"/>
                                    <a:gd name="connsiteX8" fmla="*/ 710060 w 957037"/>
                                    <a:gd name="connsiteY8" fmla="*/ 326812 h 1276223"/>
                                    <a:gd name="connsiteX9" fmla="*/ 771804 w 957037"/>
                                    <a:gd name="connsiteY9" fmla="*/ 326812 h 1276223"/>
                                    <a:gd name="connsiteX10" fmla="*/ 787240 w 957037"/>
                                    <a:gd name="connsiteY10" fmla="*/ 311249 h 1276223"/>
                                    <a:gd name="connsiteX11" fmla="*/ 771804 w 957037"/>
                                    <a:gd name="connsiteY11" fmla="*/ 295687 h 1276223"/>
                                    <a:gd name="connsiteX12" fmla="*/ 732936 w 957037"/>
                                    <a:gd name="connsiteY12" fmla="*/ 295687 h 1276223"/>
                                    <a:gd name="connsiteX13" fmla="*/ 732936 w 957037"/>
                                    <a:gd name="connsiteY13" fmla="*/ 269511 h 1276223"/>
                                    <a:gd name="connsiteX14" fmla="*/ 732936 w 957037"/>
                                    <a:gd name="connsiteY14" fmla="*/ 268530 h 1276223"/>
                                    <a:gd name="connsiteX15" fmla="*/ 599414 w 957037"/>
                                    <a:gd name="connsiteY15" fmla="*/ 58764 h 1276223"/>
                                    <a:gd name="connsiteX16" fmla="*/ 590615 w 957037"/>
                                    <a:gd name="connsiteY16" fmla="*/ 54002 h 1276223"/>
                                    <a:gd name="connsiteX17" fmla="*/ 520613 w 957037"/>
                                    <a:gd name="connsiteY17" fmla="*/ 0 h 1276223"/>
                                    <a:gd name="connsiteX18" fmla="*/ 436702 w 957037"/>
                                    <a:gd name="connsiteY18" fmla="*/ 0 h 1276223"/>
                                    <a:gd name="connsiteX19" fmla="*/ 366545 w 957037"/>
                                    <a:gd name="connsiteY19" fmla="*/ 54469 h 1276223"/>
                                    <a:gd name="connsiteX20" fmla="*/ 358565 w 957037"/>
                                    <a:gd name="connsiteY20" fmla="*/ 58795 h 1276223"/>
                                    <a:gd name="connsiteX21" fmla="*/ 225043 w 957037"/>
                                    <a:gd name="connsiteY21" fmla="*/ 268561 h 1276223"/>
                                    <a:gd name="connsiteX22" fmla="*/ 225043 w 957037"/>
                                    <a:gd name="connsiteY22" fmla="*/ 269542 h 1276223"/>
                                    <a:gd name="connsiteX23" fmla="*/ 225043 w 957037"/>
                                    <a:gd name="connsiteY23" fmla="*/ 295687 h 1276223"/>
                                    <a:gd name="connsiteX24" fmla="*/ 185233 w 957037"/>
                                    <a:gd name="connsiteY24" fmla="*/ 295687 h 1276223"/>
                                    <a:gd name="connsiteX25" fmla="*/ 169797 w 957037"/>
                                    <a:gd name="connsiteY25" fmla="*/ 311249 h 1276223"/>
                                    <a:gd name="connsiteX26" fmla="*/ 185233 w 957037"/>
                                    <a:gd name="connsiteY26" fmla="*/ 326812 h 1276223"/>
                                    <a:gd name="connsiteX27" fmla="*/ 246977 w 957037"/>
                                    <a:gd name="connsiteY27" fmla="*/ 326812 h 1276223"/>
                                    <a:gd name="connsiteX28" fmla="*/ 246977 w 957037"/>
                                    <a:gd name="connsiteY28" fmla="*/ 435749 h 1276223"/>
                                    <a:gd name="connsiteX29" fmla="*/ 339486 w 957037"/>
                                    <a:gd name="connsiteY29" fmla="*/ 621969 h 1276223"/>
                                    <a:gd name="connsiteX30" fmla="*/ 339486 w 957037"/>
                                    <a:gd name="connsiteY30" fmla="*/ 667941 h 1276223"/>
                                    <a:gd name="connsiteX31" fmla="*/ 320376 w 957037"/>
                                    <a:gd name="connsiteY31" fmla="*/ 696731 h 1276223"/>
                                    <a:gd name="connsiteX32" fmla="*/ 237222 w 957037"/>
                                    <a:gd name="connsiteY32" fmla="*/ 730813 h 1276223"/>
                                    <a:gd name="connsiteX33" fmla="*/ 52251 w 957037"/>
                                    <a:gd name="connsiteY33" fmla="*/ 828125 h 1276223"/>
                                    <a:gd name="connsiteX34" fmla="*/ 0 w 957037"/>
                                    <a:gd name="connsiteY34" fmla="*/ 933748 h 1276223"/>
                                    <a:gd name="connsiteX35" fmla="*/ 30872 w 957037"/>
                                    <a:gd name="connsiteY35" fmla="*/ 933748 h 1276223"/>
                                    <a:gd name="connsiteX36" fmla="*/ 71500 w 957037"/>
                                    <a:gd name="connsiteY36" fmla="*/ 852434 h 1276223"/>
                                    <a:gd name="connsiteX37" fmla="*/ 169581 w 957037"/>
                                    <a:gd name="connsiteY37" fmla="*/ 792129 h 1276223"/>
                                    <a:gd name="connsiteX38" fmla="*/ 177299 w 957037"/>
                                    <a:gd name="connsiteY38" fmla="*/ 789017 h 1276223"/>
                                    <a:gd name="connsiteX39" fmla="*/ 152030 w 957037"/>
                                    <a:gd name="connsiteY39" fmla="*/ 951753 h 1276223"/>
                                    <a:gd name="connsiteX40" fmla="*/ 179228 w 957037"/>
                                    <a:gd name="connsiteY40" fmla="*/ 977774 h 1276223"/>
                                    <a:gd name="connsiteX41" fmla="*/ 210687 w 957037"/>
                                    <a:gd name="connsiteY41" fmla="*/ 775322 h 1276223"/>
                                    <a:gd name="connsiteX42" fmla="*/ 248351 w 957037"/>
                                    <a:gd name="connsiteY42" fmla="*/ 759884 h 1276223"/>
                                    <a:gd name="connsiteX43" fmla="*/ 291742 w 957037"/>
                                    <a:gd name="connsiteY43" fmla="*/ 742065 h 1276223"/>
                                    <a:gd name="connsiteX44" fmla="*/ 307487 w 957037"/>
                                    <a:gd name="connsiteY44" fmla="*/ 735606 h 1276223"/>
                                    <a:gd name="connsiteX45" fmla="*/ 432226 w 957037"/>
                                    <a:gd name="connsiteY45" fmla="*/ 1014921 h 1276223"/>
                                    <a:gd name="connsiteX46" fmla="*/ 432226 w 957037"/>
                                    <a:gd name="connsiteY46" fmla="*/ 1104935 h 1276223"/>
                                    <a:gd name="connsiteX47" fmla="*/ 200669 w 957037"/>
                                    <a:gd name="connsiteY47" fmla="*/ 1104935 h 1276223"/>
                                    <a:gd name="connsiteX48" fmla="*/ 200669 w 957037"/>
                                    <a:gd name="connsiteY48" fmla="*/ 1136060 h 1276223"/>
                                    <a:gd name="connsiteX49" fmla="*/ 432210 w 957037"/>
                                    <a:gd name="connsiteY49" fmla="*/ 1136060 h 1276223"/>
                                    <a:gd name="connsiteX50" fmla="*/ 432210 w 957037"/>
                                    <a:gd name="connsiteY50" fmla="*/ 1245152 h 1276223"/>
                                    <a:gd name="connsiteX51" fmla="*/ 200669 w 957037"/>
                                    <a:gd name="connsiteY51" fmla="*/ 1227753 h 1276223"/>
                                    <a:gd name="connsiteX52" fmla="*/ 200669 w 957037"/>
                                    <a:gd name="connsiteY52" fmla="*/ 1258536 h 1276223"/>
                                    <a:gd name="connsiteX53" fmla="*/ 483443 w 957037"/>
                                    <a:gd name="connsiteY53" fmla="*/ 1276199 h 1276223"/>
                                    <a:gd name="connsiteX54" fmla="*/ 950739 w 957037"/>
                                    <a:gd name="connsiteY54" fmla="*/ 1202963 h 1276223"/>
                                    <a:gd name="connsiteX55" fmla="*/ 957037 w 957037"/>
                                    <a:gd name="connsiteY55" fmla="*/ 1198309 h 1276223"/>
                                    <a:gd name="connsiteX56" fmla="*/ 957037 w 957037"/>
                                    <a:gd name="connsiteY56" fmla="*/ 933436 h 1276223"/>
                                    <a:gd name="connsiteX57" fmla="*/ 904987 w 957037"/>
                                    <a:gd name="connsiteY57" fmla="*/ 828343 h 1276223"/>
                                    <a:gd name="connsiteX58" fmla="*/ 649581 w 957037"/>
                                    <a:gd name="connsiteY58" fmla="*/ 735529 h 1276223"/>
                                    <a:gd name="connsiteX59" fmla="*/ 665295 w 957037"/>
                                    <a:gd name="connsiteY59" fmla="*/ 741862 h 1276223"/>
                                    <a:gd name="connsiteX60" fmla="*/ 721977 w 957037"/>
                                    <a:gd name="connsiteY60" fmla="*/ 764755 h 1276223"/>
                                    <a:gd name="connsiteX61" fmla="*/ 747477 w 957037"/>
                                    <a:gd name="connsiteY61" fmla="*/ 775057 h 1276223"/>
                                    <a:gd name="connsiteX62" fmla="*/ 797814 w 957037"/>
                                    <a:gd name="connsiteY62" fmla="*/ 1104935 h 1276223"/>
                                    <a:gd name="connsiteX63" fmla="*/ 524904 w 957037"/>
                                    <a:gd name="connsiteY63" fmla="*/ 1104935 h 1276223"/>
                                    <a:gd name="connsiteX64" fmla="*/ 524904 w 957037"/>
                                    <a:gd name="connsiteY64" fmla="*/ 1014921 h 1276223"/>
                                    <a:gd name="connsiteX65" fmla="*/ 548845 w 957037"/>
                                    <a:gd name="connsiteY65" fmla="*/ 186018 h 1276223"/>
                                    <a:gd name="connsiteX66" fmla="*/ 562398 w 957037"/>
                                    <a:gd name="connsiteY66" fmla="*/ 175311 h 1276223"/>
                                    <a:gd name="connsiteX67" fmla="*/ 584750 w 957037"/>
                                    <a:gd name="connsiteY67" fmla="*/ 86185 h 1276223"/>
                                    <a:gd name="connsiteX68" fmla="*/ 702064 w 957037"/>
                                    <a:gd name="connsiteY68" fmla="*/ 270491 h 1276223"/>
                                    <a:gd name="connsiteX69" fmla="*/ 702064 w 957037"/>
                                    <a:gd name="connsiteY69" fmla="*/ 295687 h 1276223"/>
                                    <a:gd name="connsiteX70" fmla="*/ 255853 w 957037"/>
                                    <a:gd name="connsiteY70" fmla="*/ 295687 h 1276223"/>
                                    <a:gd name="connsiteX71" fmla="*/ 255853 w 957037"/>
                                    <a:gd name="connsiteY71" fmla="*/ 270491 h 1276223"/>
                                    <a:gd name="connsiteX72" fmla="*/ 373167 w 957037"/>
                                    <a:gd name="connsiteY72" fmla="*/ 86185 h 1276223"/>
                                    <a:gd name="connsiteX73" fmla="*/ 394778 w 957037"/>
                                    <a:gd name="connsiteY73" fmla="*/ 175311 h 1276223"/>
                                    <a:gd name="connsiteX74" fmla="*/ 408331 w 957037"/>
                                    <a:gd name="connsiteY74" fmla="*/ 186018 h 1276223"/>
                                    <a:gd name="connsiteX75" fmla="*/ 412962 w 957037"/>
                                    <a:gd name="connsiteY75" fmla="*/ 185816 h 1276223"/>
                                    <a:gd name="connsiteX76" fmla="*/ 422794 w 957037"/>
                                    <a:gd name="connsiteY76" fmla="*/ 168541 h 1276223"/>
                                    <a:gd name="connsiteX77" fmla="*/ 396213 w 957037"/>
                                    <a:gd name="connsiteY77" fmla="*/ 63090 h 1276223"/>
                                    <a:gd name="connsiteX78" fmla="*/ 436702 w 957037"/>
                                    <a:gd name="connsiteY78" fmla="*/ 31125 h 1276223"/>
                                    <a:gd name="connsiteX79" fmla="*/ 520505 w 957037"/>
                                    <a:gd name="connsiteY79" fmla="*/ 31125 h 1276223"/>
                                    <a:gd name="connsiteX80" fmla="*/ 561009 w 957037"/>
                                    <a:gd name="connsiteY80" fmla="*/ 63090 h 1276223"/>
                                    <a:gd name="connsiteX81" fmla="*/ 534474 w 957037"/>
                                    <a:gd name="connsiteY81" fmla="*/ 168541 h 1276223"/>
                                    <a:gd name="connsiteX82" fmla="*/ 534289 w 957037"/>
                                    <a:gd name="connsiteY82" fmla="*/ 169335 h 1276223"/>
                                    <a:gd name="connsiteX83" fmla="*/ 544951 w 957037"/>
                                    <a:gd name="connsiteY83" fmla="*/ 185973 h 1276223"/>
                                    <a:gd name="connsiteX84" fmla="*/ 545094 w 957037"/>
                                    <a:gd name="connsiteY84" fmla="*/ 186003 h 1276223"/>
                                    <a:gd name="connsiteX85" fmla="*/ 277850 w 957037"/>
                                    <a:gd name="connsiteY85" fmla="*/ 435749 h 1276223"/>
                                    <a:gd name="connsiteX86" fmla="*/ 277850 w 957037"/>
                                    <a:gd name="connsiteY86" fmla="*/ 326812 h 1276223"/>
                                    <a:gd name="connsiteX87" fmla="*/ 679188 w 957037"/>
                                    <a:gd name="connsiteY87" fmla="*/ 326812 h 1276223"/>
                                    <a:gd name="connsiteX88" fmla="*/ 679188 w 957037"/>
                                    <a:gd name="connsiteY88" fmla="*/ 435749 h 1276223"/>
                                    <a:gd name="connsiteX89" fmla="*/ 478519 w 957037"/>
                                    <a:gd name="connsiteY89" fmla="*/ 638061 h 1276223"/>
                                    <a:gd name="connsiteX90" fmla="*/ 277850 w 957037"/>
                                    <a:gd name="connsiteY90" fmla="*/ 435749 h 1276223"/>
                                    <a:gd name="connsiteX91" fmla="*/ 335997 w 957037"/>
                                    <a:gd name="connsiteY91" fmla="*/ 723545 h 1276223"/>
                                    <a:gd name="connsiteX92" fmla="*/ 370466 w 957037"/>
                                    <a:gd name="connsiteY92" fmla="*/ 667956 h 1276223"/>
                                    <a:gd name="connsiteX93" fmla="*/ 370466 w 957037"/>
                                    <a:gd name="connsiteY93" fmla="*/ 642014 h 1276223"/>
                                    <a:gd name="connsiteX94" fmla="*/ 586648 w 957037"/>
                                    <a:gd name="connsiteY94" fmla="*/ 642014 h 1276223"/>
                                    <a:gd name="connsiteX95" fmla="*/ 586648 w 957037"/>
                                    <a:gd name="connsiteY95" fmla="*/ 667894 h 1276223"/>
                                    <a:gd name="connsiteX96" fmla="*/ 621040 w 957037"/>
                                    <a:gd name="connsiteY96" fmla="*/ 723654 h 1276223"/>
                                    <a:gd name="connsiteX97" fmla="*/ 612982 w 957037"/>
                                    <a:gd name="connsiteY97" fmla="*/ 741722 h 1276223"/>
                                    <a:gd name="connsiteX98" fmla="*/ 478519 w 957037"/>
                                    <a:gd name="connsiteY98" fmla="*/ 762560 h 1276223"/>
                                    <a:gd name="connsiteX99" fmla="*/ 344101 w 957037"/>
                                    <a:gd name="connsiteY99" fmla="*/ 741676 h 1276223"/>
                                    <a:gd name="connsiteX100" fmla="*/ 494032 w 957037"/>
                                    <a:gd name="connsiteY100" fmla="*/ 1245713 h 1276223"/>
                                    <a:gd name="connsiteX101" fmla="*/ 463160 w 957037"/>
                                    <a:gd name="connsiteY101" fmla="*/ 1245619 h 1276223"/>
                                    <a:gd name="connsiteX102" fmla="*/ 463160 w 957037"/>
                                    <a:gd name="connsiteY102" fmla="*/ 1008230 h 1276223"/>
                                    <a:gd name="connsiteX103" fmla="*/ 361004 w 957037"/>
                                    <a:gd name="connsiteY103" fmla="*/ 779461 h 1276223"/>
                                    <a:gd name="connsiteX104" fmla="*/ 596111 w 957037"/>
                                    <a:gd name="connsiteY104" fmla="*/ 779461 h 1276223"/>
                                    <a:gd name="connsiteX105" fmla="*/ 494032 w 957037"/>
                                    <a:gd name="connsiteY105" fmla="*/ 1008230 h 1276223"/>
                                    <a:gd name="connsiteX106" fmla="*/ 802754 w 957037"/>
                                    <a:gd name="connsiteY106" fmla="*/ 1221809 h 1276223"/>
                                    <a:gd name="connsiteX107" fmla="*/ 524904 w 957037"/>
                                    <a:gd name="connsiteY107" fmla="*/ 1245432 h 1276223"/>
                                    <a:gd name="connsiteX108" fmla="*/ 524904 w 957037"/>
                                    <a:gd name="connsiteY108" fmla="*/ 1136060 h 1276223"/>
                                    <a:gd name="connsiteX109" fmla="*/ 802568 w 957037"/>
                                    <a:gd name="connsiteY109" fmla="*/ 1136060 h 1276223"/>
                                    <a:gd name="connsiteX110" fmla="*/ 802754 w 957037"/>
                                    <a:gd name="connsiteY110" fmla="*/ 1137258 h 1276223"/>
                                    <a:gd name="connsiteX111" fmla="*/ 926165 w 957037"/>
                                    <a:gd name="connsiteY111" fmla="*/ 1182358 h 1276223"/>
                                    <a:gd name="connsiteX112" fmla="*/ 833703 w 957037"/>
                                    <a:gd name="connsiteY112" fmla="*/ 1215553 h 1276223"/>
                                    <a:gd name="connsiteX113" fmla="*/ 833703 w 957037"/>
                                    <a:gd name="connsiteY113" fmla="*/ 1136060 h 1276223"/>
                                    <a:gd name="connsiteX114" fmla="*/ 780911 w 957037"/>
                                    <a:gd name="connsiteY114" fmla="*/ 789017 h 1276223"/>
                                    <a:gd name="connsiteX115" fmla="*/ 885769 w 957037"/>
                                    <a:gd name="connsiteY115" fmla="*/ 852620 h 1276223"/>
                                    <a:gd name="connsiteX116" fmla="*/ 926165 w 957037"/>
                                    <a:gd name="connsiteY116" fmla="*/ 933748 h 1276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Lst>
                                  <a:rect l="l" t="t" r="r" b="b"/>
                                  <a:pathLst>
                                    <a:path w="957037" h="1276223">
                                      <a:moveTo>
                                        <a:pt x="904987" y="828343"/>
                                      </a:moveTo>
                                      <a:cubicBezTo>
                                        <a:pt x="866259" y="797481"/>
                                        <a:pt x="823376" y="772331"/>
                                        <a:pt x="777624" y="753643"/>
                                      </a:cubicBezTo>
                                      <a:lnTo>
                                        <a:pt x="777624" y="753643"/>
                                      </a:lnTo>
                                      <a:cubicBezTo>
                                        <a:pt x="763001" y="747345"/>
                                        <a:pt x="748156" y="741349"/>
                                        <a:pt x="733090" y="735653"/>
                                      </a:cubicBezTo>
                                      <a:lnTo>
                                        <a:pt x="636615" y="696747"/>
                                      </a:lnTo>
                                      <a:cubicBezTo>
                                        <a:pt x="625001" y="691988"/>
                                        <a:pt x="617414" y="680596"/>
                                        <a:pt x="617443" y="667956"/>
                                      </a:cubicBezTo>
                                      <a:lnTo>
                                        <a:pt x="617443" y="622094"/>
                                      </a:lnTo>
                                      <a:cubicBezTo>
                                        <a:pt x="675690" y="578141"/>
                                        <a:pt x="710004" y="509099"/>
                                        <a:pt x="710060" y="435749"/>
                                      </a:cubicBezTo>
                                      <a:lnTo>
                                        <a:pt x="710060" y="326812"/>
                                      </a:lnTo>
                                      <a:lnTo>
                                        <a:pt x="771804" y="326812"/>
                                      </a:lnTo>
                                      <a:cubicBezTo>
                                        <a:pt x="780330" y="326812"/>
                                        <a:pt x="787240" y="319844"/>
                                        <a:pt x="787240" y="311249"/>
                                      </a:cubicBezTo>
                                      <a:cubicBezTo>
                                        <a:pt x="787240" y="302654"/>
                                        <a:pt x="780330" y="295687"/>
                                        <a:pt x="771804" y="295687"/>
                                      </a:cubicBezTo>
                                      <a:lnTo>
                                        <a:pt x="732936" y="295687"/>
                                      </a:lnTo>
                                      <a:lnTo>
                                        <a:pt x="732936" y="269511"/>
                                      </a:lnTo>
                                      <a:lnTo>
                                        <a:pt x="732936" y="268530"/>
                                      </a:lnTo>
                                      <a:cubicBezTo>
                                        <a:pt x="727693" y="179939"/>
                                        <a:pt x="677113" y="100477"/>
                                        <a:pt x="599414" y="58764"/>
                                      </a:cubicBezTo>
                                      <a:lnTo>
                                        <a:pt x="590615" y="54002"/>
                                      </a:lnTo>
                                      <a:cubicBezTo>
                                        <a:pt x="581999" y="22167"/>
                                        <a:pt x="553343" y="62"/>
                                        <a:pt x="520613" y="0"/>
                                      </a:cubicBezTo>
                                      <a:lnTo>
                                        <a:pt x="436702" y="0"/>
                                      </a:lnTo>
                                      <a:cubicBezTo>
                                        <a:pt x="403786" y="60"/>
                                        <a:pt x="375012" y="22399"/>
                                        <a:pt x="366545" y="54469"/>
                                      </a:cubicBezTo>
                                      <a:lnTo>
                                        <a:pt x="358565" y="58795"/>
                                      </a:lnTo>
                                      <a:cubicBezTo>
                                        <a:pt x="280861" y="100504"/>
                                        <a:pt x="230280" y="179967"/>
                                        <a:pt x="225043" y="268561"/>
                                      </a:cubicBezTo>
                                      <a:lnTo>
                                        <a:pt x="225043" y="269542"/>
                                      </a:lnTo>
                                      <a:lnTo>
                                        <a:pt x="225043" y="295687"/>
                                      </a:lnTo>
                                      <a:lnTo>
                                        <a:pt x="185233" y="295687"/>
                                      </a:lnTo>
                                      <a:cubicBezTo>
                                        <a:pt x="176708" y="295687"/>
                                        <a:pt x="169797" y="302654"/>
                                        <a:pt x="169797" y="311249"/>
                                      </a:cubicBezTo>
                                      <a:cubicBezTo>
                                        <a:pt x="169797" y="319844"/>
                                        <a:pt x="176708" y="326812"/>
                                        <a:pt x="185233" y="326812"/>
                                      </a:cubicBezTo>
                                      <a:lnTo>
                                        <a:pt x="246977" y="326812"/>
                                      </a:lnTo>
                                      <a:lnTo>
                                        <a:pt x="246977" y="435749"/>
                                      </a:lnTo>
                                      <a:cubicBezTo>
                                        <a:pt x="247044" y="509037"/>
                                        <a:pt x="281313" y="578021"/>
                                        <a:pt x="339486" y="621969"/>
                                      </a:cubicBezTo>
                                      <a:lnTo>
                                        <a:pt x="339486" y="667941"/>
                                      </a:lnTo>
                                      <a:cubicBezTo>
                                        <a:pt x="339517" y="680563"/>
                                        <a:pt x="331961" y="691946"/>
                                        <a:pt x="320376" y="696731"/>
                                      </a:cubicBezTo>
                                      <a:lnTo>
                                        <a:pt x="237222" y="730813"/>
                                      </a:lnTo>
                                      <a:cubicBezTo>
                                        <a:pt x="170539" y="752443"/>
                                        <a:pt x="107989" y="785350"/>
                                        <a:pt x="52251" y="828125"/>
                                      </a:cubicBezTo>
                                      <a:cubicBezTo>
                                        <a:pt x="19916" y="853578"/>
                                        <a:pt x="713" y="892393"/>
                                        <a:pt x="0" y="933748"/>
                                      </a:cubicBezTo>
                                      <a:lnTo>
                                        <a:pt x="30872" y="933748"/>
                                      </a:lnTo>
                                      <a:cubicBezTo>
                                        <a:pt x="31593" y="901862"/>
                                        <a:pt x="46514" y="871997"/>
                                        <a:pt x="71500" y="852434"/>
                                      </a:cubicBezTo>
                                      <a:cubicBezTo>
                                        <a:pt x="101574" y="828292"/>
                                        <a:pt x="134522" y="808032"/>
                                        <a:pt x="169581" y="792129"/>
                                      </a:cubicBezTo>
                                      <a:lnTo>
                                        <a:pt x="177299" y="789017"/>
                                      </a:lnTo>
                                      <a:lnTo>
                                        <a:pt x="152030" y="951753"/>
                                      </a:lnTo>
                                      <a:cubicBezTo>
                                        <a:pt x="162523" y="958772"/>
                                        <a:pt x="171726" y="967577"/>
                                        <a:pt x="179228" y="977774"/>
                                      </a:cubicBezTo>
                                      <a:lnTo>
                                        <a:pt x="210687" y="775322"/>
                                      </a:lnTo>
                                      <a:lnTo>
                                        <a:pt x="248351" y="759884"/>
                                      </a:lnTo>
                                      <a:lnTo>
                                        <a:pt x="291742" y="742065"/>
                                      </a:lnTo>
                                      <a:lnTo>
                                        <a:pt x="307487" y="735606"/>
                                      </a:lnTo>
                                      <a:lnTo>
                                        <a:pt x="432226" y="1014921"/>
                                      </a:lnTo>
                                      <a:lnTo>
                                        <a:pt x="432226" y="1104935"/>
                                      </a:lnTo>
                                      <a:lnTo>
                                        <a:pt x="200669" y="1104935"/>
                                      </a:lnTo>
                                      <a:lnTo>
                                        <a:pt x="200669" y="1136060"/>
                                      </a:lnTo>
                                      <a:lnTo>
                                        <a:pt x="432210" y="1136060"/>
                                      </a:lnTo>
                                      <a:lnTo>
                                        <a:pt x="432210" y="1245152"/>
                                      </a:lnTo>
                                      <a:cubicBezTo>
                                        <a:pt x="354760" y="1243900"/>
                                        <a:pt x="277448" y="1238090"/>
                                        <a:pt x="200669" y="1227753"/>
                                      </a:cubicBezTo>
                                      <a:lnTo>
                                        <a:pt x="200669" y="1258536"/>
                                      </a:lnTo>
                                      <a:cubicBezTo>
                                        <a:pt x="294432" y="1270754"/>
                                        <a:pt x="388900" y="1276655"/>
                                        <a:pt x="483443" y="1276199"/>
                                      </a:cubicBezTo>
                                      <a:cubicBezTo>
                                        <a:pt x="685655" y="1276199"/>
                                        <a:pt x="886216" y="1251766"/>
                                        <a:pt x="950739" y="1202963"/>
                                      </a:cubicBezTo>
                                      <a:lnTo>
                                        <a:pt x="957037" y="1198309"/>
                                      </a:lnTo>
                                      <a:lnTo>
                                        <a:pt x="957037" y="933436"/>
                                      </a:lnTo>
                                      <a:cubicBezTo>
                                        <a:pt x="956255" y="892294"/>
                                        <a:pt x="937137" y="853694"/>
                                        <a:pt x="904987" y="828343"/>
                                      </a:cubicBezTo>
                                      <a:close/>
                                      <a:moveTo>
                                        <a:pt x="649581" y="735529"/>
                                      </a:moveTo>
                                      <a:lnTo>
                                        <a:pt x="665295" y="741862"/>
                                      </a:lnTo>
                                      <a:lnTo>
                                        <a:pt x="721977" y="764755"/>
                                      </a:lnTo>
                                      <a:lnTo>
                                        <a:pt x="747477" y="775057"/>
                                      </a:lnTo>
                                      <a:lnTo>
                                        <a:pt x="797814" y="1104935"/>
                                      </a:lnTo>
                                      <a:lnTo>
                                        <a:pt x="524904" y="1104935"/>
                                      </a:lnTo>
                                      <a:lnTo>
                                        <a:pt x="524904" y="1014921"/>
                                      </a:lnTo>
                                      <a:close/>
                                      <a:moveTo>
                                        <a:pt x="548845" y="186018"/>
                                      </a:moveTo>
                                      <a:cubicBezTo>
                                        <a:pt x="555276" y="186041"/>
                                        <a:pt x="560884" y="181612"/>
                                        <a:pt x="562398" y="175311"/>
                                      </a:cubicBezTo>
                                      <a:lnTo>
                                        <a:pt x="584750" y="86185"/>
                                      </a:lnTo>
                                      <a:cubicBezTo>
                                        <a:pt x="652834" y="123037"/>
                                        <a:pt x="697200" y="192738"/>
                                        <a:pt x="702064" y="270491"/>
                                      </a:cubicBezTo>
                                      <a:lnTo>
                                        <a:pt x="702064" y="295687"/>
                                      </a:lnTo>
                                      <a:lnTo>
                                        <a:pt x="255853" y="295687"/>
                                      </a:lnTo>
                                      <a:lnTo>
                                        <a:pt x="255853" y="270491"/>
                                      </a:lnTo>
                                      <a:cubicBezTo>
                                        <a:pt x="260717" y="192738"/>
                                        <a:pt x="305083" y="123037"/>
                                        <a:pt x="373167" y="86185"/>
                                      </a:cubicBezTo>
                                      <a:lnTo>
                                        <a:pt x="394778" y="175311"/>
                                      </a:lnTo>
                                      <a:cubicBezTo>
                                        <a:pt x="396292" y="181612"/>
                                        <a:pt x="401900" y="186041"/>
                                        <a:pt x="408331" y="186018"/>
                                      </a:cubicBezTo>
                                      <a:lnTo>
                                        <a:pt x="412962" y="185816"/>
                                      </a:lnTo>
                                      <a:cubicBezTo>
                                        <a:pt x="420408" y="183783"/>
                                        <a:pt x="424810" y="176049"/>
                                        <a:pt x="422794" y="168541"/>
                                      </a:cubicBezTo>
                                      <a:lnTo>
                                        <a:pt x="396213" y="63090"/>
                                      </a:lnTo>
                                      <a:cubicBezTo>
                                        <a:pt x="400872" y="44355"/>
                                        <a:pt x="417545" y="31193"/>
                                        <a:pt x="436702" y="31125"/>
                                      </a:cubicBezTo>
                                      <a:lnTo>
                                        <a:pt x="520505" y="31125"/>
                                      </a:lnTo>
                                      <a:cubicBezTo>
                                        <a:pt x="539667" y="31191"/>
                                        <a:pt x="556344" y="44352"/>
                                        <a:pt x="561009" y="63090"/>
                                      </a:cubicBezTo>
                                      <a:lnTo>
                                        <a:pt x="534474" y="168541"/>
                                      </a:lnTo>
                                      <a:cubicBezTo>
                                        <a:pt x="534399" y="168803"/>
                                        <a:pt x="534336" y="169067"/>
                                        <a:pt x="534289" y="169335"/>
                                      </a:cubicBezTo>
                                      <a:cubicBezTo>
                                        <a:pt x="532676" y="176898"/>
                                        <a:pt x="537450" y="184347"/>
                                        <a:pt x="544951" y="185973"/>
                                      </a:cubicBezTo>
                                      <a:cubicBezTo>
                                        <a:pt x="544999" y="185982"/>
                                        <a:pt x="545047" y="185993"/>
                                        <a:pt x="545094" y="186003"/>
                                      </a:cubicBezTo>
                                      <a:close/>
                                      <a:moveTo>
                                        <a:pt x="277850" y="435749"/>
                                      </a:moveTo>
                                      <a:lnTo>
                                        <a:pt x="277850" y="326812"/>
                                      </a:lnTo>
                                      <a:lnTo>
                                        <a:pt x="679188" y="326812"/>
                                      </a:lnTo>
                                      <a:lnTo>
                                        <a:pt x="679188" y="435749"/>
                                      </a:lnTo>
                                      <a:cubicBezTo>
                                        <a:pt x="679188" y="547483"/>
                                        <a:pt x="589345" y="638061"/>
                                        <a:pt x="478519" y="638061"/>
                                      </a:cubicBezTo>
                                      <a:cubicBezTo>
                                        <a:pt x="367692" y="638061"/>
                                        <a:pt x="277850" y="547483"/>
                                        <a:pt x="277850" y="435749"/>
                                      </a:cubicBezTo>
                                      <a:close/>
                                      <a:moveTo>
                                        <a:pt x="335997" y="723545"/>
                                      </a:moveTo>
                                      <a:cubicBezTo>
                                        <a:pt x="357077" y="713176"/>
                                        <a:pt x="370454" y="691603"/>
                                        <a:pt x="370466" y="667956"/>
                                      </a:cubicBezTo>
                                      <a:lnTo>
                                        <a:pt x="370466" y="642014"/>
                                      </a:lnTo>
                                      <a:cubicBezTo>
                                        <a:pt x="438051" y="678221"/>
                                        <a:pt x="519061" y="678221"/>
                                        <a:pt x="586648" y="642014"/>
                                      </a:cubicBezTo>
                                      <a:lnTo>
                                        <a:pt x="586648" y="667894"/>
                                      </a:lnTo>
                                      <a:cubicBezTo>
                                        <a:pt x="586585" y="691583"/>
                                        <a:pt x="599939" y="713232"/>
                                        <a:pt x="621040" y="723654"/>
                                      </a:cubicBezTo>
                                      <a:lnTo>
                                        <a:pt x="612982" y="741722"/>
                                      </a:lnTo>
                                      <a:cubicBezTo>
                                        <a:pt x="569619" y="756144"/>
                                        <a:pt x="524177" y="763186"/>
                                        <a:pt x="478519" y="762560"/>
                                      </a:cubicBezTo>
                                      <a:cubicBezTo>
                                        <a:pt x="432874" y="763169"/>
                                        <a:pt x="387447" y="756110"/>
                                        <a:pt x="344101" y="741676"/>
                                      </a:cubicBezTo>
                                      <a:close/>
                                      <a:moveTo>
                                        <a:pt x="494032" y="1245713"/>
                                      </a:moveTo>
                                      <a:cubicBezTo>
                                        <a:pt x="483741" y="1245713"/>
                                        <a:pt x="473451" y="1245681"/>
                                        <a:pt x="463160" y="1245619"/>
                                      </a:cubicBezTo>
                                      <a:lnTo>
                                        <a:pt x="463160" y="1008230"/>
                                      </a:lnTo>
                                      <a:lnTo>
                                        <a:pt x="361004" y="779461"/>
                                      </a:lnTo>
                                      <a:cubicBezTo>
                                        <a:pt x="438246" y="798405"/>
                                        <a:pt x="518868" y="798405"/>
                                        <a:pt x="596111" y="779461"/>
                                      </a:cubicBezTo>
                                      <a:lnTo>
                                        <a:pt x="494032" y="1008230"/>
                                      </a:lnTo>
                                      <a:close/>
                                      <a:moveTo>
                                        <a:pt x="802754" y="1221809"/>
                                      </a:moveTo>
                                      <a:cubicBezTo>
                                        <a:pt x="710890" y="1236979"/>
                                        <a:pt x="617990" y="1244877"/>
                                        <a:pt x="524904" y="1245432"/>
                                      </a:cubicBezTo>
                                      <a:lnTo>
                                        <a:pt x="524904" y="1136060"/>
                                      </a:lnTo>
                                      <a:lnTo>
                                        <a:pt x="802568" y="1136060"/>
                                      </a:lnTo>
                                      <a:lnTo>
                                        <a:pt x="802754" y="1137258"/>
                                      </a:lnTo>
                                      <a:close/>
                                      <a:moveTo>
                                        <a:pt x="926165" y="1182358"/>
                                      </a:moveTo>
                                      <a:cubicBezTo>
                                        <a:pt x="897310" y="1198351"/>
                                        <a:pt x="866091" y="1209559"/>
                                        <a:pt x="833703" y="1215553"/>
                                      </a:cubicBezTo>
                                      <a:lnTo>
                                        <a:pt x="833703" y="1136060"/>
                                      </a:lnTo>
                                      <a:lnTo>
                                        <a:pt x="780911" y="789017"/>
                                      </a:lnTo>
                                      <a:cubicBezTo>
                                        <a:pt x="818455" y="805536"/>
                                        <a:pt x="853705" y="826917"/>
                                        <a:pt x="885769" y="852620"/>
                                      </a:cubicBezTo>
                                      <a:cubicBezTo>
                                        <a:pt x="910650" y="872161"/>
                                        <a:pt x="925487" y="901957"/>
                                        <a:pt x="926165" y="933748"/>
                                      </a:cubicBezTo>
                                      <a:close/>
                                    </a:path>
                                  </a:pathLst>
                                </a:custGeom>
                                <a:solidFill>
                                  <a:srgbClr val="000000"/>
                                </a:solidFill>
                                <a:ln w="942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602827" name="Freeform: Shape 631602827"/>
                              <wps:cNvSpPr/>
                              <wps:spPr>
                                <a:xfrm>
                                  <a:off x="4136265" y="825691"/>
                                  <a:ext cx="355029" cy="871497"/>
                                </a:xfrm>
                                <a:custGeom>
                                  <a:avLst/>
                                  <a:gdLst>
                                    <a:gd name="connsiteX0" fmla="*/ 277850 w 355029"/>
                                    <a:gd name="connsiteY0" fmla="*/ 497999 h 871497"/>
                                    <a:gd name="connsiteX1" fmla="*/ 169797 w 355029"/>
                                    <a:gd name="connsiteY1" fmla="*/ 497999 h 871497"/>
                                    <a:gd name="connsiteX2" fmla="*/ 123489 w 355029"/>
                                    <a:gd name="connsiteY2" fmla="*/ 451311 h 871497"/>
                                    <a:gd name="connsiteX3" fmla="*/ 123489 w 355029"/>
                                    <a:gd name="connsiteY3" fmla="*/ 263317 h 871497"/>
                                    <a:gd name="connsiteX4" fmla="*/ 216105 w 355029"/>
                                    <a:gd name="connsiteY4" fmla="*/ 155625 h 871497"/>
                                    <a:gd name="connsiteX5" fmla="*/ 216105 w 355029"/>
                                    <a:gd name="connsiteY5" fmla="*/ 93375 h 871497"/>
                                    <a:gd name="connsiteX6" fmla="*/ 169797 w 355029"/>
                                    <a:gd name="connsiteY6" fmla="*/ 93375 h 871497"/>
                                    <a:gd name="connsiteX7" fmla="*/ 169797 w 355029"/>
                                    <a:gd name="connsiteY7" fmla="*/ 15562 h 871497"/>
                                    <a:gd name="connsiteX8" fmla="*/ 154361 w 355029"/>
                                    <a:gd name="connsiteY8" fmla="*/ 0 h 871497"/>
                                    <a:gd name="connsiteX9" fmla="*/ 138925 w 355029"/>
                                    <a:gd name="connsiteY9" fmla="*/ 15562 h 871497"/>
                                    <a:gd name="connsiteX10" fmla="*/ 138925 w 355029"/>
                                    <a:gd name="connsiteY10" fmla="*/ 93375 h 871497"/>
                                    <a:gd name="connsiteX11" fmla="*/ 77180 w 355029"/>
                                    <a:gd name="connsiteY11" fmla="*/ 93375 h 871497"/>
                                    <a:gd name="connsiteX12" fmla="*/ 77180 w 355029"/>
                                    <a:gd name="connsiteY12" fmla="*/ 15562 h 871497"/>
                                    <a:gd name="connsiteX13" fmla="*/ 61744 w 355029"/>
                                    <a:gd name="connsiteY13" fmla="*/ 0 h 871497"/>
                                    <a:gd name="connsiteX14" fmla="*/ 46308 w 355029"/>
                                    <a:gd name="connsiteY14" fmla="*/ 15562 h 871497"/>
                                    <a:gd name="connsiteX15" fmla="*/ 46308 w 355029"/>
                                    <a:gd name="connsiteY15" fmla="*/ 93375 h 871497"/>
                                    <a:gd name="connsiteX16" fmla="*/ 0 w 355029"/>
                                    <a:gd name="connsiteY16" fmla="*/ 93375 h 871497"/>
                                    <a:gd name="connsiteX17" fmla="*/ 0 w 355029"/>
                                    <a:gd name="connsiteY17" fmla="*/ 155625 h 871497"/>
                                    <a:gd name="connsiteX18" fmla="*/ 92617 w 355029"/>
                                    <a:gd name="connsiteY18" fmla="*/ 263317 h 871497"/>
                                    <a:gd name="connsiteX19" fmla="*/ 92617 w 355029"/>
                                    <a:gd name="connsiteY19" fmla="*/ 451311 h 871497"/>
                                    <a:gd name="connsiteX20" fmla="*/ 169797 w 355029"/>
                                    <a:gd name="connsiteY20" fmla="*/ 529124 h 871497"/>
                                    <a:gd name="connsiteX21" fmla="*/ 277850 w 355029"/>
                                    <a:gd name="connsiteY21" fmla="*/ 529124 h 871497"/>
                                    <a:gd name="connsiteX22" fmla="*/ 324158 w 355029"/>
                                    <a:gd name="connsiteY22" fmla="*/ 575811 h 871497"/>
                                    <a:gd name="connsiteX23" fmla="*/ 324158 w 355029"/>
                                    <a:gd name="connsiteY23" fmla="*/ 855935 h 871497"/>
                                    <a:gd name="connsiteX24" fmla="*/ 339594 w 355029"/>
                                    <a:gd name="connsiteY24" fmla="*/ 871498 h 871497"/>
                                    <a:gd name="connsiteX25" fmla="*/ 355030 w 355029"/>
                                    <a:gd name="connsiteY25" fmla="*/ 855935 h 871497"/>
                                    <a:gd name="connsiteX26" fmla="*/ 355030 w 355029"/>
                                    <a:gd name="connsiteY26" fmla="*/ 575811 h 871497"/>
                                    <a:gd name="connsiteX27" fmla="*/ 277850 w 355029"/>
                                    <a:gd name="connsiteY27" fmla="*/ 497999 h 871497"/>
                                    <a:gd name="connsiteX28" fmla="*/ 30872 w 355029"/>
                                    <a:gd name="connsiteY28" fmla="*/ 155625 h 871497"/>
                                    <a:gd name="connsiteX29" fmla="*/ 30872 w 355029"/>
                                    <a:gd name="connsiteY29" fmla="*/ 124500 h 871497"/>
                                    <a:gd name="connsiteX30" fmla="*/ 185233 w 355029"/>
                                    <a:gd name="connsiteY30" fmla="*/ 124500 h 871497"/>
                                    <a:gd name="connsiteX31" fmla="*/ 185233 w 355029"/>
                                    <a:gd name="connsiteY31" fmla="*/ 155625 h 871497"/>
                                    <a:gd name="connsiteX32" fmla="*/ 108053 w 355029"/>
                                    <a:gd name="connsiteY32" fmla="*/ 233437 h 871497"/>
                                    <a:gd name="connsiteX33" fmla="*/ 30872 w 355029"/>
                                    <a:gd name="connsiteY33" fmla="*/ 155625 h 871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355029" h="871497">
                                      <a:moveTo>
                                        <a:pt x="277850" y="497999"/>
                                      </a:moveTo>
                                      <a:lnTo>
                                        <a:pt x="169797" y="497999"/>
                                      </a:lnTo>
                                      <a:cubicBezTo>
                                        <a:pt x="144221" y="497999"/>
                                        <a:pt x="123489" y="477097"/>
                                        <a:pt x="123489" y="451311"/>
                                      </a:cubicBezTo>
                                      <a:lnTo>
                                        <a:pt x="123489" y="263317"/>
                                      </a:lnTo>
                                      <a:cubicBezTo>
                                        <a:pt x="176603" y="255587"/>
                                        <a:pt x="216042" y="209729"/>
                                        <a:pt x="216105" y="155625"/>
                                      </a:cubicBezTo>
                                      <a:lnTo>
                                        <a:pt x="216105" y="93375"/>
                                      </a:lnTo>
                                      <a:lnTo>
                                        <a:pt x="169797" y="93375"/>
                                      </a:lnTo>
                                      <a:lnTo>
                                        <a:pt x="169797" y="15562"/>
                                      </a:lnTo>
                                      <a:cubicBezTo>
                                        <a:pt x="169797" y="6967"/>
                                        <a:pt x="162886" y="0"/>
                                        <a:pt x="154361" y="0"/>
                                      </a:cubicBezTo>
                                      <a:cubicBezTo>
                                        <a:pt x="145835" y="0"/>
                                        <a:pt x="138925" y="6967"/>
                                        <a:pt x="138925" y="15562"/>
                                      </a:cubicBezTo>
                                      <a:lnTo>
                                        <a:pt x="138925" y="93375"/>
                                      </a:lnTo>
                                      <a:lnTo>
                                        <a:pt x="77180" y="93375"/>
                                      </a:lnTo>
                                      <a:lnTo>
                                        <a:pt x="77180" y="15562"/>
                                      </a:lnTo>
                                      <a:cubicBezTo>
                                        <a:pt x="77180" y="6967"/>
                                        <a:pt x="70270" y="0"/>
                                        <a:pt x="61744" y="0"/>
                                      </a:cubicBezTo>
                                      <a:cubicBezTo>
                                        <a:pt x="53219" y="0"/>
                                        <a:pt x="46308" y="6967"/>
                                        <a:pt x="46308" y="15562"/>
                                      </a:cubicBezTo>
                                      <a:lnTo>
                                        <a:pt x="46308" y="93375"/>
                                      </a:lnTo>
                                      <a:lnTo>
                                        <a:pt x="0" y="93375"/>
                                      </a:lnTo>
                                      <a:lnTo>
                                        <a:pt x="0" y="155625"/>
                                      </a:lnTo>
                                      <a:cubicBezTo>
                                        <a:pt x="63" y="209729"/>
                                        <a:pt x="39502" y="255587"/>
                                        <a:pt x="92617" y="263317"/>
                                      </a:cubicBezTo>
                                      <a:lnTo>
                                        <a:pt x="92617" y="451311"/>
                                      </a:lnTo>
                                      <a:cubicBezTo>
                                        <a:pt x="92667" y="494265"/>
                                        <a:pt x="127192" y="529072"/>
                                        <a:pt x="169797" y="529124"/>
                                      </a:cubicBezTo>
                                      <a:lnTo>
                                        <a:pt x="277850" y="529124"/>
                                      </a:lnTo>
                                      <a:cubicBezTo>
                                        <a:pt x="303426" y="529124"/>
                                        <a:pt x="324158" y="550026"/>
                                        <a:pt x="324158" y="575811"/>
                                      </a:cubicBezTo>
                                      <a:lnTo>
                                        <a:pt x="324158" y="855935"/>
                                      </a:lnTo>
                                      <a:cubicBezTo>
                                        <a:pt x="324158" y="864530"/>
                                        <a:pt x="331069" y="871498"/>
                                        <a:pt x="339594" y="871498"/>
                                      </a:cubicBezTo>
                                      <a:cubicBezTo>
                                        <a:pt x="348119" y="871498"/>
                                        <a:pt x="355030" y="864530"/>
                                        <a:pt x="355030" y="855935"/>
                                      </a:cubicBezTo>
                                      <a:lnTo>
                                        <a:pt x="355030" y="575811"/>
                                      </a:lnTo>
                                      <a:cubicBezTo>
                                        <a:pt x="354979" y="532857"/>
                                        <a:pt x="320455" y="498050"/>
                                        <a:pt x="277850" y="497999"/>
                                      </a:cubicBezTo>
                                      <a:close/>
                                      <a:moveTo>
                                        <a:pt x="30872" y="155625"/>
                                      </a:moveTo>
                                      <a:lnTo>
                                        <a:pt x="30872" y="124500"/>
                                      </a:lnTo>
                                      <a:lnTo>
                                        <a:pt x="185233" y="124500"/>
                                      </a:lnTo>
                                      <a:lnTo>
                                        <a:pt x="185233" y="155625"/>
                                      </a:lnTo>
                                      <a:cubicBezTo>
                                        <a:pt x="185233" y="198599"/>
                                        <a:pt x="150678" y="233437"/>
                                        <a:pt x="108053" y="233437"/>
                                      </a:cubicBezTo>
                                      <a:cubicBezTo>
                                        <a:pt x="65427" y="233437"/>
                                        <a:pt x="30872" y="198599"/>
                                        <a:pt x="30872" y="155625"/>
                                      </a:cubicBezTo>
                                      <a:close/>
                                    </a:path>
                                  </a:pathLst>
                                </a:custGeom>
                                <a:solidFill>
                                  <a:srgbClr val="000000"/>
                                </a:solidFill>
                                <a:ln w="942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84156013" name="Text Box 20">
                              <a:extLst>
                                <a:ext uri="{FF2B5EF4-FFF2-40B4-BE49-F238E27FC236}">
                                  <a16:creationId xmlns:a16="http://schemas.microsoft.com/office/drawing/2014/main" id="{937F1625-C126-77FB-A067-39BA19EDC4A4}"/>
                                </a:ext>
                              </a:extLst>
                            </wps:cNvPr>
                            <wps:cNvSpPr txBox="1">
                              <a:spLocks noChangeArrowheads="1"/>
                            </wps:cNvSpPr>
                            <wps:spPr bwMode="auto">
                              <a:xfrm>
                                <a:off x="84471" y="1883353"/>
                                <a:ext cx="1780976" cy="1803987"/>
                              </a:xfrm>
                              <a:prstGeom prst="rect">
                                <a:avLst/>
                              </a:prstGeom>
                              <a:grp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3F12E72C"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Ageing Population - Role of Health and Support Workforce</w:t>
                                  </w:r>
                                </w:p>
                                <w:p w14:paraId="533B5687"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High Skilled, Service-Based Workforce </w:t>
                                  </w:r>
                                </w:p>
                              </w:txbxContent>
                            </wps:txbx>
                            <wps:bodyPr vert="horz" wrap="square" lIns="26351" tIns="26351" rIns="26351" bIns="26351" numCol="1" anchor="t" anchorCtr="0" compatLnSpc="1">
                              <a:prstTxWarp prst="textNoShape">
                                <a:avLst/>
                              </a:prstTxWarp>
                            </wps:bodyPr>
                          </wps:wsp>
                        </wpg:grpSp>
                      </wpg:grpSp>
                      <pic:pic xmlns:pic="http://schemas.openxmlformats.org/drawingml/2006/picture">
                        <pic:nvPicPr>
                          <pic:cNvPr id="557788414" name="Graphic 1" descr="Gears outline">
                            <a:extLst>
                              <a:ext uri="{FF2B5EF4-FFF2-40B4-BE49-F238E27FC236}">
                                <a16:creationId xmlns:a16="http://schemas.microsoft.com/office/drawing/2014/main" id="{618E6B71-B5ED-F938-A3A7-0E1024876FF8}"/>
                              </a:ext>
                            </a:extLst>
                          </pic:cNvPr>
                          <pic:cNvPicPr>
                            <a:picLocks noChangeAspect="1"/>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rcRect/>
                          <a:stretch/>
                        </pic:blipFill>
                        <pic:spPr bwMode="auto">
                          <a:xfrm>
                            <a:off x="1647825" y="171450"/>
                            <a:ext cx="863600" cy="887095"/>
                          </a:xfrm>
                          <a:prstGeom prst="rect">
                            <a:avLst/>
                          </a:prstGeom>
                          <a:grpFill/>
                          <a:ln>
                            <a:noFill/>
                          </a:ln>
                          <a:effectLst/>
                        </pic:spPr>
                      </pic:pic>
                      <wpg:grpSp>
                        <wpg:cNvPr id="1" name="Graphic 1" descr="Classroom outline"/>
                        <wpg:cNvGrpSpPr/>
                        <wpg:grpSpPr>
                          <a:xfrm>
                            <a:off x="3076575" y="295275"/>
                            <a:ext cx="855502" cy="799998"/>
                            <a:chOff x="0" y="0"/>
                            <a:chExt cx="855502" cy="799998"/>
                          </a:xfrm>
                          <a:solidFill>
                            <a:srgbClr val="000000"/>
                          </a:solidFill>
                        </wpg:grpSpPr>
                        <wps:wsp>
                          <wps:cNvPr id="695439293" name="Freeform: Shape 695439293"/>
                          <wps:cNvSpPr/>
                          <wps:spPr>
                            <a:xfrm>
                              <a:off x="307099" y="560019"/>
                              <a:ext cx="93138" cy="93148"/>
                            </a:xfrm>
                            <a:custGeom>
                              <a:avLst/>
                              <a:gdLst>
                                <a:gd name="connsiteX0" fmla="*/ 0 w 93138"/>
                                <a:gd name="connsiteY0" fmla="*/ 46564 h 93148"/>
                                <a:gd name="connsiteX1" fmla="*/ 46559 w 93138"/>
                                <a:gd name="connsiteY1" fmla="*/ 93148 h 93148"/>
                                <a:gd name="connsiteX2" fmla="*/ 93139 w 93138"/>
                                <a:gd name="connsiteY2" fmla="*/ 46584 h 93148"/>
                                <a:gd name="connsiteX3" fmla="*/ 46580 w 93138"/>
                                <a:gd name="connsiteY3" fmla="*/ 0 h 93148"/>
                                <a:gd name="connsiteX4" fmla="*/ 46559 w 93138"/>
                                <a:gd name="connsiteY4" fmla="*/ 0 h 93148"/>
                                <a:gd name="connsiteX5" fmla="*/ 0 w 93138"/>
                                <a:gd name="connsiteY5" fmla="*/ 46564 h 93148"/>
                                <a:gd name="connsiteX6" fmla="*/ 72618 w 93138"/>
                                <a:gd name="connsiteY6" fmla="*/ 46564 h 93148"/>
                                <a:gd name="connsiteX7" fmla="*/ 46569 w 93138"/>
                                <a:gd name="connsiteY7" fmla="*/ 72636 h 93148"/>
                                <a:gd name="connsiteX8" fmla="*/ 20500 w 93138"/>
                                <a:gd name="connsiteY8" fmla="*/ 46584 h 93148"/>
                                <a:gd name="connsiteX9" fmla="*/ 46549 w 93138"/>
                                <a:gd name="connsiteY9" fmla="*/ 20513 h 93148"/>
                                <a:gd name="connsiteX10" fmla="*/ 46569 w 93138"/>
                                <a:gd name="connsiteY10" fmla="*/ 20513 h 93148"/>
                                <a:gd name="connsiteX11" fmla="*/ 72618 w 93138"/>
                                <a:gd name="connsiteY11" fmla="*/ 46564 h 93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3138" h="93148">
                                  <a:moveTo>
                                    <a:pt x="0" y="46564"/>
                                  </a:moveTo>
                                  <a:cubicBezTo>
                                    <a:pt x="-6" y="72286"/>
                                    <a:pt x="20840" y="93142"/>
                                    <a:pt x="46559" y="93148"/>
                                  </a:cubicBezTo>
                                  <a:cubicBezTo>
                                    <a:pt x="72279" y="93154"/>
                                    <a:pt x="93133" y="72306"/>
                                    <a:pt x="93139" y="46584"/>
                                  </a:cubicBezTo>
                                  <a:cubicBezTo>
                                    <a:pt x="93145" y="20863"/>
                                    <a:pt x="72299" y="6"/>
                                    <a:pt x="46580" y="0"/>
                                  </a:cubicBezTo>
                                  <a:cubicBezTo>
                                    <a:pt x="46573" y="0"/>
                                    <a:pt x="46566" y="0"/>
                                    <a:pt x="46559" y="0"/>
                                  </a:cubicBezTo>
                                  <a:cubicBezTo>
                                    <a:pt x="20848" y="6"/>
                                    <a:pt x="6" y="20849"/>
                                    <a:pt x="0" y="46564"/>
                                  </a:cubicBezTo>
                                  <a:close/>
                                  <a:moveTo>
                                    <a:pt x="72618" y="46564"/>
                                  </a:moveTo>
                                  <a:cubicBezTo>
                                    <a:pt x="72624" y="60958"/>
                                    <a:pt x="60962" y="72630"/>
                                    <a:pt x="46569" y="72636"/>
                                  </a:cubicBezTo>
                                  <a:cubicBezTo>
                                    <a:pt x="32177" y="72641"/>
                                    <a:pt x="20507" y="60978"/>
                                    <a:pt x="20500" y="46584"/>
                                  </a:cubicBezTo>
                                  <a:cubicBezTo>
                                    <a:pt x="20494" y="32191"/>
                                    <a:pt x="32157" y="20518"/>
                                    <a:pt x="46549" y="20513"/>
                                  </a:cubicBezTo>
                                  <a:cubicBezTo>
                                    <a:pt x="46556" y="20513"/>
                                    <a:pt x="46562" y="20513"/>
                                    <a:pt x="46569" y="20513"/>
                                  </a:cubicBezTo>
                                  <a:cubicBezTo>
                                    <a:pt x="60946" y="20535"/>
                                    <a:pt x="72595" y="32186"/>
                                    <a:pt x="72618" y="46564"/>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5865739" name="Freeform: Shape 585865739"/>
                          <wps:cNvSpPr/>
                          <wps:spPr>
                            <a:xfrm>
                              <a:off x="260632" y="665978"/>
                              <a:ext cx="184596" cy="92994"/>
                            </a:xfrm>
                            <a:custGeom>
                              <a:avLst/>
                              <a:gdLst>
                                <a:gd name="connsiteX0" fmla="*/ 175397 w 184596"/>
                                <a:gd name="connsiteY0" fmla="*/ 27897 h 92994"/>
                                <a:gd name="connsiteX1" fmla="*/ 130366 w 184596"/>
                                <a:gd name="connsiteY1" fmla="*/ 5744 h 92994"/>
                                <a:gd name="connsiteX2" fmla="*/ 92308 w 184596"/>
                                <a:gd name="connsiteY2" fmla="*/ 0 h 92994"/>
                                <a:gd name="connsiteX3" fmla="*/ 54261 w 184596"/>
                                <a:gd name="connsiteY3" fmla="*/ 5744 h 92994"/>
                                <a:gd name="connsiteX4" fmla="*/ 9230 w 184596"/>
                                <a:gd name="connsiteY4" fmla="*/ 27897 h 92994"/>
                                <a:gd name="connsiteX5" fmla="*/ 0 w 184596"/>
                                <a:gd name="connsiteY5" fmla="*/ 46461 h 92994"/>
                                <a:gd name="connsiteX6" fmla="*/ 0 w 184596"/>
                                <a:gd name="connsiteY6" fmla="*/ 92995 h 92994"/>
                                <a:gd name="connsiteX7" fmla="*/ 184596 w 184596"/>
                                <a:gd name="connsiteY7" fmla="*/ 92995 h 92994"/>
                                <a:gd name="connsiteX8" fmla="*/ 184596 w 184596"/>
                                <a:gd name="connsiteY8" fmla="*/ 46431 h 92994"/>
                                <a:gd name="connsiteX9" fmla="*/ 175397 w 184596"/>
                                <a:gd name="connsiteY9" fmla="*/ 27897 h 92994"/>
                                <a:gd name="connsiteX10" fmla="*/ 164116 w 184596"/>
                                <a:gd name="connsiteY10" fmla="*/ 72482 h 92994"/>
                                <a:gd name="connsiteX11" fmla="*/ 20470 w 184596"/>
                                <a:gd name="connsiteY11" fmla="*/ 72482 h 92994"/>
                                <a:gd name="connsiteX12" fmla="*/ 20470 w 184596"/>
                                <a:gd name="connsiteY12" fmla="*/ 46841 h 92994"/>
                                <a:gd name="connsiteX13" fmla="*/ 21711 w 184596"/>
                                <a:gd name="connsiteY13" fmla="*/ 44102 h 92994"/>
                                <a:gd name="connsiteX14" fmla="*/ 59973 w 184596"/>
                                <a:gd name="connsiteY14" fmla="*/ 25374 h 92994"/>
                                <a:gd name="connsiteX15" fmla="*/ 92411 w 184596"/>
                                <a:gd name="connsiteY15" fmla="*/ 20462 h 92994"/>
                                <a:gd name="connsiteX16" fmla="*/ 124305 w 184596"/>
                                <a:gd name="connsiteY16" fmla="*/ 25303 h 92994"/>
                                <a:gd name="connsiteX17" fmla="*/ 125095 w 184596"/>
                                <a:gd name="connsiteY17" fmla="*/ 25528 h 92994"/>
                                <a:gd name="connsiteX18" fmla="*/ 162639 w 184596"/>
                                <a:gd name="connsiteY18" fmla="*/ 43938 h 92994"/>
                                <a:gd name="connsiteX19" fmla="*/ 164075 w 184596"/>
                                <a:gd name="connsiteY19" fmla="*/ 46410 h 92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84596" h="92994">
                                  <a:moveTo>
                                    <a:pt x="175397" y="27897"/>
                                  </a:moveTo>
                                  <a:cubicBezTo>
                                    <a:pt x="162015" y="17583"/>
                                    <a:pt x="146704" y="10049"/>
                                    <a:pt x="130366" y="5744"/>
                                  </a:cubicBezTo>
                                  <a:cubicBezTo>
                                    <a:pt x="118034" y="1957"/>
                                    <a:pt x="105208" y="22"/>
                                    <a:pt x="92308" y="0"/>
                                  </a:cubicBezTo>
                                  <a:cubicBezTo>
                                    <a:pt x="79425" y="193"/>
                                    <a:pt x="66627" y="2125"/>
                                    <a:pt x="54261" y="5744"/>
                                  </a:cubicBezTo>
                                  <a:cubicBezTo>
                                    <a:pt x="38104" y="10523"/>
                                    <a:pt x="22877" y="18014"/>
                                    <a:pt x="9230" y="27897"/>
                                  </a:cubicBezTo>
                                  <a:cubicBezTo>
                                    <a:pt x="3535" y="32396"/>
                                    <a:pt x="150" y="39205"/>
                                    <a:pt x="0" y="46461"/>
                                  </a:cubicBezTo>
                                  <a:lnTo>
                                    <a:pt x="0" y="92995"/>
                                  </a:lnTo>
                                  <a:lnTo>
                                    <a:pt x="184596" y="92995"/>
                                  </a:lnTo>
                                  <a:lnTo>
                                    <a:pt x="184596" y="46431"/>
                                  </a:lnTo>
                                  <a:cubicBezTo>
                                    <a:pt x="184444" y="39191"/>
                                    <a:pt x="181071" y="32396"/>
                                    <a:pt x="175397" y="27897"/>
                                  </a:cubicBezTo>
                                  <a:close/>
                                  <a:moveTo>
                                    <a:pt x="164116" y="72482"/>
                                  </a:moveTo>
                                  <a:lnTo>
                                    <a:pt x="20470" y="72482"/>
                                  </a:lnTo>
                                  <a:lnTo>
                                    <a:pt x="20470" y="46841"/>
                                  </a:lnTo>
                                  <a:cubicBezTo>
                                    <a:pt x="20487" y="45796"/>
                                    <a:pt x="20936" y="44805"/>
                                    <a:pt x="21711" y="44102"/>
                                  </a:cubicBezTo>
                                  <a:cubicBezTo>
                                    <a:pt x="33331" y="35769"/>
                                    <a:pt x="46264" y="29439"/>
                                    <a:pt x="59973" y="25374"/>
                                  </a:cubicBezTo>
                                  <a:cubicBezTo>
                                    <a:pt x="70519" y="22297"/>
                                    <a:pt x="81427" y="20645"/>
                                    <a:pt x="92411" y="20462"/>
                                  </a:cubicBezTo>
                                  <a:cubicBezTo>
                                    <a:pt x="103223" y="20492"/>
                                    <a:pt x="113971" y="22124"/>
                                    <a:pt x="124305" y="25303"/>
                                  </a:cubicBezTo>
                                  <a:lnTo>
                                    <a:pt x="125095" y="25528"/>
                                  </a:lnTo>
                                  <a:cubicBezTo>
                                    <a:pt x="138716" y="29089"/>
                                    <a:pt x="151483" y="35350"/>
                                    <a:pt x="162639" y="43938"/>
                                  </a:cubicBezTo>
                                  <a:cubicBezTo>
                                    <a:pt x="163429" y="44537"/>
                                    <a:pt x="163946" y="45428"/>
                                    <a:pt x="164075" y="46410"/>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7548655" name="Freeform: Shape 1277548655"/>
                          <wps:cNvSpPr/>
                          <wps:spPr>
                            <a:xfrm>
                              <a:off x="510821" y="560019"/>
                              <a:ext cx="93138" cy="93148"/>
                            </a:xfrm>
                            <a:custGeom>
                              <a:avLst/>
                              <a:gdLst>
                                <a:gd name="connsiteX0" fmla="*/ 0 w 93138"/>
                                <a:gd name="connsiteY0" fmla="*/ 46564 h 93148"/>
                                <a:gd name="connsiteX1" fmla="*/ 46559 w 93138"/>
                                <a:gd name="connsiteY1" fmla="*/ 93148 h 93148"/>
                                <a:gd name="connsiteX2" fmla="*/ 93139 w 93138"/>
                                <a:gd name="connsiteY2" fmla="*/ 46584 h 93148"/>
                                <a:gd name="connsiteX3" fmla="*/ 46580 w 93138"/>
                                <a:gd name="connsiteY3" fmla="*/ 0 h 93148"/>
                                <a:gd name="connsiteX4" fmla="*/ 46569 w 93138"/>
                                <a:gd name="connsiteY4" fmla="*/ 0 h 93148"/>
                                <a:gd name="connsiteX5" fmla="*/ 0 w 93138"/>
                                <a:gd name="connsiteY5" fmla="*/ 46564 h 93148"/>
                                <a:gd name="connsiteX6" fmla="*/ 72628 w 93138"/>
                                <a:gd name="connsiteY6" fmla="*/ 46564 h 93148"/>
                                <a:gd name="connsiteX7" fmla="*/ 46580 w 93138"/>
                                <a:gd name="connsiteY7" fmla="*/ 72636 h 93148"/>
                                <a:gd name="connsiteX8" fmla="*/ 20511 w 93138"/>
                                <a:gd name="connsiteY8" fmla="*/ 46584 h 93148"/>
                                <a:gd name="connsiteX9" fmla="*/ 46559 w 93138"/>
                                <a:gd name="connsiteY9" fmla="*/ 20513 h 93148"/>
                                <a:gd name="connsiteX10" fmla="*/ 46569 w 93138"/>
                                <a:gd name="connsiteY10" fmla="*/ 20513 h 93148"/>
                                <a:gd name="connsiteX11" fmla="*/ 72597 w 93138"/>
                                <a:gd name="connsiteY11" fmla="*/ 46564 h 93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3138" h="93148">
                                  <a:moveTo>
                                    <a:pt x="0" y="46564"/>
                                  </a:moveTo>
                                  <a:cubicBezTo>
                                    <a:pt x="-6" y="72286"/>
                                    <a:pt x="20840" y="93142"/>
                                    <a:pt x="46559" y="93148"/>
                                  </a:cubicBezTo>
                                  <a:cubicBezTo>
                                    <a:pt x="72279" y="93154"/>
                                    <a:pt x="93134" y="72306"/>
                                    <a:pt x="93139" y="46584"/>
                                  </a:cubicBezTo>
                                  <a:cubicBezTo>
                                    <a:pt x="93145" y="20863"/>
                                    <a:pt x="72299" y="6"/>
                                    <a:pt x="46580" y="0"/>
                                  </a:cubicBezTo>
                                  <a:cubicBezTo>
                                    <a:pt x="46577" y="0"/>
                                    <a:pt x="46573" y="0"/>
                                    <a:pt x="46569" y="0"/>
                                  </a:cubicBezTo>
                                  <a:cubicBezTo>
                                    <a:pt x="20856" y="6"/>
                                    <a:pt x="11" y="20848"/>
                                    <a:pt x="0" y="46564"/>
                                  </a:cubicBezTo>
                                  <a:close/>
                                  <a:moveTo>
                                    <a:pt x="72628" y="46564"/>
                                  </a:moveTo>
                                  <a:cubicBezTo>
                                    <a:pt x="72634" y="60958"/>
                                    <a:pt x="60972" y="72630"/>
                                    <a:pt x="46580" y="72636"/>
                                  </a:cubicBezTo>
                                  <a:cubicBezTo>
                                    <a:pt x="32187" y="72641"/>
                                    <a:pt x="20517" y="60978"/>
                                    <a:pt x="20511" y="46584"/>
                                  </a:cubicBezTo>
                                  <a:cubicBezTo>
                                    <a:pt x="20504" y="32191"/>
                                    <a:pt x="32167" y="20518"/>
                                    <a:pt x="46559" y="20513"/>
                                  </a:cubicBezTo>
                                  <a:cubicBezTo>
                                    <a:pt x="46562" y="20513"/>
                                    <a:pt x="46566" y="20513"/>
                                    <a:pt x="46569" y="20513"/>
                                  </a:cubicBezTo>
                                  <a:cubicBezTo>
                                    <a:pt x="60938" y="20547"/>
                                    <a:pt x="72575" y="32194"/>
                                    <a:pt x="72597" y="46564"/>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8149457" name="Freeform: Shape 558149457"/>
                          <wps:cNvSpPr/>
                          <wps:spPr>
                            <a:xfrm>
                              <a:off x="465770" y="665978"/>
                              <a:ext cx="184596" cy="92994"/>
                            </a:xfrm>
                            <a:custGeom>
                              <a:avLst/>
                              <a:gdLst>
                                <a:gd name="connsiteX0" fmla="*/ 175387 w 184596"/>
                                <a:gd name="connsiteY0" fmla="*/ 27897 h 92994"/>
                                <a:gd name="connsiteX1" fmla="*/ 130366 w 184596"/>
                                <a:gd name="connsiteY1" fmla="*/ 5744 h 92994"/>
                                <a:gd name="connsiteX2" fmla="*/ 92308 w 184596"/>
                                <a:gd name="connsiteY2" fmla="*/ 0 h 92994"/>
                                <a:gd name="connsiteX3" fmla="*/ 54261 w 184596"/>
                                <a:gd name="connsiteY3" fmla="*/ 5744 h 92994"/>
                                <a:gd name="connsiteX4" fmla="*/ 9230 w 184596"/>
                                <a:gd name="connsiteY4" fmla="*/ 27897 h 92994"/>
                                <a:gd name="connsiteX5" fmla="*/ 0 w 184596"/>
                                <a:gd name="connsiteY5" fmla="*/ 46461 h 92994"/>
                                <a:gd name="connsiteX6" fmla="*/ 0 w 184596"/>
                                <a:gd name="connsiteY6" fmla="*/ 92995 h 92994"/>
                                <a:gd name="connsiteX7" fmla="*/ 184596 w 184596"/>
                                <a:gd name="connsiteY7" fmla="*/ 92995 h 92994"/>
                                <a:gd name="connsiteX8" fmla="*/ 184596 w 184596"/>
                                <a:gd name="connsiteY8" fmla="*/ 46431 h 92994"/>
                                <a:gd name="connsiteX9" fmla="*/ 175387 w 184596"/>
                                <a:gd name="connsiteY9" fmla="*/ 27897 h 92994"/>
                                <a:gd name="connsiteX10" fmla="*/ 164106 w 184596"/>
                                <a:gd name="connsiteY10" fmla="*/ 72482 h 92994"/>
                                <a:gd name="connsiteX11" fmla="*/ 20531 w 184596"/>
                                <a:gd name="connsiteY11" fmla="*/ 72482 h 92994"/>
                                <a:gd name="connsiteX12" fmla="*/ 20531 w 184596"/>
                                <a:gd name="connsiteY12" fmla="*/ 46841 h 92994"/>
                                <a:gd name="connsiteX13" fmla="*/ 21782 w 184596"/>
                                <a:gd name="connsiteY13" fmla="*/ 44102 h 92994"/>
                                <a:gd name="connsiteX14" fmla="*/ 60035 w 184596"/>
                                <a:gd name="connsiteY14" fmla="*/ 25374 h 92994"/>
                                <a:gd name="connsiteX15" fmla="*/ 92472 w 184596"/>
                                <a:gd name="connsiteY15" fmla="*/ 20462 h 92994"/>
                                <a:gd name="connsiteX16" fmla="*/ 124377 w 184596"/>
                                <a:gd name="connsiteY16" fmla="*/ 25303 h 92994"/>
                                <a:gd name="connsiteX17" fmla="*/ 125166 w 184596"/>
                                <a:gd name="connsiteY17" fmla="*/ 25528 h 92994"/>
                                <a:gd name="connsiteX18" fmla="*/ 162701 w 184596"/>
                                <a:gd name="connsiteY18" fmla="*/ 43938 h 92994"/>
                                <a:gd name="connsiteX19" fmla="*/ 164137 w 184596"/>
                                <a:gd name="connsiteY19" fmla="*/ 46410 h 92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84596" h="92994">
                                  <a:moveTo>
                                    <a:pt x="175387" y="27897"/>
                                  </a:moveTo>
                                  <a:cubicBezTo>
                                    <a:pt x="162007" y="17585"/>
                                    <a:pt x="146699" y="10052"/>
                                    <a:pt x="130366" y="5744"/>
                                  </a:cubicBezTo>
                                  <a:cubicBezTo>
                                    <a:pt x="118034" y="1958"/>
                                    <a:pt x="105208" y="23"/>
                                    <a:pt x="92308" y="0"/>
                                  </a:cubicBezTo>
                                  <a:cubicBezTo>
                                    <a:pt x="79426" y="193"/>
                                    <a:pt x="66627" y="2125"/>
                                    <a:pt x="54261" y="5744"/>
                                  </a:cubicBezTo>
                                  <a:cubicBezTo>
                                    <a:pt x="38103" y="10521"/>
                                    <a:pt x="22876" y="18012"/>
                                    <a:pt x="9230" y="27897"/>
                                  </a:cubicBezTo>
                                  <a:cubicBezTo>
                                    <a:pt x="3535" y="32396"/>
                                    <a:pt x="150" y="39205"/>
                                    <a:pt x="0" y="46461"/>
                                  </a:cubicBezTo>
                                  <a:lnTo>
                                    <a:pt x="0" y="92995"/>
                                  </a:lnTo>
                                  <a:lnTo>
                                    <a:pt x="184596" y="92995"/>
                                  </a:lnTo>
                                  <a:lnTo>
                                    <a:pt x="184596" y="46431"/>
                                  </a:lnTo>
                                  <a:cubicBezTo>
                                    <a:pt x="184442" y="39189"/>
                                    <a:pt x="181065" y="32394"/>
                                    <a:pt x="175387" y="27897"/>
                                  </a:cubicBezTo>
                                  <a:close/>
                                  <a:moveTo>
                                    <a:pt x="164106" y="72482"/>
                                  </a:moveTo>
                                  <a:lnTo>
                                    <a:pt x="20531" y="72482"/>
                                  </a:lnTo>
                                  <a:lnTo>
                                    <a:pt x="20531" y="46841"/>
                                  </a:lnTo>
                                  <a:cubicBezTo>
                                    <a:pt x="20553" y="45795"/>
                                    <a:pt x="21006" y="44804"/>
                                    <a:pt x="21782" y="44102"/>
                                  </a:cubicBezTo>
                                  <a:cubicBezTo>
                                    <a:pt x="33398" y="35767"/>
                                    <a:pt x="46327" y="29437"/>
                                    <a:pt x="60035" y="25374"/>
                                  </a:cubicBezTo>
                                  <a:cubicBezTo>
                                    <a:pt x="70580" y="22298"/>
                                    <a:pt x="81489" y="20646"/>
                                    <a:pt x="92472" y="20462"/>
                                  </a:cubicBezTo>
                                  <a:cubicBezTo>
                                    <a:pt x="103288" y="20492"/>
                                    <a:pt x="114039" y="22124"/>
                                    <a:pt x="124377" y="25303"/>
                                  </a:cubicBezTo>
                                  <a:lnTo>
                                    <a:pt x="125166" y="25528"/>
                                  </a:lnTo>
                                  <a:cubicBezTo>
                                    <a:pt x="138785" y="29087"/>
                                    <a:pt x="151549" y="35348"/>
                                    <a:pt x="162701" y="43938"/>
                                  </a:cubicBezTo>
                                  <a:cubicBezTo>
                                    <a:pt x="163491" y="44537"/>
                                    <a:pt x="164007" y="45428"/>
                                    <a:pt x="164137" y="46410"/>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6037110" name="Freeform: Shape 506037110"/>
                          <wps:cNvSpPr/>
                          <wps:spPr>
                            <a:xfrm>
                              <a:off x="715928" y="560019"/>
                              <a:ext cx="93138" cy="93148"/>
                            </a:xfrm>
                            <a:custGeom>
                              <a:avLst/>
                              <a:gdLst>
                                <a:gd name="connsiteX0" fmla="*/ 0 w 93138"/>
                                <a:gd name="connsiteY0" fmla="*/ 46564 h 93148"/>
                                <a:gd name="connsiteX1" fmla="*/ 46559 w 93138"/>
                                <a:gd name="connsiteY1" fmla="*/ 93148 h 93148"/>
                                <a:gd name="connsiteX2" fmla="*/ 93139 w 93138"/>
                                <a:gd name="connsiteY2" fmla="*/ 46584 h 93148"/>
                                <a:gd name="connsiteX3" fmla="*/ 46580 w 93138"/>
                                <a:gd name="connsiteY3" fmla="*/ 0 h 93148"/>
                                <a:gd name="connsiteX4" fmla="*/ 46569 w 93138"/>
                                <a:gd name="connsiteY4" fmla="*/ 0 h 93148"/>
                                <a:gd name="connsiteX5" fmla="*/ 0 w 93138"/>
                                <a:gd name="connsiteY5" fmla="*/ 46564 h 93148"/>
                                <a:gd name="connsiteX6" fmla="*/ 72618 w 93138"/>
                                <a:gd name="connsiteY6" fmla="*/ 46564 h 93148"/>
                                <a:gd name="connsiteX7" fmla="*/ 46569 w 93138"/>
                                <a:gd name="connsiteY7" fmla="*/ 72636 h 93148"/>
                                <a:gd name="connsiteX8" fmla="*/ 20500 w 93138"/>
                                <a:gd name="connsiteY8" fmla="*/ 46584 h 93148"/>
                                <a:gd name="connsiteX9" fmla="*/ 46549 w 93138"/>
                                <a:gd name="connsiteY9" fmla="*/ 20513 h 93148"/>
                                <a:gd name="connsiteX10" fmla="*/ 46569 w 93138"/>
                                <a:gd name="connsiteY10" fmla="*/ 20513 h 93148"/>
                                <a:gd name="connsiteX11" fmla="*/ 72618 w 93138"/>
                                <a:gd name="connsiteY11" fmla="*/ 46564 h 93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3138" h="93148">
                                  <a:moveTo>
                                    <a:pt x="0" y="46564"/>
                                  </a:moveTo>
                                  <a:cubicBezTo>
                                    <a:pt x="-5" y="72286"/>
                                    <a:pt x="20840" y="93142"/>
                                    <a:pt x="46559" y="93148"/>
                                  </a:cubicBezTo>
                                  <a:cubicBezTo>
                                    <a:pt x="72279" y="93154"/>
                                    <a:pt x="93134" y="72306"/>
                                    <a:pt x="93139" y="46584"/>
                                  </a:cubicBezTo>
                                  <a:cubicBezTo>
                                    <a:pt x="93145" y="20863"/>
                                    <a:pt x="72299" y="6"/>
                                    <a:pt x="46580" y="0"/>
                                  </a:cubicBezTo>
                                  <a:cubicBezTo>
                                    <a:pt x="46577" y="0"/>
                                    <a:pt x="46573" y="0"/>
                                    <a:pt x="46569" y="0"/>
                                  </a:cubicBezTo>
                                  <a:cubicBezTo>
                                    <a:pt x="20856" y="6"/>
                                    <a:pt x="11" y="20848"/>
                                    <a:pt x="0" y="46564"/>
                                  </a:cubicBezTo>
                                  <a:close/>
                                  <a:moveTo>
                                    <a:pt x="72618" y="46564"/>
                                  </a:moveTo>
                                  <a:cubicBezTo>
                                    <a:pt x="72624" y="60958"/>
                                    <a:pt x="60962" y="72630"/>
                                    <a:pt x="46569" y="72636"/>
                                  </a:cubicBezTo>
                                  <a:cubicBezTo>
                                    <a:pt x="32177" y="72641"/>
                                    <a:pt x="20507" y="60978"/>
                                    <a:pt x="20500" y="46584"/>
                                  </a:cubicBezTo>
                                  <a:cubicBezTo>
                                    <a:pt x="20495" y="32191"/>
                                    <a:pt x="32157" y="20518"/>
                                    <a:pt x="46549" y="20513"/>
                                  </a:cubicBezTo>
                                  <a:cubicBezTo>
                                    <a:pt x="46556" y="20513"/>
                                    <a:pt x="46562" y="20513"/>
                                    <a:pt x="46569" y="20513"/>
                                  </a:cubicBezTo>
                                  <a:cubicBezTo>
                                    <a:pt x="60948" y="20530"/>
                                    <a:pt x="72601" y="32183"/>
                                    <a:pt x="72618" y="46564"/>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7970493" name="Freeform: Shape 507970493"/>
                          <wps:cNvSpPr/>
                          <wps:spPr>
                            <a:xfrm>
                              <a:off x="670907" y="665978"/>
                              <a:ext cx="184596" cy="92994"/>
                            </a:xfrm>
                            <a:custGeom>
                              <a:avLst/>
                              <a:gdLst>
                                <a:gd name="connsiteX0" fmla="*/ 175387 w 184596"/>
                                <a:gd name="connsiteY0" fmla="*/ 27897 h 92994"/>
                                <a:gd name="connsiteX1" fmla="*/ 130356 w 184596"/>
                                <a:gd name="connsiteY1" fmla="*/ 5744 h 92994"/>
                                <a:gd name="connsiteX2" fmla="*/ 92308 w 184596"/>
                                <a:gd name="connsiteY2" fmla="*/ 0 h 92994"/>
                                <a:gd name="connsiteX3" fmla="*/ 54251 w 184596"/>
                                <a:gd name="connsiteY3" fmla="*/ 5744 h 92994"/>
                                <a:gd name="connsiteX4" fmla="*/ 9230 w 184596"/>
                                <a:gd name="connsiteY4" fmla="*/ 27897 h 92994"/>
                                <a:gd name="connsiteX5" fmla="*/ 0 w 184596"/>
                                <a:gd name="connsiteY5" fmla="*/ 46461 h 92994"/>
                                <a:gd name="connsiteX6" fmla="*/ 0 w 184596"/>
                                <a:gd name="connsiteY6" fmla="*/ 92995 h 92994"/>
                                <a:gd name="connsiteX7" fmla="*/ 184596 w 184596"/>
                                <a:gd name="connsiteY7" fmla="*/ 92995 h 92994"/>
                                <a:gd name="connsiteX8" fmla="*/ 184596 w 184596"/>
                                <a:gd name="connsiteY8" fmla="*/ 46431 h 92994"/>
                                <a:gd name="connsiteX9" fmla="*/ 175387 w 184596"/>
                                <a:gd name="connsiteY9" fmla="*/ 27897 h 92994"/>
                                <a:gd name="connsiteX10" fmla="*/ 164106 w 184596"/>
                                <a:gd name="connsiteY10" fmla="*/ 72482 h 92994"/>
                                <a:gd name="connsiteX11" fmla="*/ 20531 w 184596"/>
                                <a:gd name="connsiteY11" fmla="*/ 72482 h 92994"/>
                                <a:gd name="connsiteX12" fmla="*/ 20531 w 184596"/>
                                <a:gd name="connsiteY12" fmla="*/ 46841 h 92994"/>
                                <a:gd name="connsiteX13" fmla="*/ 21772 w 184596"/>
                                <a:gd name="connsiteY13" fmla="*/ 44102 h 92994"/>
                                <a:gd name="connsiteX14" fmla="*/ 60035 w 184596"/>
                                <a:gd name="connsiteY14" fmla="*/ 25374 h 92994"/>
                                <a:gd name="connsiteX15" fmla="*/ 92472 w 184596"/>
                                <a:gd name="connsiteY15" fmla="*/ 20462 h 92994"/>
                                <a:gd name="connsiteX16" fmla="*/ 124366 w 184596"/>
                                <a:gd name="connsiteY16" fmla="*/ 25303 h 92994"/>
                                <a:gd name="connsiteX17" fmla="*/ 125156 w 184596"/>
                                <a:gd name="connsiteY17" fmla="*/ 25528 h 92994"/>
                                <a:gd name="connsiteX18" fmla="*/ 162701 w 184596"/>
                                <a:gd name="connsiteY18" fmla="*/ 43938 h 92994"/>
                                <a:gd name="connsiteX19" fmla="*/ 164137 w 184596"/>
                                <a:gd name="connsiteY19" fmla="*/ 46410 h 92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84596" h="92994">
                                  <a:moveTo>
                                    <a:pt x="175387" y="27897"/>
                                  </a:moveTo>
                                  <a:cubicBezTo>
                                    <a:pt x="162004" y="17583"/>
                                    <a:pt x="146693" y="10049"/>
                                    <a:pt x="130356" y="5744"/>
                                  </a:cubicBezTo>
                                  <a:cubicBezTo>
                                    <a:pt x="118027" y="1958"/>
                                    <a:pt x="105205" y="23"/>
                                    <a:pt x="92308" y="0"/>
                                  </a:cubicBezTo>
                                  <a:cubicBezTo>
                                    <a:pt x="79421" y="193"/>
                                    <a:pt x="66621" y="2124"/>
                                    <a:pt x="54251" y="5744"/>
                                  </a:cubicBezTo>
                                  <a:cubicBezTo>
                                    <a:pt x="38095" y="10521"/>
                                    <a:pt x="22871" y="18012"/>
                                    <a:pt x="9230" y="27897"/>
                                  </a:cubicBezTo>
                                  <a:cubicBezTo>
                                    <a:pt x="3529" y="32391"/>
                                    <a:pt x="142" y="39203"/>
                                    <a:pt x="0" y="46461"/>
                                  </a:cubicBezTo>
                                  <a:lnTo>
                                    <a:pt x="0" y="92995"/>
                                  </a:lnTo>
                                  <a:lnTo>
                                    <a:pt x="184596" y="92995"/>
                                  </a:lnTo>
                                  <a:lnTo>
                                    <a:pt x="184596" y="46431"/>
                                  </a:lnTo>
                                  <a:cubicBezTo>
                                    <a:pt x="184442" y="39189"/>
                                    <a:pt x="181065" y="32394"/>
                                    <a:pt x="175387" y="27897"/>
                                  </a:cubicBezTo>
                                  <a:close/>
                                  <a:moveTo>
                                    <a:pt x="164106" y="72482"/>
                                  </a:moveTo>
                                  <a:lnTo>
                                    <a:pt x="20531" y="72482"/>
                                  </a:lnTo>
                                  <a:lnTo>
                                    <a:pt x="20531" y="46841"/>
                                  </a:lnTo>
                                  <a:cubicBezTo>
                                    <a:pt x="20549" y="45796"/>
                                    <a:pt x="20998" y="44805"/>
                                    <a:pt x="21772" y="44102"/>
                                  </a:cubicBezTo>
                                  <a:cubicBezTo>
                                    <a:pt x="33392" y="35769"/>
                                    <a:pt x="46325" y="29439"/>
                                    <a:pt x="60035" y="25374"/>
                                  </a:cubicBezTo>
                                  <a:cubicBezTo>
                                    <a:pt x="70580" y="22297"/>
                                    <a:pt x="81489" y="20645"/>
                                    <a:pt x="92472" y="20462"/>
                                  </a:cubicBezTo>
                                  <a:cubicBezTo>
                                    <a:pt x="103285" y="20492"/>
                                    <a:pt x="114032" y="22124"/>
                                    <a:pt x="124366" y="25303"/>
                                  </a:cubicBezTo>
                                  <a:lnTo>
                                    <a:pt x="125156" y="25528"/>
                                  </a:lnTo>
                                  <a:cubicBezTo>
                                    <a:pt x="138777" y="29089"/>
                                    <a:pt x="151544" y="35350"/>
                                    <a:pt x="162701" y="43938"/>
                                  </a:cubicBezTo>
                                  <a:cubicBezTo>
                                    <a:pt x="163491" y="44537"/>
                                    <a:pt x="164007" y="45428"/>
                                    <a:pt x="164137" y="46410"/>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4280203" name="Freeform: Shape 604280203"/>
                          <wps:cNvSpPr/>
                          <wps:spPr>
                            <a:xfrm>
                              <a:off x="158038" y="0"/>
                              <a:ext cx="605064" cy="430768"/>
                            </a:xfrm>
                            <a:custGeom>
                              <a:avLst/>
                              <a:gdLst>
                                <a:gd name="connsiteX0" fmla="*/ 20511 w 605064"/>
                                <a:gd name="connsiteY0" fmla="*/ 41026 h 430768"/>
                                <a:gd name="connsiteX1" fmla="*/ 41021 w 605064"/>
                                <a:gd name="connsiteY1" fmla="*/ 20513 h 430768"/>
                                <a:gd name="connsiteX2" fmla="*/ 564043 w 605064"/>
                                <a:gd name="connsiteY2" fmla="*/ 20513 h 430768"/>
                                <a:gd name="connsiteX3" fmla="*/ 584554 w 605064"/>
                                <a:gd name="connsiteY3" fmla="*/ 41026 h 430768"/>
                                <a:gd name="connsiteX4" fmla="*/ 584554 w 605064"/>
                                <a:gd name="connsiteY4" fmla="*/ 389743 h 430768"/>
                                <a:gd name="connsiteX5" fmla="*/ 564043 w 605064"/>
                                <a:gd name="connsiteY5" fmla="*/ 410255 h 430768"/>
                                <a:gd name="connsiteX6" fmla="*/ 217034 w 605064"/>
                                <a:gd name="connsiteY6" fmla="*/ 410255 h 430768"/>
                                <a:gd name="connsiteX7" fmla="*/ 204614 w 605064"/>
                                <a:gd name="connsiteY7" fmla="*/ 430768 h 430768"/>
                                <a:gd name="connsiteX8" fmla="*/ 564043 w 605064"/>
                                <a:gd name="connsiteY8" fmla="*/ 430768 h 430768"/>
                                <a:gd name="connsiteX9" fmla="*/ 605065 w 605064"/>
                                <a:gd name="connsiteY9" fmla="*/ 389743 h 430768"/>
                                <a:gd name="connsiteX10" fmla="*/ 605065 w 605064"/>
                                <a:gd name="connsiteY10" fmla="*/ 41026 h 430768"/>
                                <a:gd name="connsiteX11" fmla="*/ 564043 w 605064"/>
                                <a:gd name="connsiteY11" fmla="*/ 0 h 430768"/>
                                <a:gd name="connsiteX12" fmla="*/ 41021 w 605064"/>
                                <a:gd name="connsiteY12" fmla="*/ 0 h 430768"/>
                                <a:gd name="connsiteX13" fmla="*/ 0 w 605064"/>
                                <a:gd name="connsiteY13" fmla="*/ 41026 h 430768"/>
                                <a:gd name="connsiteX14" fmla="*/ 0 w 605064"/>
                                <a:gd name="connsiteY14" fmla="*/ 82390 h 430768"/>
                                <a:gd name="connsiteX15" fmla="*/ 20511 w 605064"/>
                                <a:gd name="connsiteY15" fmla="*/ 86164 h 4307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05064" h="430768">
                                  <a:moveTo>
                                    <a:pt x="20511" y="41026"/>
                                  </a:moveTo>
                                  <a:cubicBezTo>
                                    <a:pt x="20511" y="29696"/>
                                    <a:pt x="29693" y="20513"/>
                                    <a:pt x="41021" y="20513"/>
                                  </a:cubicBezTo>
                                  <a:lnTo>
                                    <a:pt x="564043" y="20513"/>
                                  </a:lnTo>
                                  <a:cubicBezTo>
                                    <a:pt x="575371" y="20513"/>
                                    <a:pt x="584554" y="29696"/>
                                    <a:pt x="584554" y="41026"/>
                                  </a:cubicBezTo>
                                  <a:lnTo>
                                    <a:pt x="584554" y="389743"/>
                                  </a:lnTo>
                                  <a:cubicBezTo>
                                    <a:pt x="584554" y="401072"/>
                                    <a:pt x="575371" y="410255"/>
                                    <a:pt x="564043" y="410255"/>
                                  </a:cubicBezTo>
                                  <a:lnTo>
                                    <a:pt x="217034" y="410255"/>
                                  </a:lnTo>
                                  <a:lnTo>
                                    <a:pt x="204614" y="430768"/>
                                  </a:lnTo>
                                  <a:lnTo>
                                    <a:pt x="564043" y="430768"/>
                                  </a:lnTo>
                                  <a:cubicBezTo>
                                    <a:pt x="586698" y="430768"/>
                                    <a:pt x="605065" y="412400"/>
                                    <a:pt x="605065" y="389743"/>
                                  </a:cubicBezTo>
                                  <a:lnTo>
                                    <a:pt x="605065" y="41026"/>
                                  </a:lnTo>
                                  <a:cubicBezTo>
                                    <a:pt x="605065" y="18368"/>
                                    <a:pt x="586698" y="0"/>
                                    <a:pt x="564043" y="0"/>
                                  </a:cubicBezTo>
                                  <a:lnTo>
                                    <a:pt x="41021" y="0"/>
                                  </a:lnTo>
                                  <a:cubicBezTo>
                                    <a:pt x="18366" y="0"/>
                                    <a:pt x="0" y="18368"/>
                                    <a:pt x="0" y="41026"/>
                                  </a:cubicBezTo>
                                  <a:lnTo>
                                    <a:pt x="0" y="82390"/>
                                  </a:lnTo>
                                  <a:cubicBezTo>
                                    <a:pt x="6958" y="82862"/>
                                    <a:pt x="13840" y="84129"/>
                                    <a:pt x="20511" y="86164"/>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5730661" name="Freeform: Shape 2055730661"/>
                          <wps:cNvSpPr/>
                          <wps:spPr>
                            <a:xfrm>
                              <a:off x="0" y="153519"/>
                              <a:ext cx="510329" cy="385792"/>
                            </a:xfrm>
                            <a:custGeom>
                              <a:avLst/>
                              <a:gdLst>
                                <a:gd name="connsiteX0" fmla="*/ 280076 w 510329"/>
                                <a:gd name="connsiteY0" fmla="*/ 237567 h 385792"/>
                                <a:gd name="connsiteX1" fmla="*/ 289993 w 510329"/>
                                <a:gd name="connsiteY1" fmla="*/ 232828 h 385792"/>
                                <a:gd name="connsiteX2" fmla="*/ 334009 w 510329"/>
                                <a:gd name="connsiteY2" fmla="*/ 162613 h 385792"/>
                                <a:gd name="connsiteX3" fmla="*/ 356503 w 510329"/>
                                <a:gd name="connsiteY3" fmla="*/ 157535 h 385792"/>
                                <a:gd name="connsiteX4" fmla="*/ 357268 w 510329"/>
                                <a:gd name="connsiteY4" fmla="*/ 158049 h 385792"/>
                                <a:gd name="connsiteX5" fmla="*/ 360673 w 510329"/>
                                <a:gd name="connsiteY5" fmla="*/ 181495 h 385792"/>
                                <a:gd name="connsiteX6" fmla="*/ 306945 w 510329"/>
                                <a:gd name="connsiteY6" fmla="*/ 270244 h 385792"/>
                                <a:gd name="connsiteX7" fmla="*/ 280599 w 510329"/>
                                <a:gd name="connsiteY7" fmla="*/ 277485 h 385792"/>
                                <a:gd name="connsiteX8" fmla="*/ 266724 w 510329"/>
                                <a:gd name="connsiteY8" fmla="*/ 281720 h 385792"/>
                                <a:gd name="connsiteX9" fmla="*/ 270959 w 510329"/>
                                <a:gd name="connsiteY9" fmla="*/ 295597 h 385792"/>
                                <a:gd name="connsiteX10" fmla="*/ 324482 w 510329"/>
                                <a:gd name="connsiteY10" fmla="*/ 280869 h 385792"/>
                                <a:gd name="connsiteX11" fmla="*/ 378107 w 510329"/>
                                <a:gd name="connsiteY11" fmla="*/ 192295 h 385792"/>
                                <a:gd name="connsiteX12" fmla="*/ 377440 w 510329"/>
                                <a:gd name="connsiteY12" fmla="*/ 149834 h 385792"/>
                                <a:gd name="connsiteX13" fmla="*/ 507498 w 510329"/>
                                <a:gd name="connsiteY13" fmla="*/ 17331 h 385792"/>
                                <a:gd name="connsiteX14" fmla="*/ 507148 w 510329"/>
                                <a:gd name="connsiteY14" fmla="*/ 2831 h 385792"/>
                                <a:gd name="connsiteX15" fmla="*/ 492854 w 510329"/>
                                <a:gd name="connsiteY15" fmla="*/ 2972 h 385792"/>
                                <a:gd name="connsiteX16" fmla="*/ 361165 w 510329"/>
                                <a:gd name="connsiteY16" fmla="*/ 137126 h 385792"/>
                                <a:gd name="connsiteX17" fmla="*/ 340654 w 510329"/>
                                <a:gd name="connsiteY17" fmla="*/ 135187 h 385792"/>
                                <a:gd name="connsiteX18" fmla="*/ 316626 w 510329"/>
                                <a:gd name="connsiteY18" fmla="*/ 151670 h 385792"/>
                                <a:gd name="connsiteX19" fmla="*/ 284178 w 510329"/>
                                <a:gd name="connsiteY19" fmla="*/ 203454 h 385792"/>
                                <a:gd name="connsiteX20" fmla="*/ 265237 w 510329"/>
                                <a:gd name="connsiteY20" fmla="*/ 146141 h 385792"/>
                                <a:gd name="connsiteX21" fmla="*/ 264570 w 510329"/>
                                <a:gd name="connsiteY21" fmla="*/ 144562 h 385792"/>
                                <a:gd name="connsiteX22" fmla="*/ 151310 w 510329"/>
                                <a:gd name="connsiteY22" fmla="*/ 102890 h 385792"/>
                                <a:gd name="connsiteX23" fmla="*/ 37968 w 510329"/>
                                <a:gd name="connsiteY23" fmla="*/ 144664 h 385792"/>
                                <a:gd name="connsiteX24" fmla="*/ 37353 w 510329"/>
                                <a:gd name="connsiteY24" fmla="*/ 146111 h 385792"/>
                                <a:gd name="connsiteX25" fmla="*/ 36707 w 510329"/>
                                <a:gd name="connsiteY25" fmla="*/ 148264 h 385792"/>
                                <a:gd name="connsiteX26" fmla="*/ 905 w 510329"/>
                                <a:gd name="connsiteY26" fmla="*/ 344007 h 385792"/>
                                <a:gd name="connsiteX27" fmla="*/ 26107 w 510329"/>
                                <a:gd name="connsiteY27" fmla="*/ 384700 h 385792"/>
                                <a:gd name="connsiteX28" fmla="*/ 28595 w 510329"/>
                                <a:gd name="connsiteY28" fmla="*/ 385187 h 385792"/>
                                <a:gd name="connsiteX29" fmla="*/ 31671 w 510329"/>
                                <a:gd name="connsiteY29" fmla="*/ 385669 h 385792"/>
                                <a:gd name="connsiteX30" fmla="*/ 33292 w 510329"/>
                                <a:gd name="connsiteY30" fmla="*/ 385792 h 385792"/>
                                <a:gd name="connsiteX31" fmla="*/ 43224 w 510329"/>
                                <a:gd name="connsiteY31" fmla="*/ 375223 h 385792"/>
                                <a:gd name="connsiteX32" fmla="*/ 34830 w 510329"/>
                                <a:gd name="connsiteY32" fmla="*/ 365454 h 385792"/>
                                <a:gd name="connsiteX33" fmla="*/ 31753 w 510329"/>
                                <a:gd name="connsiteY33" fmla="*/ 364961 h 385792"/>
                                <a:gd name="connsiteX34" fmla="*/ 22770 w 510329"/>
                                <a:gd name="connsiteY34" fmla="*/ 359228 h 385792"/>
                                <a:gd name="connsiteX35" fmla="*/ 20975 w 510329"/>
                                <a:gd name="connsiteY35" fmla="*/ 348243 h 385792"/>
                                <a:gd name="connsiteX36" fmla="*/ 56674 w 510329"/>
                                <a:gd name="connsiteY36" fmla="*/ 153105 h 385792"/>
                                <a:gd name="connsiteX37" fmla="*/ 56787 w 510329"/>
                                <a:gd name="connsiteY37" fmla="*/ 152818 h 385792"/>
                                <a:gd name="connsiteX38" fmla="*/ 151310 w 510329"/>
                                <a:gd name="connsiteY38" fmla="*/ 123403 h 385792"/>
                                <a:gd name="connsiteX39" fmla="*/ 245751 w 510329"/>
                                <a:gd name="connsiteY39" fmla="*/ 152644 h 385792"/>
                                <a:gd name="connsiteX40" fmla="*/ 271574 w 510329"/>
                                <a:gd name="connsiteY40" fmla="*/ 230592 h 385792"/>
                                <a:gd name="connsiteX41" fmla="*/ 280076 w 510329"/>
                                <a:gd name="connsiteY41" fmla="*/ 237567 h 385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510329" h="385792">
                                  <a:moveTo>
                                    <a:pt x="280076" y="237567"/>
                                  </a:moveTo>
                                  <a:cubicBezTo>
                                    <a:pt x="284020" y="238042"/>
                                    <a:pt x="287884" y="236195"/>
                                    <a:pt x="289993" y="232828"/>
                                  </a:cubicBezTo>
                                  <a:lnTo>
                                    <a:pt x="334009" y="162613"/>
                                  </a:lnTo>
                                  <a:cubicBezTo>
                                    <a:pt x="338819" y="154999"/>
                                    <a:pt x="348889" y="152725"/>
                                    <a:pt x="356503" y="157535"/>
                                  </a:cubicBezTo>
                                  <a:cubicBezTo>
                                    <a:pt x="356762" y="157699"/>
                                    <a:pt x="357018" y="157871"/>
                                    <a:pt x="357268" y="158049"/>
                                  </a:cubicBezTo>
                                  <a:cubicBezTo>
                                    <a:pt x="364353" y="163775"/>
                                    <a:pt x="365836" y="173990"/>
                                    <a:pt x="360673" y="181495"/>
                                  </a:cubicBezTo>
                                  <a:lnTo>
                                    <a:pt x="306945" y="270244"/>
                                  </a:lnTo>
                                  <a:cubicBezTo>
                                    <a:pt x="301474" y="279264"/>
                                    <a:pt x="289911" y="282443"/>
                                    <a:pt x="280599" y="277485"/>
                                  </a:cubicBezTo>
                                  <a:cubicBezTo>
                                    <a:pt x="275598" y="274822"/>
                                    <a:pt x="269386" y="276718"/>
                                    <a:pt x="266724" y="281720"/>
                                  </a:cubicBezTo>
                                  <a:cubicBezTo>
                                    <a:pt x="264061" y="286723"/>
                                    <a:pt x="265958" y="292935"/>
                                    <a:pt x="270959" y="295597"/>
                                  </a:cubicBezTo>
                                  <a:cubicBezTo>
                                    <a:pt x="289881" y="305667"/>
                                    <a:pt x="313373" y="299202"/>
                                    <a:pt x="324482" y="280869"/>
                                  </a:cubicBezTo>
                                  <a:lnTo>
                                    <a:pt x="378107" y="192295"/>
                                  </a:lnTo>
                                  <a:cubicBezTo>
                                    <a:pt x="386509" y="179314"/>
                                    <a:pt x="386245" y="162544"/>
                                    <a:pt x="377440" y="149834"/>
                                  </a:cubicBezTo>
                                  <a:lnTo>
                                    <a:pt x="507498" y="17331"/>
                                  </a:lnTo>
                                  <a:cubicBezTo>
                                    <a:pt x="511406" y="13230"/>
                                    <a:pt x="511249" y="6739"/>
                                    <a:pt x="507148" y="2831"/>
                                  </a:cubicBezTo>
                                  <a:cubicBezTo>
                                    <a:pt x="503130" y="-998"/>
                                    <a:pt x="496795" y="-935"/>
                                    <a:pt x="492854" y="2972"/>
                                  </a:cubicBezTo>
                                  <a:lnTo>
                                    <a:pt x="361165" y="137126"/>
                                  </a:lnTo>
                                  <a:cubicBezTo>
                                    <a:pt x="354655" y="134528"/>
                                    <a:pt x="347536" y="133855"/>
                                    <a:pt x="340654" y="135187"/>
                                  </a:cubicBezTo>
                                  <a:cubicBezTo>
                                    <a:pt x="330732" y="137173"/>
                                    <a:pt x="322051" y="143127"/>
                                    <a:pt x="316626" y="151670"/>
                                  </a:cubicBezTo>
                                  <a:lnTo>
                                    <a:pt x="284178" y="203454"/>
                                  </a:lnTo>
                                  <a:lnTo>
                                    <a:pt x="265237" y="146141"/>
                                  </a:lnTo>
                                  <a:lnTo>
                                    <a:pt x="264570" y="144562"/>
                                  </a:lnTo>
                                  <a:cubicBezTo>
                                    <a:pt x="249310" y="109526"/>
                                    <a:pt x="212955" y="102890"/>
                                    <a:pt x="151310" y="102890"/>
                                  </a:cubicBezTo>
                                  <a:cubicBezTo>
                                    <a:pt x="89665" y="102890"/>
                                    <a:pt x="53351" y="109526"/>
                                    <a:pt x="37968" y="144664"/>
                                  </a:cubicBezTo>
                                  <a:cubicBezTo>
                                    <a:pt x="37968" y="144664"/>
                                    <a:pt x="37558" y="145526"/>
                                    <a:pt x="37353" y="146111"/>
                                  </a:cubicBezTo>
                                  <a:cubicBezTo>
                                    <a:pt x="37083" y="146811"/>
                                    <a:pt x="36868" y="147531"/>
                                    <a:pt x="36707" y="148264"/>
                                  </a:cubicBezTo>
                                  <a:lnTo>
                                    <a:pt x="905" y="344007"/>
                                  </a:lnTo>
                                  <a:cubicBezTo>
                                    <a:pt x="-3371" y="362204"/>
                                    <a:pt x="7912" y="380423"/>
                                    <a:pt x="26107" y="384700"/>
                                  </a:cubicBezTo>
                                  <a:cubicBezTo>
                                    <a:pt x="26930" y="384894"/>
                                    <a:pt x="27760" y="385056"/>
                                    <a:pt x="28595" y="385187"/>
                                  </a:cubicBezTo>
                                  <a:lnTo>
                                    <a:pt x="31671" y="385669"/>
                                  </a:lnTo>
                                  <a:cubicBezTo>
                                    <a:pt x="32207" y="385755"/>
                                    <a:pt x="32749" y="385796"/>
                                    <a:pt x="33292" y="385792"/>
                                  </a:cubicBezTo>
                                  <a:cubicBezTo>
                                    <a:pt x="38953" y="385617"/>
                                    <a:pt x="43399" y="380884"/>
                                    <a:pt x="43224" y="375223"/>
                                  </a:cubicBezTo>
                                  <a:cubicBezTo>
                                    <a:pt x="43074" y="370396"/>
                                    <a:pt x="39578" y="366327"/>
                                    <a:pt x="34830" y="365454"/>
                                  </a:cubicBezTo>
                                  <a:lnTo>
                                    <a:pt x="31753" y="364961"/>
                                  </a:lnTo>
                                  <a:cubicBezTo>
                                    <a:pt x="28087" y="364397"/>
                                    <a:pt x="24826" y="362316"/>
                                    <a:pt x="22770" y="359228"/>
                                  </a:cubicBezTo>
                                  <a:cubicBezTo>
                                    <a:pt x="20632" y="355990"/>
                                    <a:pt x="19979" y="351993"/>
                                    <a:pt x="20975" y="348243"/>
                                  </a:cubicBezTo>
                                  <a:lnTo>
                                    <a:pt x="56674" y="153105"/>
                                  </a:lnTo>
                                  <a:lnTo>
                                    <a:pt x="56787" y="152818"/>
                                  </a:lnTo>
                                  <a:cubicBezTo>
                                    <a:pt x="65145" y="133731"/>
                                    <a:pt x="82671" y="123403"/>
                                    <a:pt x="151310" y="123403"/>
                                  </a:cubicBezTo>
                                  <a:cubicBezTo>
                                    <a:pt x="219949" y="123403"/>
                                    <a:pt x="237455" y="133731"/>
                                    <a:pt x="245751" y="152644"/>
                                  </a:cubicBezTo>
                                  <a:lnTo>
                                    <a:pt x="271574" y="230592"/>
                                  </a:lnTo>
                                  <a:cubicBezTo>
                                    <a:pt x="272817" y="234369"/>
                                    <a:pt x="276130" y="237087"/>
                                    <a:pt x="280076" y="237567"/>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513779" name="Freeform: Shape 195513779"/>
                          <wps:cNvSpPr/>
                          <wps:spPr>
                            <a:xfrm>
                              <a:off x="75995" y="353025"/>
                              <a:ext cx="153830" cy="446973"/>
                            </a:xfrm>
                            <a:custGeom>
                              <a:avLst/>
                              <a:gdLst>
                                <a:gd name="connsiteX0" fmla="*/ 143575 w 153830"/>
                                <a:gd name="connsiteY0" fmla="*/ 0 h 446973"/>
                                <a:gd name="connsiteX1" fmla="*/ 133319 w 153830"/>
                                <a:gd name="connsiteY1" fmla="*/ 10256 h 446973"/>
                                <a:gd name="connsiteX2" fmla="*/ 133319 w 153830"/>
                                <a:gd name="connsiteY2" fmla="*/ 426461 h 446973"/>
                                <a:gd name="connsiteX3" fmla="*/ 87170 w 153830"/>
                                <a:gd name="connsiteY3" fmla="*/ 426461 h 446973"/>
                                <a:gd name="connsiteX4" fmla="*/ 87170 w 153830"/>
                                <a:gd name="connsiteY4" fmla="*/ 171569 h 446973"/>
                                <a:gd name="connsiteX5" fmla="*/ 66660 w 153830"/>
                                <a:gd name="connsiteY5" fmla="*/ 171569 h 446973"/>
                                <a:gd name="connsiteX6" fmla="*/ 66660 w 153830"/>
                                <a:gd name="connsiteY6" fmla="*/ 426461 h 446973"/>
                                <a:gd name="connsiteX7" fmla="*/ 20511 w 153830"/>
                                <a:gd name="connsiteY7" fmla="*/ 426461 h 446973"/>
                                <a:gd name="connsiteX8" fmla="*/ 20511 w 153830"/>
                                <a:gd name="connsiteY8" fmla="*/ 10256 h 446973"/>
                                <a:gd name="connsiteX9" fmla="*/ 10255 w 153830"/>
                                <a:gd name="connsiteY9" fmla="*/ 0 h 446973"/>
                                <a:gd name="connsiteX10" fmla="*/ 0 w 153830"/>
                                <a:gd name="connsiteY10" fmla="*/ 10256 h 446973"/>
                                <a:gd name="connsiteX11" fmla="*/ 0 w 153830"/>
                                <a:gd name="connsiteY11" fmla="*/ 446973 h 446973"/>
                                <a:gd name="connsiteX12" fmla="*/ 153830 w 153830"/>
                                <a:gd name="connsiteY12" fmla="*/ 446973 h 446973"/>
                                <a:gd name="connsiteX13" fmla="*/ 153830 w 153830"/>
                                <a:gd name="connsiteY13" fmla="*/ 10256 h 446973"/>
                                <a:gd name="connsiteX14" fmla="*/ 143575 w 153830"/>
                                <a:gd name="connsiteY14" fmla="*/ 0 h 4469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53830" h="446973">
                                  <a:moveTo>
                                    <a:pt x="143575" y="0"/>
                                  </a:moveTo>
                                  <a:cubicBezTo>
                                    <a:pt x="137911" y="0"/>
                                    <a:pt x="133319" y="4592"/>
                                    <a:pt x="133319" y="10256"/>
                                  </a:cubicBezTo>
                                  <a:lnTo>
                                    <a:pt x="133319" y="426461"/>
                                  </a:lnTo>
                                  <a:lnTo>
                                    <a:pt x="87170" y="426461"/>
                                  </a:lnTo>
                                  <a:lnTo>
                                    <a:pt x="87170" y="171569"/>
                                  </a:lnTo>
                                  <a:lnTo>
                                    <a:pt x="66660" y="171569"/>
                                  </a:lnTo>
                                  <a:lnTo>
                                    <a:pt x="66660" y="426461"/>
                                  </a:lnTo>
                                  <a:lnTo>
                                    <a:pt x="20511" y="426461"/>
                                  </a:lnTo>
                                  <a:lnTo>
                                    <a:pt x="20511" y="10256"/>
                                  </a:lnTo>
                                  <a:cubicBezTo>
                                    <a:pt x="20511" y="4592"/>
                                    <a:pt x="15919" y="0"/>
                                    <a:pt x="10255" y="0"/>
                                  </a:cubicBezTo>
                                  <a:cubicBezTo>
                                    <a:pt x="4591" y="0"/>
                                    <a:pt x="0" y="4592"/>
                                    <a:pt x="0" y="10256"/>
                                  </a:cubicBezTo>
                                  <a:lnTo>
                                    <a:pt x="0" y="446973"/>
                                  </a:lnTo>
                                  <a:lnTo>
                                    <a:pt x="153830" y="446973"/>
                                  </a:lnTo>
                                  <a:lnTo>
                                    <a:pt x="153830" y="10256"/>
                                  </a:lnTo>
                                  <a:cubicBezTo>
                                    <a:pt x="153830" y="4592"/>
                                    <a:pt x="149239" y="0"/>
                                    <a:pt x="143575" y="0"/>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273584" name="Freeform: Shape 26273584"/>
                          <wps:cNvSpPr/>
                          <wps:spPr>
                            <a:xfrm>
                              <a:off x="89778" y="112820"/>
                              <a:ext cx="123064" cy="123076"/>
                            </a:xfrm>
                            <a:custGeom>
                              <a:avLst/>
                              <a:gdLst>
                                <a:gd name="connsiteX0" fmla="*/ 61532 w 123064"/>
                                <a:gd name="connsiteY0" fmla="*/ 123077 h 123076"/>
                                <a:gd name="connsiteX1" fmla="*/ 123064 w 123064"/>
                                <a:gd name="connsiteY1" fmla="*/ 61538 h 123076"/>
                                <a:gd name="connsiteX2" fmla="*/ 61532 w 123064"/>
                                <a:gd name="connsiteY2" fmla="*/ 0 h 123076"/>
                                <a:gd name="connsiteX3" fmla="*/ 0 w 123064"/>
                                <a:gd name="connsiteY3" fmla="*/ 61538 h 123076"/>
                                <a:gd name="connsiteX4" fmla="*/ 61532 w 123064"/>
                                <a:gd name="connsiteY4" fmla="*/ 123077 h 123076"/>
                                <a:gd name="connsiteX5" fmla="*/ 61532 w 123064"/>
                                <a:gd name="connsiteY5" fmla="*/ 20513 h 123076"/>
                                <a:gd name="connsiteX6" fmla="*/ 102553 w 123064"/>
                                <a:gd name="connsiteY6" fmla="*/ 61538 h 123076"/>
                                <a:gd name="connsiteX7" fmla="*/ 61532 w 123064"/>
                                <a:gd name="connsiteY7" fmla="*/ 102564 h 123076"/>
                                <a:gd name="connsiteX8" fmla="*/ 20511 w 123064"/>
                                <a:gd name="connsiteY8" fmla="*/ 61538 h 123076"/>
                                <a:gd name="connsiteX9" fmla="*/ 61532 w 123064"/>
                                <a:gd name="connsiteY9" fmla="*/ 20513 h 123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3064" h="123076">
                                  <a:moveTo>
                                    <a:pt x="61532" y="123077"/>
                                  </a:moveTo>
                                  <a:cubicBezTo>
                                    <a:pt x="95515" y="123077"/>
                                    <a:pt x="123064" y="95525"/>
                                    <a:pt x="123064" y="61538"/>
                                  </a:cubicBezTo>
                                  <a:cubicBezTo>
                                    <a:pt x="123064" y="27552"/>
                                    <a:pt x="95515" y="0"/>
                                    <a:pt x="61532" y="0"/>
                                  </a:cubicBezTo>
                                  <a:cubicBezTo>
                                    <a:pt x="27549" y="0"/>
                                    <a:pt x="0" y="27552"/>
                                    <a:pt x="0" y="61538"/>
                                  </a:cubicBezTo>
                                  <a:cubicBezTo>
                                    <a:pt x="40" y="95508"/>
                                    <a:pt x="27565" y="123037"/>
                                    <a:pt x="61532" y="123077"/>
                                  </a:cubicBezTo>
                                  <a:close/>
                                  <a:moveTo>
                                    <a:pt x="61532" y="20513"/>
                                  </a:moveTo>
                                  <a:cubicBezTo>
                                    <a:pt x="84187" y="20513"/>
                                    <a:pt x="102553" y="38881"/>
                                    <a:pt x="102553" y="61538"/>
                                  </a:cubicBezTo>
                                  <a:cubicBezTo>
                                    <a:pt x="102553" y="84196"/>
                                    <a:pt x="84187" y="102564"/>
                                    <a:pt x="61532" y="102564"/>
                                  </a:cubicBezTo>
                                  <a:cubicBezTo>
                                    <a:pt x="38877" y="102564"/>
                                    <a:pt x="20511" y="84196"/>
                                    <a:pt x="20511" y="61538"/>
                                  </a:cubicBezTo>
                                  <a:cubicBezTo>
                                    <a:pt x="20511" y="38881"/>
                                    <a:pt x="38877" y="20513"/>
                                    <a:pt x="61532" y="20513"/>
                                  </a:cubicBezTo>
                                  <a:close/>
                                </a:path>
                              </a:pathLst>
                            </a:custGeom>
                            <a:solidFill>
                              <a:srgbClr val="000000"/>
                            </a:solidFill>
                            <a:ln w="1022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2E02FA4" id="Group 1" o:spid="_x0000_s1026" alt="This graphic calls out four of the trends influencing labour market performance namely: population growth; the ageing population and the role of the health and support workforce; the high-skilled, service based workforce and the clean energy workforce" style="width:434.2pt;height:181.5pt;mso-position-horizontal-relative:char;mso-position-vertical-relative:line" coordsize="55143,230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">
                <v:group id="_x0000_s1027" style="position:absolute;width:55143;height:23050" coordsize="46158,2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">
                  <v:group id="Group 22" o:spid="_x0000_s1028" alt="Internet jobs boards 63%" style="position:absolute;width:10902;height:22123" coordorigin=",58" coordsize="19209,3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112053784" o:spid="_x0000_s1029" style="position:absolute;top:58;width:19209;height:37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" filled="f" stroked="f" strokeweight="2pt">
                      <v:shadow color="black"/>
                      <v:textbox inset=".73197mm,.73197mm,.73197mm,.73197mm"/>
                    </v:rect>
                    <v:shapetype id="_x0000_t202" coordsize="21600,21600" o:spt="202" path="m,l,21600r21600,l21600,xe">
                      <v:stroke joinstyle="miter"/>
                      <v:path gradientshapeok="t" o:connecttype="rect"/>
                    </v:shapetype>
                    <v:shape id="Text Box 24" o:spid="_x0000_s1030" type="#_x0000_t202" style="position:absolute;left:436;top:16404;width:18773;height:14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" filled="f" stroked="f" strokeweight="2pt">
                      <v:shadow color="black"/>
                      <v:textbox inset=".73197mm,.73197mm,.73197mm,.73197mm">
                        <w:txbxContent>
                          <w:p w14:paraId="0370C538"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Population Growth </w:t>
                            </w:r>
                          </w:p>
                        </w:txbxContent>
                      </v:textbox>
                    </v:shape>
                    <v:shape id="Graphic 362780723" o:spid="_x0000_s1031" type="#_x0000_t75" alt="Business Growth outline" style="position:absolute;left:1693;top:2868;width:16020;height:1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" strokeweight="2pt">
                      <v:imagedata r:id="rId50" o:title="Business Growth outline"/>
                      <v:shadow color="black"/>
                    </v:shape>
                  </v:group>
                  <v:group id="Group 12" o:spid="_x0000_s1032" alt="Social media, e.g. jobs froups on Facebook, 25%" style="position:absolute;left:23622;width:10909;height:22123" coordorigin="29645" coordsize="19229,3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061435008" o:spid="_x0000_s1033" style="position:absolute;left:29645;width:19229;height:37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" filled="f" stroked="f" strokeweight="2pt">
                      <v:shadow color="black"/>
                      <v:textbox inset=".73197mm,.73197mm,.73197mm,.73197mm"/>
                    </v:rect>
                    <v:shape id="Text Box 16" o:spid="_x0000_s1034" type="#_x0000_t202" style="position:absolute;left:30132;top:20870;width:18313;height:15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" filled="f" stroked="f" strokeweight="2pt">
                      <v:shadow color="black"/>
                      <v:textbox inset=".73197mm,.73197mm,.73197mm,.73197mm">
                        <w:txbxContent>
                          <w:p w14:paraId="0274FAE3"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High Skilled, Service-Based Workforce </w:t>
                            </w:r>
                          </w:p>
                        </w:txbxContent>
                      </v:textbox>
                    </v:shape>
                  </v:group>
                  <v:group id="Group 35" o:spid="_x0000_s1035" alt="Recruitment agency &amp; government employment services 15%" style="position:absolute;left:35242;width:10916;height:22117" coordorigin="45370" coordsize="12306,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45609454" o:spid="_x0000_s1036" style="position:absolute;left:45370;width:12306;height:2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" filled="f" stroked="f" strokeweight="2pt">
                      <v:shadow color="black"/>
                      <v:textbox inset=".73197mm,.73197mm,.73197mm,.73197mm"/>
                    </v:rect>
                    <v:shape id="Text Box 5" o:spid="_x0000_s1037" type="#_x0000_t202" style="position:absolute;left:45794;top:13208;width:11313;height:9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" filled="f" stroked="f" strokeweight="2pt">
                      <v:shadow color="black"/>
                      <v:textbox inset=".73197mm,.73197mm,.73197mm,.73197mm">
                        <w:txbxContent>
                          <w:p w14:paraId="3D0AF9B7"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Clean Energy Workforce </w:t>
                            </w:r>
                          </w:p>
                        </w:txbxContent>
                      </v:textbox>
                    </v:shape>
                  </v:group>
                  <v:group id="Group 17" o:spid="_x0000_s1038" alt="Word of mouth 32%" style="position:absolute;left:11334;width:32449;height:22117" coordsize="52785,3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931819593" o:spid="_x0000_s1039" style="position:absolute;width:19213;height:37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" filled="f" stroked="f" strokeweight="2pt">
                      <v:shadow color="black"/>
                      <v:textbox inset=".73197mm,.73197mm,.73197mm,.73197mm"/>
                    </v:rect>
                    <v:group id="Graphic 1536855593" o:spid="_x0000_s1040" alt="Electrician male outline" style="position:absolute;left:41362;top:3588;width:11423;height:13383" coordorigin="41362,3588" coordsize="11422,1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">
                      <v:shape id="Freeform: Shape 1731964465" o:spid="_x0000_s1041" style="position:absolute;left:47704;top:4531;width:670;height:1586;visibility:visible;mso-wrap-style:square;v-text-anchor:middle" coordsize="67000,15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" path="m63140,58982r-20993,l57274,4949c57855,2881,56662,731,54610,146,54272,50,53922,2,53570,l16369,c14475,-2,12859,1383,12556,3268l53,81080v-349,2111,1065,4109,3158,4461c3427,85576,3646,85595,3866,85594r20838,l7833,153742v-517,2083,739,4197,2806,4718c12321,158885,14078,158125,14933,156605l66490,64787v1057,-1857,421,-4224,-1419,-5290c64483,59156,63818,58979,63140,58982xe" fillcolor="black" stroked="f" strokeweight=".26183mm">
                        <v:stroke joinstyle="miter"/>
                        <v:path arrowok="t" o:connecttype="custom" o:connectlocs="63140,58982;42147,58982;57274,4949;54610,146;53570,0;16369,0;12556,3268;53,81080;3211,85541;3866,85594;24704,85594;7833,153742;10639,158460;14933,156605;66490,64787;65071,59497;63140,58982" o:connectangles="0,0,0,0,0,0,0,0,0,0,0,0,0,0,0,0,0"/>
                      </v:shape>
                      <v:shape id="Freeform: Shape 2023434315" o:spid="_x0000_s1042" style="position:absolute;left:43214;top:13859;width:1081;height:2145;visibility:visible;mso-wrap-style:square;v-text-anchor:middle" coordsize="108052,21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" path="m30872,l,,,171716r6869,4669c38263,194666,72460,207546,108053,214497r,-31451c81198,177079,55247,167555,30872,154722l30872,xe" fillcolor="black" stroked="f" strokeweight=".26183mm">
                        <v:stroke joinstyle="miter"/>
                        <v:path arrowok="t" o:connecttype="custom" o:connectlocs="30872,0;0,0;0,171716;6869,176385;108053,214497;108053,183046;30872,154722" o:connectangles="0,0,0,0,0,0,0"/>
                      </v:shape>
                      <v:shape id="Freeform: Shape 467350186" o:spid="_x0000_s1043" style="position:absolute;left:43214;top:3588;width:9571;height:12762;visibility:visible;mso-wrap-style:square;v-text-anchor:middle" coordsize="957037,127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" path="m904987,828343c866259,797481,823376,772331,777624,753643r,c763001,747345,748156,741349,733090,735653l636615,696747v-11614,-4759,-19201,-16151,-19172,-28791l617443,622094v58247,-43953,92561,-112995,92617,-186345l710060,326812r61744,c780330,326812,787240,319844,787240,311249v,-8595,-6910,-15562,-15436,-15562l732936,295687r,-26176l732936,268530c727693,179939,677113,100477,599414,58764r-8799,-4762c581999,22167,553343,62,520613,l436702,c403786,60,375012,22399,366545,54469r-7980,4326c280861,100504,230280,179967,225043,268561r,981l225043,295687r-39810,c176708,295687,169797,302654,169797,311249v,8595,6911,15563,15436,15563l246977,326812r,108937c247044,509037,281313,578021,339486,621969r,45972c339517,680563,331961,691946,320376,696731r-83154,34082c170539,752443,107989,785350,52251,828125,19916,853578,713,892393,,933748r30872,c31593,901862,46514,871997,71500,852434v30074,-24142,63022,-44402,98081,-60305l177299,789017,152030,951753v10493,7019,19696,15824,27198,26021l210687,775322r37664,-15438l291742,742065r15745,-6459l432226,1014921r,90014l200669,1104935r,31125l432210,1136060r,109092c354760,1243900,277448,1238090,200669,1227753r,30783c294432,1270754,388900,1276655,483443,1276199v202212,,402773,-24433,467296,-73236l957037,1198309r,-264873c956255,892294,937137,853694,904987,828343xm649581,735529r15714,6333l721977,764755r25500,10302l797814,1104935r-272910,l524904,1014921,649581,735529xm548845,186018v6431,23,12039,-4406,13553,-10707l584750,86185v68084,36852,112450,106553,117314,184306l702064,295687r-446211,l255853,270491c260717,192738,305083,123037,373167,86185r21611,89126c396292,181612,401900,186041,408331,186018r4631,-202c420408,183783,424810,176049,422794,168541l396213,63090v4659,-18735,21332,-31897,40489,-31965l520505,31125v19162,66,35839,13227,40504,31965l534474,168541v-75,262,-138,526,-185,794c532676,176898,537450,184347,544951,185973v48,9,96,20,143,30l548845,186018xm277850,435749r,-108937l679188,326812r,108937c679188,547483,589345,638061,478519,638061v-110827,,-200669,-90578,-200669,-202312xm335997,723545v21080,-10369,34457,-31942,34469,-55589l370466,642014v67585,36207,148595,36207,216182,l586648,667894v-63,23689,13291,45338,34392,55760l612982,741722v-43363,14422,-88805,21464,-134463,20838c432874,763169,387447,756110,344101,741676r-8104,-18131xm494032,1245713v-10291,,-20581,-32,-30872,-94l463160,1008230,361004,779461v77242,18944,157864,18944,235107,l494032,1008230r,237483xm802754,1221809v-91864,15170,-184764,23068,-277850,23623l524904,1136060r277664,l802754,1137258r,84551xm926165,1182358v-28855,15993,-60074,27201,-92462,33195l833703,1136060,780911,789017v37544,16519,72794,37900,104858,63603c910650,872161,925487,901957,926165,933748r,248610xe" fillcolor="black" stroked="f" strokeweight=".26183mm">
                        <v:stroke joinstyle="miter"/>
                        <v:path arrowok="t" o:connecttype="custom" o:connectlocs="904987,828343;777624,753643;777624,753643;733090,735653;636615,696747;617443,667956;617443,622094;710060,435749;710060,326812;771804,326812;787240,311249;771804,295687;732936,295687;732936,269511;732936,268530;599414,58764;590615,54002;520613,0;436702,0;366545,54469;358565,58795;225043,268561;225043,269542;225043,295687;185233,295687;169797,311249;185233,326812;246977,326812;246977,435749;339486,621969;339486,667941;320376,696731;237222,730813;52251,828125;0,933748;30872,933748;71500,852434;169581,792129;177299,789017;152030,951753;179228,977774;210687,775322;248351,759884;291742,742065;307487,735606;432226,1014921;432226,1104935;200669,1104935;200669,1136060;432210,1136060;432210,1245152;200669,1227753;200669,1258536;483443,1276199;950739,1202963;957037,1198309;957037,933436;904987,828343;649581,735529;665295,741862;721977,764755;747477,775057;797814,1104935;524904,1104935;524904,1014921;548845,186018;562398,175311;584750,86185;702064,270491;702064,295687;255853,295687;255853,270491;373167,86185;394778,175311;408331,186018;412962,185816;422794,168541;396213,63090;436702,31125;520505,31125;561009,63090;534474,168541;534289,169335;544951,185973;545094,186003;277850,435749;277850,326812;679188,326812;679188,435749;478519,638061;277850,435749;335997,723545;370466,667956;370466,642014;586648,642014;586648,667894;621040,723654;612982,741722;478519,762560;344101,741676;494032,1245713;463160,1245619;463160,1008230;361004,779461;596111,779461;494032,1008230;802754,1221809;524904,1245432;524904,1136060;802568,1136060;802754,1137258;926165,1182358;833703,1215553;833703,1136060;780911,789017;885769,852620;926165,933748" o:connectangles="0,0,0,0,0,0,0,0,0,0,0,0,0,0,0,0,0,0,0,0,0,0,0,0,0,0,0,0,0,0,0,0,0,0,0,0,0,0,0,0,0,0,0,0,0,0,0,0,0,0,0,0,0,0,0,0,0,0,0,0,0,0,0,0,0,0,0,0,0,0,0,0,0,0,0,0,0,0,0,0,0,0,0,0,0,0,0,0,0,0,0,0,0,0,0,0,0,0,0,0,0,0,0,0,0,0,0,0,0,0,0,0,0,0,0,0,0"/>
                      </v:shape>
                      <v:shape id="Freeform: Shape 631602827" o:spid="_x0000_s1044" style="position:absolute;left:41362;top:8256;width:3550;height:8715;visibility:visible;mso-wrap-style:square;v-text-anchor:middle" coordsize="355029,87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" path="m277850,497999r-108053,c144221,497999,123489,477097,123489,451311r,-187994c176603,255587,216042,209729,216105,155625r,-62250l169797,93375r,-77813c169797,6967,162886,,154361,v-8526,,-15436,6967,-15436,15562l138925,93375r-61745,l77180,15562c77180,6967,70270,,61744,,53219,,46308,6967,46308,15562r,77813l,93375r,62250c63,209729,39502,255587,92617,263317r,187994c92667,494265,127192,529072,169797,529124r108053,c303426,529124,324158,550026,324158,575811r,280124c324158,864530,331069,871498,339594,871498v8525,,15436,-6968,15436,-15563l355030,575811v-51,-42954,-34575,-77761,-77180,-77812xm30872,155625r,-31125l185233,124500r,31125c185233,198599,150678,233437,108053,233437v-42626,,-77181,-34838,-77181,-77812xe" fillcolor="black" stroked="f" strokeweight=".26183mm">
                        <v:stroke joinstyle="miter"/>
                        <v:path arrowok="t" o:connecttype="custom" o:connectlocs="277850,497999;169797,497999;123489,451311;123489,263317;216105,155625;216105,93375;169797,93375;169797,15562;154361,0;138925,15562;138925,93375;77180,93375;77180,15562;61744,0;46308,15562;46308,93375;0,93375;0,155625;92617,263317;92617,451311;169797,529124;277850,529124;324158,575811;324158,855935;339594,871498;355030,855935;355030,575811;277850,497999;30872,155625;30872,124500;185233,124500;185233,155625;108053,233437;30872,155625" o:connectangles="0,0,0,0,0,0,0,0,0,0,0,0,0,0,0,0,0,0,0,0,0,0,0,0,0,0,0,0,0,0,0,0,0,0"/>
                      </v:shape>
                    </v:group>
                    <v:shape id="Text Box 20" o:spid="_x0000_s1045" type="#_x0000_t202" style="position:absolute;left:844;top:18833;width:17810;height:18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" filled="f" stroked="f" strokeweight="2pt">
                      <v:shadow color="black"/>
                      <v:textbox inset=".73197mm,.73197mm,.73197mm,.73197mm">
                        <w:txbxContent>
                          <w:p w14:paraId="3F12E72C"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Ageing Population - Role of Health and Support Workforce</w:t>
                            </w:r>
                          </w:p>
                          <w:p w14:paraId="533B5687" w14:textId="77777777" w:rsidR="00C9084F" w:rsidRDefault="00C9084F" w:rsidP="00C9084F">
                            <w:pPr>
                              <w:kinsoku w:val="0"/>
                              <w:overflowPunct w:val="0"/>
                              <w:jc w:val="center"/>
                              <w:textAlignment w:val="baseline"/>
                              <w:rPr>
                                <w:rFonts w:ascii="Segoe UI" w:hAnsi="Segoe UI"/>
                                <w:b/>
                                <w:bCs/>
                                <w:color w:val="FFFFFF"/>
                                <w:kern w:val="24"/>
                                <w:sz w:val="23"/>
                                <w:szCs w:val="23"/>
                              </w:rPr>
                            </w:pPr>
                            <w:r>
                              <w:rPr>
                                <w:rFonts w:ascii="Segoe UI" w:hAnsi="Segoe UI"/>
                                <w:b/>
                                <w:bCs/>
                                <w:color w:val="FFFFFF"/>
                                <w:kern w:val="24"/>
                                <w:sz w:val="23"/>
                                <w:szCs w:val="23"/>
                              </w:rPr>
                              <w:t xml:space="preserve">High Skilled, Service-Based Workforce </w:t>
                            </w:r>
                          </w:p>
                        </w:txbxContent>
                      </v:textbox>
                    </v:shape>
                  </v:group>
                </v:group>
                <v:shape id="Graphic 1" o:spid="_x0000_s1046" type="#_x0000_t75" alt="Gears outline" style="position:absolute;left:16478;top:1714;width:8636;height:8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">
                  <v:imagedata r:id="rId51" o:title="Gears outline"/>
                </v:shape>
                <v:group id="Graphic 1" o:spid="_x0000_s1047" alt="Classroom outline" style="position:absolute;left:30765;top:2952;width:8555;height:8000" coordsize="8555,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Shape 695439293" o:spid="_x0000_s1048" style="position:absolute;left:3070;top:5600;width:932;height:931;visibility:visible;mso-wrap-style:square;v-text-anchor:middle" coordsize="93138,9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" path="m,46564c-6,72286,20840,93142,46559,93148v25720,6,46574,-20842,46580,-46564c93145,20863,72299,6,46580,v-7,,-14,,-21,c20848,6,6,20849,,46564xm72618,46564v6,14394,-11656,26066,-26049,26072c32177,72641,20507,60978,20500,46584,20494,32191,32157,20518,46549,20513v7,,13,,20,c60946,20535,72595,32186,72618,46564xe" fillcolor="black" stroked="f" strokeweight=".28389mm">
                    <v:stroke joinstyle="miter"/>
                    <v:path arrowok="t" o:connecttype="custom" o:connectlocs="0,46564;46559,93148;93139,46584;46580,0;46559,0;0,46564;72618,46564;46569,72636;20500,46584;46549,20513;46569,20513;72618,46564" o:connectangles="0,0,0,0,0,0,0,0,0,0,0,0"/>
                  </v:shape>
                  <v:shape id="Freeform: Shape 585865739" o:spid="_x0000_s1049" style="position:absolute;left:2606;top:6659;width:1846;height:930;visibility:visible;mso-wrap-style:square;v-text-anchor:middle" coordsize="184596,9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" path="m175397,27897c162015,17583,146704,10049,130366,5744,118034,1957,105208,22,92308,,79425,193,66627,2125,54261,5744,38104,10523,22877,18014,9230,27897,3535,32396,150,39205,,46461l,92995r184596,l184596,46431v-152,-7240,-3525,-14035,-9199,-18534xm164116,72482r-143646,l20470,46841v17,-1045,466,-2036,1241,-2739c33331,35769,46264,29439,59973,25374,70519,22297,81427,20645,92411,20462v10812,30,21560,1662,31894,4841l125095,25528v13621,3561,26388,9822,37544,18410c163429,44537,163946,45428,164075,46410r41,26072xe" fillcolor="black" stroked="f" strokeweight=".28389mm">
                    <v:stroke joinstyle="miter"/>
                    <v:path arrowok="t" o:connecttype="custom" o:connectlocs="175397,27897;130366,5744;92308,0;54261,5744;9230,27897;0,46461;0,92995;184596,92995;184596,46431;175397,27897;164116,72482;20470,72482;20470,46841;21711,44102;59973,25374;92411,20462;124305,25303;125095,25528;162639,43938;164075,46410" o:connectangles="0,0,0,0,0,0,0,0,0,0,0,0,0,0,0,0,0,0,0,0"/>
                  </v:shape>
                  <v:shape id="Freeform: Shape 1277548655" o:spid="_x0000_s1050" style="position:absolute;left:5108;top:5600;width:931;height:931;visibility:visible;mso-wrap-style:square;v-text-anchor:middle" coordsize="93138,9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" path="m,46564c-6,72286,20840,93142,46559,93148v25720,6,46575,-20842,46580,-46564c93145,20863,72299,6,46580,v-3,,-7,,-11,c20856,6,11,20848,,46564xm72628,46564v6,14394,-11656,26066,-26048,26072c32187,72641,20517,60978,20511,46584,20504,32191,32167,20518,46559,20513v3,,7,,10,c60938,20547,72575,32194,72597,46564r31,xe" fillcolor="black" stroked="f" strokeweight=".28389mm">
                    <v:stroke joinstyle="miter"/>
                    <v:path arrowok="t" o:connecttype="custom" o:connectlocs="0,46564;46559,93148;93139,46584;46580,0;46569,0;0,46564;72628,46564;46580,72636;20511,46584;46559,20513;46569,20513;72597,46564" o:connectangles="0,0,0,0,0,0,0,0,0,0,0,0"/>
                  </v:shape>
                  <v:shape id="Freeform: Shape 558149457" o:spid="_x0000_s1051" style="position:absolute;left:4657;top:6659;width:1846;height:930;visibility:visible;mso-wrap-style:square;v-text-anchor:middle" coordsize="184596,9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" path="m175387,27897c162007,17585,146699,10052,130366,5744,118034,1958,105208,23,92308,,79426,193,66627,2125,54261,5744,38103,10521,22876,18012,9230,27897,3535,32396,150,39205,,46461l,92995r184596,l184596,46431v-154,-7242,-3531,-14037,-9209,-18534xm164106,72482r-143575,l20531,46841v22,-1046,475,-2037,1251,-2739c33398,35767,46327,29437,60035,25374,70580,22298,81489,20646,92472,20462v10816,30,21567,1662,31905,4841l125166,25528v13619,3559,26383,9820,37535,18410c163491,44537,164007,45428,164137,46410r-31,26072xe" fillcolor="black" stroked="f" strokeweight=".28389mm">
                    <v:stroke joinstyle="miter"/>
                    <v:path arrowok="t" o:connecttype="custom" o:connectlocs="175387,27897;130366,5744;92308,0;54261,5744;9230,27897;0,46461;0,92995;184596,92995;184596,46431;175387,27897;164106,72482;20531,72482;20531,46841;21782,44102;60035,25374;92472,20462;124377,25303;125166,25528;162701,43938;164137,46410" o:connectangles="0,0,0,0,0,0,0,0,0,0,0,0,0,0,0,0,0,0,0,0"/>
                  </v:shape>
                  <v:shape id="Freeform: Shape 506037110" o:spid="_x0000_s1052" style="position:absolute;left:7159;top:5600;width:931;height:931;visibility:visible;mso-wrap-style:square;v-text-anchor:middle" coordsize="93138,93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" path="m,46564c-5,72286,20840,93142,46559,93148v25720,6,46575,-20842,46580,-46564c93145,20863,72299,6,46580,v-3,,-7,,-11,c20856,6,11,20848,,46564xm72618,46564v6,14394,-11656,26066,-26049,26072c32177,72641,20507,60978,20500,46584,20495,32191,32157,20518,46549,20513v7,,13,,20,c60948,20530,72601,32183,72618,46564xe" fillcolor="black" stroked="f" strokeweight=".28389mm">
                    <v:stroke joinstyle="miter"/>
                    <v:path arrowok="t" o:connecttype="custom" o:connectlocs="0,46564;46559,93148;93139,46584;46580,0;46569,0;0,46564;72618,46564;46569,72636;20500,46584;46549,20513;46569,20513;72618,46564" o:connectangles="0,0,0,0,0,0,0,0,0,0,0,0"/>
                  </v:shape>
                  <v:shape id="Freeform: Shape 507970493" o:spid="_x0000_s1053" style="position:absolute;left:6709;top:6659;width:1846;height:930;visibility:visible;mso-wrap-style:square;v-text-anchor:middle" coordsize="184596,9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" path="m175387,27897c162004,17583,146693,10049,130356,5744,118027,1958,105205,23,92308,,79421,193,66621,2124,54251,5744,38095,10521,22871,18012,9230,27897,3529,32391,142,39203,,46461l,92995r184596,l184596,46431v-154,-7242,-3531,-14037,-9209,-18534xm164106,72482r-143575,l20531,46841v18,-1045,467,-2036,1241,-2739c33392,35769,46325,29439,60035,25374,70580,22297,81489,20645,92472,20462v10813,30,21560,1662,31894,4841l125156,25528v13621,3561,26388,9822,37545,18410c163491,44537,164007,45428,164137,46410r-31,26072xe" fillcolor="black" stroked="f" strokeweight=".28389mm">
                    <v:stroke joinstyle="miter"/>
                    <v:path arrowok="t" o:connecttype="custom" o:connectlocs="175387,27897;130356,5744;92308,0;54251,5744;9230,27897;0,46461;0,92995;184596,92995;184596,46431;175387,27897;164106,72482;20531,72482;20531,46841;21772,44102;60035,25374;92472,20462;124366,25303;125156,25528;162701,43938;164137,46410" o:connectangles="0,0,0,0,0,0,0,0,0,0,0,0,0,0,0,0,0,0,0,0"/>
                  </v:shape>
                  <v:shape id="Freeform: Shape 604280203" o:spid="_x0000_s1054" style="position:absolute;left:1580;width:6051;height:4307;visibility:visible;mso-wrap-style:square;v-text-anchor:middle" coordsize="605064,43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" path="m20511,41026v,-11330,9182,-20513,20510,-20513l564043,20513v11328,,20511,9183,20511,20513l584554,389743v,11329,-9183,20512,-20511,20512l217034,410255r-12420,20513l564043,430768v22655,,41022,-18368,41022,-41025l605065,41026c605065,18368,586698,,564043,l41021,c18366,,,18368,,41026l,82390v6958,472,13840,1739,20511,3774l20511,41026xe" fillcolor="black" stroked="f" strokeweight=".28389mm">
                    <v:stroke joinstyle="miter"/>
                    <v:path arrowok="t" o:connecttype="custom" o:connectlocs="20511,41026;41021,20513;564043,20513;584554,41026;584554,389743;564043,410255;217034,410255;204614,430768;564043,430768;605065,389743;605065,41026;564043,0;41021,0;0,41026;0,82390;20511,86164" o:connectangles="0,0,0,0,0,0,0,0,0,0,0,0,0,0,0,0"/>
                  </v:shape>
                  <v:shape id="Freeform: Shape 2055730661" o:spid="_x0000_s1055" style="position:absolute;top:1535;width:5103;height:3858;visibility:visible;mso-wrap-style:square;v-text-anchor:middle" coordsize="510329,385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" path="m280076,237567v3944,475,7808,-1372,9917,-4739l334009,162613v4810,-7614,14880,-9888,22494,-5078c356762,157699,357018,157871,357268,158049v7085,5726,8568,15941,3405,23446l306945,270244v-5471,9020,-17034,12199,-26346,7241c275598,274822,269386,276718,266724,281720v-2663,5003,-766,11215,4235,13877c289881,305667,313373,299202,324482,280869r53625,-88574c386509,179314,386245,162544,377440,149834l507498,17331v3908,-4101,3751,-10592,-350,-14500c503130,-998,496795,-935,492854,2972l361165,137126v-6510,-2598,-13629,-3271,-20511,-1939c330732,137173,322051,143127,316626,151670r-32448,51784l265237,146141r-667,-1579c249310,109526,212955,102890,151310,102890v-61645,,-97959,6636,-113342,41774c37968,144664,37558,145526,37353,146111v-270,700,-485,1420,-646,2153l905,344007v-4276,18197,7007,36416,25202,40693c26930,384894,27760,385056,28595,385187r3076,482c32207,385755,32749,385796,33292,385792v5661,-175,10107,-4908,9932,-10569c43074,370396,39578,366327,34830,365454r-3077,-493c28087,364397,24826,362316,22770,359228v-2138,-3238,-2791,-7235,-1795,-10985l56674,153105r113,-287c65145,133731,82671,123403,151310,123403v68639,,86145,10328,94441,29241l271574,230592v1243,3777,4556,6495,8502,6975xe" fillcolor="black" stroked="f" strokeweight=".28389mm">
                    <v:stroke joinstyle="miter"/>
                    <v:path arrowok="t" o:connecttype="custom" o:connectlocs="280076,237567;289993,232828;334009,162613;356503,157535;357268,158049;360673,181495;306945,270244;280599,277485;266724,281720;270959,295597;324482,280869;378107,192295;377440,149834;507498,17331;507148,2831;492854,2972;361165,137126;340654,135187;316626,151670;284178,203454;265237,146141;264570,144562;151310,102890;37968,144664;37353,146111;36707,148264;905,344007;26107,384700;28595,385187;31671,385669;33292,385792;43224,375223;34830,365454;31753,364961;22770,359228;20975,348243;56674,153105;56787,152818;151310,123403;245751,152644;271574,230592;280076,237567" o:connectangles="0,0,0,0,0,0,0,0,0,0,0,0,0,0,0,0,0,0,0,0,0,0,0,0,0,0,0,0,0,0,0,0,0,0,0,0,0,0,0,0,0,0"/>
                  </v:shape>
                  <v:shape id="Freeform: Shape 195513779" o:spid="_x0000_s1056" style="position:absolute;left:759;top:3530;width:1539;height:4469;visibility:visible;mso-wrap-style:square;v-text-anchor:middle" coordsize="153830,44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" path="m143575,v-5664,,-10256,4592,-10256,10256l133319,426461r-46149,l87170,171569r-20510,l66660,426461r-46149,l20511,10256c20511,4592,15919,,10255,,4591,,,4592,,10256l,446973r153830,l153830,10256c153830,4592,149239,,143575,xe" fillcolor="black" stroked="f" strokeweight=".28389mm">
                    <v:stroke joinstyle="miter"/>
                    <v:path arrowok="t" o:connecttype="custom" o:connectlocs="143575,0;133319,10256;133319,426461;87170,426461;87170,171569;66660,171569;66660,426461;20511,426461;20511,10256;10255,0;0,10256;0,446973;153830,446973;153830,10256;143575,0" o:connectangles="0,0,0,0,0,0,0,0,0,0,0,0,0,0,0"/>
                  </v:shape>
                  <v:shape id="Freeform: Shape 26273584" o:spid="_x0000_s1057" style="position:absolute;left:897;top:1128;width:1231;height:1230;visibility:visible;mso-wrap-style:square;v-text-anchor:middle" coordsize="123064,12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" path="m61532,123077v33983,,61532,-27552,61532,-61539c123064,27552,95515,,61532,,27549,,,27552,,61538v40,33970,27565,61499,61532,61539xm61532,20513v22655,,41021,18368,41021,41025c102553,84196,84187,102564,61532,102564v-22655,,-41021,-18368,-41021,-41026c20511,38881,38877,20513,61532,20513xe" fillcolor="black" stroked="f" strokeweight=".28389mm">
                    <v:stroke joinstyle="miter"/>
                    <v:path arrowok="t" o:connecttype="custom" o:connectlocs="61532,123077;123064,61538;61532,0;0,61538;61532,123077;61532,20513;102553,61538;61532,102564;20511,61538;61532,20513" o:connectangles="0,0,0,0,0,0,0,0,0,0"/>
                  </v:shape>
                </v:group>
                <w10:anchorlock/>
              </v:group>
            </w:pict>
          </mc:Fallback>
        </mc:AlternateContent>
      </w:r>
    </w:p>
    <w:p w14:paraId="6451C3ED" w14:textId="662D3314" w:rsidR="00C9084F" w:rsidRPr="00204280" w:rsidRDefault="005812F0" w:rsidP="00204280">
      <w:pPr>
        <w:pStyle w:val="Heading3"/>
        <w:rPr>
          <w:rFonts w:cs="Arial"/>
        </w:rPr>
      </w:pPr>
      <w:bookmarkStart w:id="29" w:name="_Toc171937412"/>
      <w:r>
        <w:rPr>
          <w:rFonts w:cs="Arial"/>
        </w:rPr>
        <w:t>Coastal regions have benefited from strong population growth</w:t>
      </w:r>
      <w:bookmarkEnd w:id="29"/>
      <w:r w:rsidR="008F2FEE">
        <w:rPr>
          <w:rStyle w:val="FootnoteReference"/>
          <w:rFonts w:cs="Arial"/>
        </w:rPr>
        <w:footnoteReference w:id="11"/>
      </w:r>
    </w:p>
    <w:p w14:paraId="2FD650F6" w14:textId="2D591678" w:rsidR="00C9084F" w:rsidRPr="009C6048" w:rsidRDefault="00C9084F" w:rsidP="006A4F64">
      <w:pPr>
        <w:rPr>
          <w:rFonts w:eastAsia="Times New Roman"/>
        </w:rPr>
      </w:pPr>
      <w:r w:rsidRPr="009C6048">
        <w:t xml:space="preserve">Population growth (and decline) has important social, economic and policy implications. Population growth </w:t>
      </w:r>
      <w:r w:rsidR="00A91432">
        <w:rPr>
          <w:rFonts w:eastAsia="Times New Roman"/>
        </w:rPr>
        <w:t>can</w:t>
      </w:r>
      <w:r w:rsidR="00A91432" w:rsidRPr="009C6048">
        <w:rPr>
          <w:rFonts w:eastAsia="Times New Roman"/>
        </w:rPr>
        <w:t xml:space="preserve"> </w:t>
      </w:r>
      <w:r w:rsidRPr="009C6048">
        <w:rPr>
          <w:rFonts w:eastAsia="Times New Roman"/>
        </w:rPr>
        <w:t xml:space="preserve">generally </w:t>
      </w:r>
      <w:r w:rsidR="007F5515">
        <w:rPr>
          <w:rFonts w:eastAsia="Times New Roman"/>
        </w:rPr>
        <w:t xml:space="preserve">be </w:t>
      </w:r>
      <w:r w:rsidRPr="009C6048">
        <w:rPr>
          <w:rFonts w:eastAsia="Times New Roman"/>
        </w:rPr>
        <w:t xml:space="preserve">seen as a positive trend </w:t>
      </w:r>
      <w:r w:rsidR="007F5515">
        <w:rPr>
          <w:rFonts w:eastAsia="Times New Roman"/>
        </w:rPr>
        <w:t>when</w:t>
      </w:r>
      <w:r w:rsidRPr="009C6048">
        <w:rPr>
          <w:rFonts w:eastAsia="Times New Roman"/>
        </w:rPr>
        <w:t xml:space="preserve"> it brings with it increased economic activity which can lead to stronger labour market outcomes</w:t>
      </w:r>
      <w:r w:rsidR="0062756B">
        <w:rPr>
          <w:rFonts w:eastAsia="Times New Roman"/>
        </w:rPr>
        <w:t>, although it can also pose some challenges</w:t>
      </w:r>
      <w:r w:rsidR="00A91432">
        <w:rPr>
          <w:rFonts w:eastAsia="Times New Roman"/>
        </w:rPr>
        <w:t xml:space="preserve"> </w:t>
      </w:r>
      <w:r w:rsidR="002B7D55">
        <w:rPr>
          <w:rFonts w:eastAsia="Times New Roman"/>
        </w:rPr>
        <w:t xml:space="preserve">if the supply of labour does not match the </w:t>
      </w:r>
      <w:r w:rsidR="001649B8">
        <w:rPr>
          <w:rFonts w:eastAsia="Times New Roman"/>
        </w:rPr>
        <w:t xml:space="preserve">increased </w:t>
      </w:r>
      <w:r w:rsidR="002B7D55">
        <w:rPr>
          <w:rFonts w:eastAsia="Times New Roman"/>
        </w:rPr>
        <w:t>demand</w:t>
      </w:r>
      <w:r w:rsidR="001649B8">
        <w:rPr>
          <w:rFonts w:eastAsia="Times New Roman"/>
        </w:rPr>
        <w:t xml:space="preserve"> for services</w:t>
      </w:r>
      <w:r w:rsidRPr="009C6048">
        <w:rPr>
          <w:rFonts w:eastAsia="Times New Roman"/>
        </w:rPr>
        <w:t>. By contrast, regions experiencing low or negative population growth may struggle to attract investment, which can lead to reduced economic activity and service availability and poorer labour market outcomes.</w:t>
      </w:r>
    </w:p>
    <w:p w14:paraId="4BECBC7E" w14:textId="3156313B" w:rsidR="00C9084F" w:rsidRPr="009C6048" w:rsidRDefault="00C9084F" w:rsidP="006A4F64">
      <w:pPr>
        <w:rPr>
          <w:rFonts w:eastAsia="Times New Roman"/>
        </w:rPr>
      </w:pPr>
      <w:r w:rsidRPr="009C6048">
        <w:t>Australia’s population story varies across the country and between regional areas. Indeed, Australia is a highly urbanised county, with the majority (64%) of the population concentrated in Australia’s five largest cities</w:t>
      </w:r>
      <w:r w:rsidR="00550A6B">
        <w:rPr>
          <w:rFonts w:eastAsia="Times New Roman"/>
        </w:rPr>
        <w:t>.</w:t>
      </w:r>
      <w:r w:rsidRPr="00D02BA0">
        <w:rPr>
          <w:rStyle w:val="FootnoteReference"/>
          <w:rFonts w:eastAsia="Arial"/>
        </w:rPr>
        <w:footnoteReference w:id="12"/>
      </w:r>
      <w:r w:rsidRPr="009C6048">
        <w:rPr>
          <w:rFonts w:eastAsia="Times New Roman"/>
        </w:rPr>
        <w:t xml:space="preserve"> </w:t>
      </w:r>
    </w:p>
    <w:p w14:paraId="5408006B" w14:textId="175D75EF" w:rsidR="00C9084F" w:rsidRPr="009C6048" w:rsidRDefault="00C9084F" w:rsidP="006A4F64">
      <w:pPr>
        <w:rPr>
          <w:rFonts w:eastAsia="Times New Roman"/>
        </w:rPr>
      </w:pPr>
      <w:r w:rsidRPr="61FC3CE6">
        <w:t xml:space="preserve">As can be seen in </w:t>
      </w:r>
      <w:r w:rsidR="00740CC2" w:rsidRPr="61FC3CE6">
        <w:rPr>
          <w:rFonts w:eastAsia="Times New Roman"/>
        </w:rPr>
        <w:t>Figure 1</w:t>
      </w:r>
      <w:r w:rsidR="00BB498A">
        <w:rPr>
          <w:rFonts w:eastAsia="Times New Roman"/>
        </w:rPr>
        <w:t>2</w:t>
      </w:r>
      <w:r w:rsidRPr="61FC3CE6">
        <w:rPr>
          <w:rFonts w:eastAsia="Times New Roman"/>
        </w:rPr>
        <w:t>, over the longer-term, there has been considerable population growth in both capital cities and coastal regions, while inland regions have lagged behind. While the travel restrictions associated the COVID-19 pandemic had a significant impact on population growth in capital cities over the last few years, coastal regions have become an increasingly popular destination to live and as a result have experienced particularly strong population growth, especially when compared with inland regions.</w:t>
      </w:r>
    </w:p>
    <w:p w14:paraId="5204F01F" w14:textId="66BC85A6" w:rsidR="00C9084F" w:rsidRPr="001454FE" w:rsidRDefault="00C9084F" w:rsidP="00D43896">
      <w:pPr>
        <w:pStyle w:val="ListBullet"/>
      </w:pPr>
      <w:r w:rsidRPr="001454FE">
        <w:t>Newcastle, Geelong, the Gold Coast and Sunshine Coast are examples of coastal regions that have experienced particularly strong population growth in recent years.</w:t>
      </w:r>
      <w:r w:rsidR="00F56053" w:rsidRPr="001454FE">
        <w:t xml:space="preserve"> </w:t>
      </w:r>
      <w:r w:rsidR="00954E95" w:rsidRPr="001454FE">
        <w:t xml:space="preserve">While people move for a </w:t>
      </w:r>
      <w:r w:rsidR="00CB5CF1" w:rsidRPr="001454FE">
        <w:t>variety</w:t>
      </w:r>
      <w:r w:rsidR="00954E95" w:rsidRPr="001454FE">
        <w:t xml:space="preserve"> of reasons</w:t>
      </w:r>
      <w:r w:rsidR="00EE4FC9" w:rsidRPr="001454FE">
        <w:t>,</w:t>
      </w:r>
      <w:r w:rsidR="00F56053" w:rsidRPr="001454FE">
        <w:t xml:space="preserve"> </w:t>
      </w:r>
      <w:r w:rsidR="004E118E" w:rsidRPr="001454FE">
        <w:t>the</w:t>
      </w:r>
      <w:r w:rsidR="00F56053" w:rsidRPr="001454FE">
        <w:t xml:space="preserve"> </w:t>
      </w:r>
      <w:r w:rsidR="004E118E" w:rsidRPr="001454FE">
        <w:t>coastal location, access to services and</w:t>
      </w:r>
      <w:r w:rsidR="00B93A3E" w:rsidRPr="001454FE">
        <w:t xml:space="preserve"> </w:t>
      </w:r>
      <w:r w:rsidR="00F56053" w:rsidRPr="001454FE">
        <w:t>proximity to major capital cities will have driven some of the population growth in these regions.</w:t>
      </w:r>
    </w:p>
    <w:p w14:paraId="23B795B5" w14:textId="2284100C" w:rsidR="004E118E" w:rsidRPr="001454FE" w:rsidRDefault="00FB3814" w:rsidP="00A1650D">
      <w:pPr>
        <w:pStyle w:val="ListBullet2"/>
        <w:numPr>
          <w:ilvl w:val="0"/>
          <w:numId w:val="25"/>
        </w:numPr>
      </w:pPr>
      <w:r w:rsidRPr="001454FE">
        <w:t>Against the backdrop of strong population growth, all of these regions have experienced an increase in the relative strength of the</w:t>
      </w:r>
      <w:r w:rsidR="00C9086E" w:rsidRPr="001454FE">
        <w:t>ir</w:t>
      </w:r>
      <w:r w:rsidRPr="001454FE">
        <w:t xml:space="preserve"> labour market</w:t>
      </w:r>
      <w:r w:rsidR="00C9086E" w:rsidRPr="001454FE">
        <w:t>s</w:t>
      </w:r>
      <w:r w:rsidRPr="001454FE">
        <w:t xml:space="preserve">, this </w:t>
      </w:r>
      <w:r w:rsidR="00C9086E" w:rsidRPr="001454FE">
        <w:t xml:space="preserve">suggests that strong </w:t>
      </w:r>
      <w:r w:rsidRPr="001454FE">
        <w:t xml:space="preserve">population growth may be </w:t>
      </w:r>
      <w:r w:rsidR="00C9086E" w:rsidRPr="001454FE">
        <w:t>one factor driving the improved outcomes</w:t>
      </w:r>
      <w:r w:rsidRPr="001454FE">
        <w:t>.</w:t>
      </w:r>
      <w:r w:rsidR="00673EC5" w:rsidRPr="001454FE">
        <w:t xml:space="preserve"> </w:t>
      </w:r>
    </w:p>
    <w:p w14:paraId="227CBAA4" w14:textId="1A9C4E34" w:rsidR="00C9084F" w:rsidRPr="00F667DA" w:rsidRDefault="00C069BE" w:rsidP="00D43896">
      <w:pPr>
        <w:pStyle w:val="Caption"/>
      </w:pPr>
      <w:r w:rsidRPr="001454FE">
        <w:rPr>
          <w:rFonts w:asciiTheme="minorHAnsi" w:hAnsiTheme="minorHAnsi" w:cstheme="minorHAnsi"/>
        </w:rPr>
        <w:t>Figure 1</w:t>
      </w:r>
      <w:r w:rsidR="00BB498A">
        <w:t>2</w:t>
      </w:r>
      <w:r w:rsidR="00C9084F" w:rsidRPr="00F667DA">
        <w:t xml:space="preserve">: Annual </w:t>
      </w:r>
      <w:r w:rsidR="00C9084F" w:rsidRPr="00D43896">
        <w:t>population</w:t>
      </w:r>
      <w:r w:rsidR="00C9084F" w:rsidRPr="00F667DA">
        <w:t xml:space="preserve"> growth (%), 2002 to 2023</w:t>
      </w:r>
    </w:p>
    <w:p w14:paraId="2610F634" w14:textId="77777777" w:rsidR="00C9084F" w:rsidRPr="00BF43D0" w:rsidRDefault="00C9084F" w:rsidP="003D070F">
      <w:pPr>
        <w:rPr>
          <w:rFonts w:eastAsia="Times New Roman"/>
        </w:rPr>
      </w:pPr>
      <w:r>
        <w:rPr>
          <w:noProof/>
        </w:rPr>
        <w:drawing>
          <wp:inline distT="0" distB="0" distL="0" distR="0" wp14:anchorId="77FDC42F" wp14:editId="1D475C15">
            <wp:extent cx="5715000" cy="2819400"/>
            <wp:effectExtent l="0" t="0" r="0" b="0"/>
            <wp:docPr id="1055358089" name="Chart 1" descr="A line chart that shows annual population growth (%) from 2002 to 2023 for Australia and by remoteness category (capital city, coastal, Inland). &#10;&#10;The chart shows that over the longer-term, there has been considerable population growth in both capital cities and coastal regions, while inland regions have lagged behind. ">
              <a:extLst xmlns:a="http://schemas.openxmlformats.org/drawingml/2006/main">
                <a:ext uri="{FF2B5EF4-FFF2-40B4-BE49-F238E27FC236}">
                  <a16:creationId xmlns:a16="http://schemas.microsoft.com/office/drawing/2014/main" id="{A6A05E8B-D795-1820-91A9-CC6526E47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3C1ED72" w14:textId="63A11266" w:rsidR="00C9084F" w:rsidRPr="006F7F48" w:rsidRDefault="00C9084F" w:rsidP="006F7F48">
      <w:pPr>
        <w:pStyle w:val="Source"/>
        <w:rPr>
          <w:rFonts w:asciiTheme="minorHAnsi" w:hAnsiTheme="minorHAnsi" w:cstheme="minorHAnsi"/>
          <w:bCs/>
        </w:rPr>
      </w:pPr>
      <w:r w:rsidRPr="006F7F48">
        <w:rPr>
          <w:rFonts w:asciiTheme="minorHAnsi" w:hAnsiTheme="minorHAnsi" w:cstheme="minorHAnsi"/>
          <w:bCs/>
        </w:rPr>
        <w:t xml:space="preserve">Source: ABS, </w:t>
      </w:r>
      <w:r w:rsidRPr="006F7F48">
        <w:rPr>
          <w:rFonts w:eastAsia="Times New Roman"/>
          <w:i/>
        </w:rPr>
        <w:t xml:space="preserve">Regional population, </w:t>
      </w:r>
      <w:r w:rsidRPr="006F7F48">
        <w:rPr>
          <w:rFonts w:eastAsia="Times New Roman"/>
        </w:rPr>
        <w:t>2022</w:t>
      </w:r>
      <w:r w:rsidR="007D1B04">
        <w:rPr>
          <w:rFonts w:eastAsia="Times New Roman"/>
        </w:rPr>
        <w:t>–</w:t>
      </w:r>
      <w:r w:rsidRPr="006F7F48">
        <w:rPr>
          <w:rFonts w:eastAsia="Times New Roman"/>
        </w:rPr>
        <w:t>23 (Estimated Resident Population)</w:t>
      </w:r>
    </w:p>
    <w:p w14:paraId="71BF3655" w14:textId="71B168E1" w:rsidR="00C9084F" w:rsidRPr="009C6048" w:rsidRDefault="002124CF" w:rsidP="00956856">
      <w:pPr>
        <w:rPr>
          <w:rFonts w:eastAsia="Times New Roman"/>
        </w:rPr>
      </w:pPr>
      <w:r>
        <w:t>E</w:t>
      </w:r>
      <w:r w:rsidR="00C9084F" w:rsidRPr="009C6048">
        <w:t>ven before the impact of COVID, the increase in population growth of coastal regions has been driven predomin</w:t>
      </w:r>
      <w:r w:rsidR="00FB2CB0">
        <w:t>antly</w:t>
      </w:r>
      <w:r w:rsidR="00C9084F" w:rsidRPr="009C6048">
        <w:t xml:space="preserve"> by strong net internal migration as more people move to coastal regions from capital cities and inland regions than back in the other direction</w:t>
      </w:r>
      <w:r>
        <w:t xml:space="preserve"> (</w:t>
      </w:r>
      <w:r w:rsidR="007F780E">
        <w:t>Figure 1</w:t>
      </w:r>
      <w:r w:rsidR="00BB498A">
        <w:t>3</w:t>
      </w:r>
      <w:r w:rsidR="00CB758B">
        <w:t>)</w:t>
      </w:r>
      <w:r w:rsidR="00C9084F" w:rsidRPr="009C6048">
        <w:t>. For inland regions, however, and except for 2021 and 2022, net internal migration has been detracting from population growth.</w:t>
      </w:r>
    </w:p>
    <w:p w14:paraId="4F9447E6" w14:textId="298BA161" w:rsidR="00C9084F" w:rsidRPr="009C6048" w:rsidRDefault="00C9084F" w:rsidP="00956856">
      <w:pPr>
        <w:rPr>
          <w:rFonts w:eastAsia="Times New Roman"/>
        </w:rPr>
      </w:pPr>
      <w:r w:rsidRPr="009C6048">
        <w:t>Population growth in inland regions is largely driven by natural increase and net overseas migration, although positive, still lags behind that seen in coastal regions. While Australia’s regional visa programs, which offers incentives to encourage skill</w:t>
      </w:r>
      <w:r w:rsidR="00244CA2">
        <w:rPr>
          <w:rFonts w:eastAsia="Times New Roman"/>
        </w:rPr>
        <w:t>ed</w:t>
      </w:r>
      <w:r w:rsidRPr="009C6048">
        <w:rPr>
          <w:rFonts w:eastAsia="Times New Roman"/>
        </w:rPr>
        <w:t xml:space="preserve"> migrants to live and work in regional Australia, may be contributing to some of the increase in net overseas migration for coastal and inland regions, the majority of migrants (close to 90%) settle in capital cities, predominately Sydney and Melbourne.</w:t>
      </w:r>
      <w:r w:rsidRPr="009C6048">
        <w:rPr>
          <w:rStyle w:val="FootnoteReference"/>
          <w:rFonts w:eastAsia="Times New Roman"/>
        </w:rPr>
        <w:footnoteReference w:id="13"/>
      </w:r>
      <w:r w:rsidRPr="009C6048">
        <w:rPr>
          <w:rFonts w:eastAsia="Times New Roman"/>
        </w:rPr>
        <w:t xml:space="preserve"> </w:t>
      </w:r>
    </w:p>
    <w:p w14:paraId="0697277D" w14:textId="7EF21D29" w:rsidR="00C9084F" w:rsidRPr="006F7F48" w:rsidRDefault="00C069BE" w:rsidP="00D43896">
      <w:pPr>
        <w:pStyle w:val="Caption"/>
      </w:pPr>
      <w:r w:rsidRPr="006F7F48">
        <w:rPr>
          <w:rFonts w:asciiTheme="minorHAnsi" w:hAnsiTheme="minorHAnsi" w:cstheme="minorHAnsi"/>
        </w:rPr>
        <w:t>Figure 1</w:t>
      </w:r>
      <w:r w:rsidR="00BB498A">
        <w:t>3</w:t>
      </w:r>
      <w:r w:rsidR="00C9084F" w:rsidRPr="00F667DA">
        <w:t>:</w:t>
      </w:r>
      <w:r w:rsidR="00C9084F" w:rsidRPr="006F7F48">
        <w:rPr>
          <w:rFonts w:asciiTheme="minorHAnsi" w:hAnsiTheme="minorHAnsi" w:cstheme="minorHAnsi"/>
        </w:rPr>
        <w:t xml:space="preserve"> </w:t>
      </w:r>
      <w:r w:rsidR="00C9084F" w:rsidRPr="00F667DA">
        <w:t xml:space="preserve">Population </w:t>
      </w:r>
      <w:r w:rsidR="00C9084F" w:rsidRPr="00D43896">
        <w:t>components</w:t>
      </w:r>
      <w:r w:rsidR="00C9084F" w:rsidRPr="00F667DA">
        <w:t>, 2017 to 2023</w:t>
      </w:r>
    </w:p>
    <w:p w14:paraId="6FD28D38" w14:textId="2DA6FB40" w:rsidR="00C9084F" w:rsidRDefault="00BD0811" w:rsidP="003D070F">
      <w:pPr>
        <w:rPr>
          <w:rFonts w:eastAsia="Times New Roman"/>
        </w:rPr>
      </w:pPr>
      <w:r>
        <w:rPr>
          <w:noProof/>
        </w:rPr>
        <w:drawing>
          <wp:inline distT="0" distB="0" distL="0" distR="0" wp14:anchorId="7A019E10" wp14:editId="7EB77414">
            <wp:extent cx="5515200" cy="3171600"/>
            <wp:effectExtent l="0" t="0" r="0" b="0"/>
            <wp:docPr id="35679280" name="Chart 1" descr="A stacked column chart showing the annual percentage (%) increase in population by population component (natural increase, net internal migration, net overseas migration) for coastal and inland regions. &#10;&#10;The chart shows the increase in population growth of coastal regions has been driven, predominantly, by strong net internal migration as more people move to coastal regions from capital cities and inland regions than back in the other direction.  &#10;">
              <a:extLst xmlns:a="http://schemas.openxmlformats.org/drawingml/2006/main">
                <a:ext uri="{FF2B5EF4-FFF2-40B4-BE49-F238E27FC236}">
                  <a16:creationId xmlns:a16="http://schemas.microsoft.com/office/drawing/2014/main" id="{E33E24B3-D9C3-32A5-95EA-0F20558AC3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B80A0FD" w14:textId="34EF4AF3" w:rsidR="00C9084F" w:rsidRPr="006F7F48" w:rsidRDefault="00C9084F" w:rsidP="006F7F48">
      <w:pPr>
        <w:pStyle w:val="Source"/>
        <w:rPr>
          <w:rFonts w:asciiTheme="minorHAnsi" w:hAnsiTheme="minorHAnsi" w:cstheme="minorHAnsi"/>
        </w:rPr>
      </w:pPr>
      <w:r w:rsidRPr="006F7F48">
        <w:rPr>
          <w:rFonts w:asciiTheme="minorHAnsi" w:hAnsiTheme="minorHAnsi" w:cstheme="minorHAnsi"/>
          <w:bCs/>
        </w:rPr>
        <w:t xml:space="preserve">Source: </w:t>
      </w:r>
      <w:r w:rsidRPr="001A1EEE">
        <w:rPr>
          <w:rFonts w:eastAsia="Times New Roman"/>
        </w:rPr>
        <w:t xml:space="preserve">ABS, </w:t>
      </w:r>
      <w:r w:rsidRPr="001A1EEE">
        <w:rPr>
          <w:rFonts w:eastAsia="Times New Roman"/>
          <w:i/>
        </w:rPr>
        <w:t xml:space="preserve">Regional population, </w:t>
      </w:r>
      <w:r w:rsidRPr="001A1EEE">
        <w:rPr>
          <w:rFonts w:eastAsia="Times New Roman"/>
        </w:rPr>
        <w:t>2022</w:t>
      </w:r>
      <w:r w:rsidR="007D1B04">
        <w:rPr>
          <w:rFonts w:eastAsia="Times New Roman"/>
        </w:rPr>
        <w:t>–</w:t>
      </w:r>
      <w:r w:rsidRPr="001A1EEE">
        <w:rPr>
          <w:rFonts w:eastAsia="Times New Roman"/>
        </w:rPr>
        <w:t>23 (Estimated Resident Population)</w:t>
      </w:r>
      <w:r w:rsidR="005B0A62" w:rsidRPr="001A1EEE">
        <w:rPr>
          <w:rFonts w:eastAsia="Times New Roman"/>
        </w:rPr>
        <w:t>;</w:t>
      </w:r>
      <w:r w:rsidRPr="001A1EEE">
        <w:rPr>
          <w:rFonts w:eastAsia="Times New Roman"/>
        </w:rPr>
        <w:t xml:space="preserve"> Data prior to 2022 is sourced from ABS, </w:t>
      </w:r>
      <w:r w:rsidRPr="007B529F">
        <w:rPr>
          <w:rFonts w:eastAsia="Times New Roman"/>
          <w:i/>
          <w:iCs/>
        </w:rPr>
        <w:t>Regional population</w:t>
      </w:r>
      <w:r w:rsidRPr="001A1EEE">
        <w:rPr>
          <w:rFonts w:eastAsia="Times New Roman"/>
        </w:rPr>
        <w:t xml:space="preserve"> (Estimated Resident Population), using .Stat Data Explorer</w:t>
      </w:r>
      <w:r w:rsidRPr="006F7F48">
        <w:rPr>
          <w:rFonts w:eastAsia="Times New Roman"/>
          <w:i/>
        </w:rPr>
        <w:t xml:space="preserve"> </w:t>
      </w:r>
    </w:p>
    <w:p w14:paraId="10AD0FA9" w14:textId="77777777" w:rsidR="00C9084F" w:rsidRPr="009C6048" w:rsidRDefault="00C9084F" w:rsidP="006F7F48">
      <w:pPr>
        <w:rPr>
          <w:rFonts w:eastAsia="Times New Roman"/>
        </w:rPr>
      </w:pPr>
      <w:r w:rsidRPr="009C6048">
        <w:t xml:space="preserve">The Regional Australia Institute (RAI) </w:t>
      </w:r>
      <w:r w:rsidRPr="00196781">
        <w:rPr>
          <w:rStyle w:val="Emphasis"/>
        </w:rPr>
        <w:t>Regional Movers March 2024</w:t>
      </w:r>
      <w:r w:rsidRPr="009C6048">
        <w:rPr>
          <w:rFonts w:eastAsia="Times New Roman"/>
        </w:rPr>
        <w:t xml:space="preserve"> report shows that the Australian population is again on the move, with regional Australia recording its fifth biggest influx of capital-city movers in the last 6 years.</w:t>
      </w:r>
      <w:r w:rsidRPr="009C6048">
        <w:rPr>
          <w:rStyle w:val="FootnoteReference"/>
          <w:rFonts w:eastAsia="Times New Roman"/>
        </w:rPr>
        <w:footnoteReference w:id="14"/>
      </w:r>
      <w:r w:rsidRPr="009C6048">
        <w:rPr>
          <w:rFonts w:eastAsia="Times New Roman"/>
        </w:rPr>
        <w:t xml:space="preserve"> </w:t>
      </w:r>
    </w:p>
    <w:p w14:paraId="5A3E82B6" w14:textId="2A9AF9B7" w:rsidR="00C9084F" w:rsidRPr="009C6048" w:rsidRDefault="00C9084F" w:rsidP="006F7F48">
      <w:pPr>
        <w:rPr>
          <w:rFonts w:eastAsia="Times New Roman"/>
        </w:rPr>
      </w:pPr>
      <w:r w:rsidRPr="009C6048">
        <w:t xml:space="preserve">While future strong population growth for many coastal regional areas will bring about increased economic activity, it does, however, pose a number of challenges. For instance, it can create pressure on infrastructure and services that may increase the likelihood or severity of skill shortages in the region. </w:t>
      </w:r>
      <w:r w:rsidRPr="00E17352">
        <w:rPr>
          <w:rFonts w:eastAsia="Times New Roman"/>
        </w:rPr>
        <w:t>For the Gold Coast, the surge in population has been (negatively) attributed to affecting traffic, hospital service</w:t>
      </w:r>
      <w:r w:rsidR="00962003">
        <w:rPr>
          <w:rFonts w:eastAsia="Times New Roman"/>
        </w:rPr>
        <w:t>s</w:t>
      </w:r>
      <w:r w:rsidRPr="00E17352">
        <w:rPr>
          <w:rFonts w:eastAsia="Times New Roman"/>
        </w:rPr>
        <w:t xml:space="preserve"> as well as the housing system.</w:t>
      </w:r>
      <w:r w:rsidRPr="00E17352">
        <w:rPr>
          <w:rStyle w:val="FootnoteReference"/>
          <w:rFonts w:eastAsia="Times New Roman"/>
        </w:rPr>
        <w:footnoteReference w:id="15"/>
      </w:r>
      <w:r w:rsidRPr="009C6048">
        <w:rPr>
          <w:rFonts w:eastAsia="Times New Roman"/>
        </w:rPr>
        <w:t xml:space="preserve"> For the Mid North Coast, strong population growth (driven, largely, by those aged 65 years and over), has exacerbated skill shortages in the health and care sector. This highlights the importance of ensuring that regions </w:t>
      </w:r>
      <w:r w:rsidR="000435AD">
        <w:rPr>
          <w:rFonts w:eastAsia="Times New Roman"/>
        </w:rPr>
        <w:t xml:space="preserve">align </w:t>
      </w:r>
      <w:r w:rsidRPr="009C6048">
        <w:rPr>
          <w:rFonts w:eastAsia="Times New Roman"/>
        </w:rPr>
        <w:t xml:space="preserve">the services, skills and infrastructure they need to </w:t>
      </w:r>
      <w:r w:rsidR="00105061">
        <w:rPr>
          <w:rFonts w:eastAsia="Times New Roman"/>
        </w:rPr>
        <w:t xml:space="preserve">the demographic structure of the </w:t>
      </w:r>
      <w:r w:rsidR="003D10A4">
        <w:rPr>
          <w:rFonts w:eastAsia="Times New Roman"/>
        </w:rPr>
        <w:t xml:space="preserve">population and to </w:t>
      </w:r>
      <w:r w:rsidRPr="009C6048">
        <w:rPr>
          <w:rFonts w:eastAsia="Times New Roman"/>
        </w:rPr>
        <w:t xml:space="preserve">support future population growth. </w:t>
      </w:r>
    </w:p>
    <w:p w14:paraId="2B29626D" w14:textId="77777777" w:rsidR="00C9084F" w:rsidRPr="00D762E9" w:rsidRDefault="00C9084F" w:rsidP="00204280">
      <w:pPr>
        <w:pStyle w:val="Heading3"/>
        <w:rPr>
          <w:rFonts w:asciiTheme="majorHAnsi" w:hAnsiTheme="majorHAnsi" w:cstheme="majorHAnsi"/>
        </w:rPr>
      </w:pPr>
      <w:bookmarkStart w:id="30" w:name="_Toc171937413"/>
      <w:r w:rsidRPr="00D762E9">
        <w:rPr>
          <w:rFonts w:asciiTheme="majorHAnsi" w:hAnsiTheme="majorHAnsi" w:cstheme="majorHAnsi"/>
        </w:rPr>
        <w:t>An ageing population and the dependence on the health and care sector</w:t>
      </w:r>
      <w:bookmarkEnd w:id="30"/>
      <w:r w:rsidRPr="00D762E9">
        <w:rPr>
          <w:rFonts w:asciiTheme="majorHAnsi" w:hAnsiTheme="majorHAnsi" w:cstheme="majorHAnsi"/>
        </w:rPr>
        <w:t xml:space="preserve"> </w:t>
      </w:r>
    </w:p>
    <w:p w14:paraId="737726EB" w14:textId="62652C56" w:rsidR="00BA74BF" w:rsidRDefault="001C30DD" w:rsidP="00D762E9">
      <w:pPr>
        <w:rPr>
          <w:rFonts w:eastAsia="Times New Roman"/>
        </w:rPr>
      </w:pPr>
      <w:r>
        <w:t>D</w:t>
      </w:r>
      <w:r w:rsidRPr="007C0DAA">
        <w:rPr>
          <w:rFonts w:eastAsia="Times New Roman"/>
        </w:rPr>
        <w:t>emographic change is a key driver of labour supply and can greatly affect the size and shape of the workforce</w:t>
      </w:r>
      <w:r>
        <w:rPr>
          <w:rFonts w:eastAsia="Times New Roman"/>
        </w:rPr>
        <w:t xml:space="preserve">. </w:t>
      </w:r>
      <w:r w:rsidR="00C9084F" w:rsidRPr="007C0DAA">
        <w:rPr>
          <w:rFonts w:eastAsia="Times New Roman"/>
        </w:rPr>
        <w:t xml:space="preserve">Population ageing, through a long-term decline in fertility rates and rising longevity, is a global trend amongst most of the advanced economies, including Australia, </w:t>
      </w:r>
      <w:r w:rsidR="007D47CA">
        <w:rPr>
          <w:rFonts w:eastAsia="Times New Roman"/>
        </w:rPr>
        <w:t xml:space="preserve">and will place </w:t>
      </w:r>
      <w:r w:rsidR="007371FE">
        <w:rPr>
          <w:rFonts w:eastAsia="Times New Roman"/>
        </w:rPr>
        <w:t>downward pressure on labour supply as older workers retire</w:t>
      </w:r>
      <w:r w:rsidR="00DB6961">
        <w:rPr>
          <w:rFonts w:eastAsia="Times New Roman"/>
        </w:rPr>
        <w:t>.</w:t>
      </w:r>
      <w:r w:rsidR="00901860">
        <w:rPr>
          <w:rStyle w:val="FootnoteReference"/>
          <w:rFonts w:eastAsia="Times New Roman"/>
        </w:rPr>
        <w:footnoteReference w:id="16"/>
      </w:r>
      <w:r w:rsidR="007371FE">
        <w:rPr>
          <w:rFonts w:eastAsia="Times New Roman"/>
        </w:rPr>
        <w:t xml:space="preserve"> That said,</w:t>
      </w:r>
      <w:r w:rsidR="00C9084F" w:rsidRPr="007C0DAA">
        <w:rPr>
          <w:rFonts w:eastAsia="Times New Roman"/>
        </w:rPr>
        <w:t xml:space="preserve"> a relatively high net migration rate and increasing participation by females and older cohorts has helped mitigate the impact of ageing on the labour market, to a certain extent</w:t>
      </w:r>
      <w:r w:rsidR="007371FE">
        <w:rPr>
          <w:rFonts w:eastAsia="Times New Roman"/>
        </w:rPr>
        <w:t xml:space="preserve"> in Australia</w:t>
      </w:r>
      <w:r w:rsidR="00C9084F" w:rsidRPr="007C0DAA">
        <w:rPr>
          <w:rFonts w:eastAsia="Times New Roman"/>
        </w:rPr>
        <w:t xml:space="preserve">. </w:t>
      </w:r>
    </w:p>
    <w:p w14:paraId="6DB1AF0F" w14:textId="7D8D7099" w:rsidR="00C9084F" w:rsidRPr="007C0DAA" w:rsidRDefault="007371FE" w:rsidP="00A01B17">
      <w:pPr>
        <w:rPr>
          <w:rFonts w:eastAsia="Times New Roman"/>
        </w:rPr>
      </w:pPr>
      <w:r>
        <w:t xml:space="preserve">Nevertheless, </w:t>
      </w:r>
      <w:r w:rsidR="00C9084F" w:rsidRPr="000A46FF">
        <w:rPr>
          <w:rFonts w:eastAsia="Times New Roman"/>
        </w:rPr>
        <w:t xml:space="preserve">Australia’s population </w:t>
      </w:r>
      <w:r w:rsidR="00742EF3">
        <w:rPr>
          <w:rFonts w:eastAsia="Times New Roman"/>
        </w:rPr>
        <w:t>is expected to</w:t>
      </w:r>
      <w:r w:rsidR="00C9084F" w:rsidRPr="000A46FF">
        <w:rPr>
          <w:rFonts w:eastAsia="Times New Roman"/>
        </w:rPr>
        <w:t xml:space="preserve"> continue to age over the next 40 years, </w:t>
      </w:r>
      <w:r w:rsidR="00742EF3">
        <w:rPr>
          <w:rFonts w:eastAsia="Times New Roman"/>
        </w:rPr>
        <w:t>w</w:t>
      </w:r>
      <w:r w:rsidR="00A94914">
        <w:rPr>
          <w:rFonts w:eastAsia="Times New Roman"/>
        </w:rPr>
        <w:t>hile</w:t>
      </w:r>
      <w:r w:rsidR="00742EF3">
        <w:rPr>
          <w:rFonts w:eastAsia="Times New Roman"/>
        </w:rPr>
        <w:t xml:space="preserve"> the share of the working age population to </w:t>
      </w:r>
      <w:r w:rsidR="00A94914">
        <w:rPr>
          <w:rFonts w:eastAsia="Times New Roman"/>
        </w:rPr>
        <w:t>fall.</w:t>
      </w:r>
      <w:r w:rsidR="00C9084F" w:rsidRPr="000A46FF">
        <w:rPr>
          <w:rFonts w:eastAsia="Times New Roman"/>
        </w:rPr>
        <w:t xml:space="preserve"> Treasury’s </w:t>
      </w:r>
      <w:r w:rsidR="00C9084F" w:rsidRPr="00953AC7">
        <w:rPr>
          <w:rStyle w:val="Emphasis"/>
        </w:rPr>
        <w:t>2023 Intergenerational Report</w:t>
      </w:r>
      <w:r w:rsidR="00C9084F" w:rsidRPr="006F50D0">
        <w:rPr>
          <w:rFonts w:eastAsia="Times New Roman"/>
        </w:rPr>
        <w:t xml:space="preserve"> estimating that the </w:t>
      </w:r>
      <w:r w:rsidR="00055B62" w:rsidRPr="006F50D0">
        <w:rPr>
          <w:rFonts w:eastAsia="Times New Roman"/>
        </w:rPr>
        <w:t>s</w:t>
      </w:r>
      <w:r w:rsidR="00055B62" w:rsidRPr="000A46FF">
        <w:rPr>
          <w:rFonts w:eastAsia="Times New Roman"/>
        </w:rPr>
        <w:t>hare of the population</w:t>
      </w:r>
      <w:r w:rsidR="00C9084F" w:rsidRPr="000A46FF">
        <w:rPr>
          <w:rFonts w:eastAsia="Times New Roman"/>
        </w:rPr>
        <w:t xml:space="preserve"> aged 65 years and over </w:t>
      </w:r>
      <w:r w:rsidR="00055B62" w:rsidRPr="000A46FF">
        <w:rPr>
          <w:rFonts w:eastAsia="Times New Roman"/>
        </w:rPr>
        <w:t>projected to increase from 17% in 2022</w:t>
      </w:r>
      <w:r w:rsidR="007D1B04">
        <w:rPr>
          <w:rFonts w:eastAsia="Times New Roman"/>
        </w:rPr>
        <w:t>–</w:t>
      </w:r>
      <w:r w:rsidR="00055B62" w:rsidRPr="000A46FF">
        <w:rPr>
          <w:rFonts w:eastAsia="Times New Roman"/>
        </w:rPr>
        <w:t>23 to 23% in 2062</w:t>
      </w:r>
      <w:r w:rsidR="007D1B04">
        <w:rPr>
          <w:rFonts w:eastAsia="Times New Roman"/>
        </w:rPr>
        <w:t>–</w:t>
      </w:r>
      <w:r w:rsidR="00055B62" w:rsidRPr="000A46FF">
        <w:rPr>
          <w:rFonts w:eastAsia="Times New Roman"/>
        </w:rPr>
        <w:t xml:space="preserve">63, while the </w:t>
      </w:r>
      <w:r w:rsidR="002973F1" w:rsidRPr="000A46FF">
        <w:rPr>
          <w:rFonts w:eastAsia="Times New Roman"/>
        </w:rPr>
        <w:t>share of the working</w:t>
      </w:r>
      <w:r w:rsidR="00C720F1">
        <w:rPr>
          <w:rFonts w:eastAsia="Times New Roman"/>
        </w:rPr>
        <w:t xml:space="preserve"> age</w:t>
      </w:r>
      <w:r w:rsidR="00385240" w:rsidRPr="000A46FF">
        <w:rPr>
          <w:rFonts w:eastAsia="Times New Roman"/>
        </w:rPr>
        <w:t xml:space="preserve"> population will fall from </w:t>
      </w:r>
      <w:r w:rsidR="002C61F3" w:rsidRPr="000A46FF">
        <w:rPr>
          <w:rFonts w:eastAsia="Times New Roman"/>
        </w:rPr>
        <w:t xml:space="preserve">65% to </w:t>
      </w:r>
      <w:r w:rsidR="004358B7" w:rsidRPr="000A46FF">
        <w:rPr>
          <w:rFonts w:eastAsia="Times New Roman"/>
        </w:rPr>
        <w:t>61% over the same period</w:t>
      </w:r>
      <w:r w:rsidR="006A4A69">
        <w:rPr>
          <w:rFonts w:eastAsia="Times New Roman"/>
        </w:rPr>
        <w:t>.</w:t>
      </w:r>
      <w:r w:rsidR="00FE6694" w:rsidRPr="000A46FF">
        <w:rPr>
          <w:rStyle w:val="FootnoteReference"/>
          <w:rFonts w:eastAsia="Times New Roman"/>
        </w:rPr>
        <w:footnoteReference w:id="17"/>
      </w:r>
    </w:p>
    <w:p w14:paraId="11E1CC73" w14:textId="07E68324" w:rsidR="00C9084F" w:rsidRPr="007C0DAA" w:rsidRDefault="00C9084F" w:rsidP="00A01B17">
      <w:pPr>
        <w:rPr>
          <w:rFonts w:eastAsia="Times New Roman"/>
        </w:rPr>
      </w:pPr>
      <w:r w:rsidRPr="007C0DAA">
        <w:t>As can be seen</w:t>
      </w:r>
      <w:r w:rsidR="00351CD5">
        <w:t xml:space="preserve"> from Figure 1</w:t>
      </w:r>
      <w:r w:rsidR="00BB498A">
        <w:t>4</w:t>
      </w:r>
      <w:r w:rsidRPr="007C0DAA">
        <w:t xml:space="preserve">, regional and remote areas have a much older age </w:t>
      </w:r>
      <w:r w:rsidR="00BF50F9">
        <w:t>structure</w:t>
      </w:r>
      <w:r w:rsidRPr="007C0DAA">
        <w:t xml:space="preserve"> than that of their capital city counterparts. Indeed, only 19% of the population</w:t>
      </w:r>
      <w:r w:rsidR="00A33597">
        <w:rPr>
          <w:rFonts w:eastAsia="Times New Roman"/>
        </w:rPr>
        <w:t xml:space="preserve"> </w:t>
      </w:r>
      <w:r w:rsidRPr="007C0DAA">
        <w:rPr>
          <w:rFonts w:eastAsia="Times New Roman"/>
        </w:rPr>
        <w:t>in capital cities w</w:t>
      </w:r>
      <w:r w:rsidR="00CC7ECD">
        <w:rPr>
          <w:rFonts w:eastAsia="Times New Roman"/>
        </w:rPr>
        <w:t>ere</w:t>
      </w:r>
      <w:r w:rsidRPr="007C0DAA">
        <w:rPr>
          <w:rFonts w:eastAsia="Times New Roman"/>
        </w:rPr>
        <w:t xml:space="preserve"> aged 65 years and over in March 2024, compared with </w:t>
      </w:r>
      <w:r w:rsidR="00525425">
        <w:rPr>
          <w:rFonts w:eastAsia="Times New Roman"/>
        </w:rPr>
        <w:t>27</w:t>
      </w:r>
      <w:r w:rsidRPr="007C0DAA">
        <w:rPr>
          <w:rFonts w:eastAsia="Times New Roman"/>
        </w:rPr>
        <w:t xml:space="preserve">% in regional and </w:t>
      </w:r>
      <w:r w:rsidR="004D7061">
        <w:rPr>
          <w:rFonts w:eastAsia="Times New Roman"/>
        </w:rPr>
        <w:t>25</w:t>
      </w:r>
      <w:r w:rsidR="00FD608F">
        <w:rPr>
          <w:rFonts w:eastAsia="Times New Roman"/>
        </w:rPr>
        <w:t xml:space="preserve">% in </w:t>
      </w:r>
      <w:r w:rsidRPr="007C0DAA">
        <w:rPr>
          <w:rFonts w:eastAsia="Times New Roman"/>
        </w:rPr>
        <w:t>remote areas</w:t>
      </w:r>
      <w:r w:rsidR="00A324BB">
        <w:rPr>
          <w:rFonts w:eastAsia="Times New Roman"/>
        </w:rPr>
        <w:t>.</w:t>
      </w:r>
      <w:r w:rsidR="00A33597" w:rsidRPr="007C0DAA">
        <w:rPr>
          <w:rStyle w:val="FootnoteReference"/>
          <w:rFonts w:eastAsia="Times New Roman"/>
        </w:rPr>
        <w:footnoteReference w:id="18"/>
      </w:r>
      <w:r w:rsidRPr="007C0DAA">
        <w:rPr>
          <w:rFonts w:eastAsia="Times New Roman"/>
        </w:rPr>
        <w:t xml:space="preserve"> With an older population and less people of prime working age, regional areas have a smaller pool of </w:t>
      </w:r>
      <w:r w:rsidR="002E57EA">
        <w:rPr>
          <w:rFonts w:eastAsia="Times New Roman"/>
        </w:rPr>
        <w:t xml:space="preserve">prime age </w:t>
      </w:r>
      <w:r w:rsidRPr="007C0DAA">
        <w:rPr>
          <w:rFonts w:eastAsia="Times New Roman"/>
        </w:rPr>
        <w:t xml:space="preserve">workers available to them which </w:t>
      </w:r>
      <w:r w:rsidR="00C07ABC">
        <w:rPr>
          <w:rFonts w:eastAsia="Times New Roman"/>
        </w:rPr>
        <w:t>may</w:t>
      </w:r>
      <w:r w:rsidRPr="007C0DAA">
        <w:rPr>
          <w:rFonts w:eastAsia="Times New Roman"/>
        </w:rPr>
        <w:t xml:space="preserve"> lead to labour market challenges including </w:t>
      </w:r>
      <w:r w:rsidR="00A15F1E">
        <w:rPr>
          <w:rFonts w:eastAsia="Times New Roman"/>
        </w:rPr>
        <w:t>labour shortages</w:t>
      </w:r>
      <w:r w:rsidR="00EA2FAF">
        <w:rPr>
          <w:rFonts w:eastAsia="Times New Roman"/>
        </w:rPr>
        <w:t xml:space="preserve"> </w:t>
      </w:r>
      <w:r w:rsidRPr="007C0DAA">
        <w:rPr>
          <w:rFonts w:eastAsia="Times New Roman"/>
        </w:rPr>
        <w:t>and reduced productivity levels</w:t>
      </w:r>
      <w:r w:rsidR="00A324BB">
        <w:rPr>
          <w:rFonts w:eastAsia="Times New Roman"/>
        </w:rPr>
        <w:t>.</w:t>
      </w:r>
      <w:r w:rsidR="008C290D">
        <w:rPr>
          <w:rStyle w:val="FootnoteReference"/>
          <w:rFonts w:eastAsia="Times New Roman"/>
        </w:rPr>
        <w:footnoteReference w:id="19"/>
      </w:r>
      <w:r w:rsidRPr="007C0DAA">
        <w:rPr>
          <w:rFonts w:eastAsia="Times New Roman"/>
        </w:rPr>
        <w:t xml:space="preserve">  </w:t>
      </w:r>
    </w:p>
    <w:p w14:paraId="1E6D2328" w14:textId="0CE2C144" w:rsidR="00C9084F" w:rsidRPr="00150241" w:rsidRDefault="00C069BE" w:rsidP="00D43896">
      <w:pPr>
        <w:pStyle w:val="Caption"/>
      </w:pPr>
      <w:r w:rsidRPr="00150241">
        <w:t>Figure 1</w:t>
      </w:r>
      <w:r w:rsidR="00BB498A" w:rsidRPr="00150241">
        <w:t>4</w:t>
      </w:r>
      <w:r w:rsidR="00C9084F" w:rsidRPr="00150241">
        <w:t>: Proportion of population</w:t>
      </w:r>
      <w:r w:rsidR="00D43CED" w:rsidRPr="00150241">
        <w:t xml:space="preserve"> (%)</w:t>
      </w:r>
      <w:r w:rsidR="00C9084F" w:rsidRPr="00150241">
        <w:t xml:space="preserve"> by </w:t>
      </w:r>
      <w:r w:rsidR="00C9084F" w:rsidRPr="00D43896">
        <w:t>age</w:t>
      </w:r>
      <w:r w:rsidR="00C9084F" w:rsidRPr="00150241">
        <w:t xml:space="preserve"> by remoteness category, </w:t>
      </w:r>
      <w:r w:rsidR="00C513DC" w:rsidRPr="00150241">
        <w:t xml:space="preserve">June </w:t>
      </w:r>
      <w:r w:rsidR="00C9084F" w:rsidRPr="00150241">
        <w:t>2024</w:t>
      </w:r>
    </w:p>
    <w:p w14:paraId="5BEA8507" w14:textId="345D9A64" w:rsidR="00C9084F" w:rsidRPr="00716C46" w:rsidRDefault="00E5170C" w:rsidP="003D070F">
      <w:pPr>
        <w:rPr>
          <w:noProof/>
        </w:rPr>
      </w:pPr>
      <w:r>
        <w:rPr>
          <w:noProof/>
        </w:rPr>
        <w:drawing>
          <wp:inline distT="0" distB="0" distL="0" distR="0" wp14:anchorId="4600704A" wp14:editId="0DF8F538">
            <wp:extent cx="5263116" cy="3115340"/>
            <wp:effectExtent l="0" t="0" r="0" b="8890"/>
            <wp:docPr id="329623219" name="Chart 1" descr="A stacked bar chart which shows the share of the population (aged 15 years and over) by age (15-24 years, 25-44 years, 45-54 years and 65 years and over) by remoteness category (metropolitan city, regional city, regional, remote).">
              <a:extLst xmlns:a="http://schemas.openxmlformats.org/drawingml/2006/main">
                <a:ext uri="{FF2B5EF4-FFF2-40B4-BE49-F238E27FC236}">
                  <a16:creationId xmlns:a16="http://schemas.microsoft.com/office/drawing/2014/main" id="{9306C701-2F80-89BB-7F2E-1703D3063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EFE5308" w14:textId="3D823D0B" w:rsidR="00C9084F" w:rsidRPr="006A18C7" w:rsidRDefault="00C9084F" w:rsidP="006A18C7">
      <w:pPr>
        <w:pStyle w:val="Source"/>
        <w:rPr>
          <w:rFonts w:asciiTheme="minorHAnsi" w:hAnsiTheme="minorHAnsi" w:cstheme="minorHAnsi"/>
          <w:noProof/>
        </w:rPr>
      </w:pPr>
      <w:r w:rsidRPr="006A18C7">
        <w:rPr>
          <w:rFonts w:asciiTheme="minorHAnsi" w:hAnsiTheme="minorHAnsi" w:cstheme="minorHAnsi"/>
          <w:noProof/>
        </w:rPr>
        <w:t xml:space="preserve">Source: ABS, </w:t>
      </w:r>
      <w:r w:rsidRPr="00A02F5D">
        <w:rPr>
          <w:rFonts w:asciiTheme="minorHAnsi" w:hAnsiTheme="minorHAnsi" w:cstheme="minorHAnsi"/>
          <w:i/>
          <w:iCs/>
          <w:noProof/>
        </w:rPr>
        <w:t>Labour Force, Detailed</w:t>
      </w:r>
      <w:r w:rsidRPr="006A18C7">
        <w:rPr>
          <w:rFonts w:asciiTheme="minorHAnsi" w:hAnsiTheme="minorHAnsi" w:cstheme="minorHAnsi"/>
          <w:noProof/>
        </w:rPr>
        <w:t xml:space="preserve">, </w:t>
      </w:r>
      <w:r w:rsidRPr="00262761">
        <w:rPr>
          <w:rFonts w:asciiTheme="minorHAnsi" w:hAnsiTheme="minorHAnsi" w:cstheme="minorHAnsi"/>
          <w:i/>
          <w:iCs/>
          <w:noProof/>
        </w:rPr>
        <w:t>Australia</w:t>
      </w:r>
      <w:r w:rsidRPr="006A18C7">
        <w:rPr>
          <w:rFonts w:asciiTheme="minorHAnsi" w:hAnsiTheme="minorHAnsi" w:cstheme="minorHAnsi"/>
          <w:noProof/>
        </w:rPr>
        <w:t xml:space="preserve">, </w:t>
      </w:r>
      <w:r w:rsidR="00C513DC" w:rsidRPr="006A18C7">
        <w:rPr>
          <w:rFonts w:asciiTheme="minorHAnsi" w:hAnsiTheme="minorHAnsi" w:cstheme="minorHAnsi"/>
          <w:noProof/>
        </w:rPr>
        <w:t xml:space="preserve">June </w:t>
      </w:r>
      <w:r w:rsidRPr="006A18C7">
        <w:rPr>
          <w:rFonts w:asciiTheme="minorHAnsi" w:hAnsiTheme="minorHAnsi" w:cstheme="minorHAnsi"/>
          <w:noProof/>
        </w:rPr>
        <w:t>2024</w:t>
      </w:r>
      <w:r w:rsidR="000216A6" w:rsidRPr="006A18C7">
        <w:rPr>
          <w:rFonts w:asciiTheme="minorHAnsi" w:hAnsiTheme="minorHAnsi" w:cstheme="minorHAnsi"/>
          <w:noProof/>
        </w:rPr>
        <w:t xml:space="preserve">, </w:t>
      </w:r>
      <w:r w:rsidR="00C513DC" w:rsidRPr="006A18C7">
        <w:rPr>
          <w:rFonts w:asciiTheme="minorHAnsi" w:eastAsia="Arial" w:hAnsiTheme="minorHAnsi" w:cstheme="minorHAnsi"/>
        </w:rPr>
        <w:t>6</w:t>
      </w:r>
      <w:r w:rsidR="000216A6" w:rsidRPr="006A18C7">
        <w:rPr>
          <w:rFonts w:asciiTheme="minorHAnsi" w:eastAsia="Arial" w:hAnsiTheme="minorHAnsi" w:cstheme="minorHAnsi"/>
        </w:rPr>
        <w:t>-month averages of original estimates</w:t>
      </w:r>
    </w:p>
    <w:p w14:paraId="0DC42C8E" w14:textId="4535893B" w:rsidR="00C9084F" w:rsidRPr="007C0DAA" w:rsidRDefault="00C9084F" w:rsidP="00BF50F9">
      <w:pPr>
        <w:rPr>
          <w:rFonts w:eastAsia="Times New Roman"/>
        </w:rPr>
      </w:pPr>
      <w:r w:rsidRPr="007C0DAA">
        <w:t xml:space="preserve">The pressures of an ageing population on labour supply will be felt more acutely by industries that are more labour intensive such as the health and care </w:t>
      </w:r>
      <w:r w:rsidRPr="007C0DAA">
        <w:rPr>
          <w:rFonts w:eastAsia="Times New Roman"/>
        </w:rPr>
        <w:t>sector. At the same time, larger shares of the population will demand greater access to the health and care sector, with the workforce potentially doubling over the next 40 years</w:t>
      </w:r>
      <w:r w:rsidR="002A4480">
        <w:rPr>
          <w:rFonts w:eastAsia="Times New Roman"/>
        </w:rPr>
        <w:t>.</w:t>
      </w:r>
      <w:r w:rsidR="00A754D2">
        <w:rPr>
          <w:rStyle w:val="FootnoteReference"/>
          <w:rFonts w:eastAsia="Times New Roman"/>
        </w:rPr>
        <w:footnoteReference w:id="20"/>
      </w:r>
      <w:r w:rsidRPr="007C0DAA">
        <w:rPr>
          <w:rFonts w:eastAsia="Times New Roman"/>
        </w:rPr>
        <w:t xml:space="preserve"> While this presents strong future job opportunities, this is a sector that is already facing significant shortages and has difficulty attracting and retaining staff, particularly in regional Australia. </w:t>
      </w:r>
    </w:p>
    <w:p w14:paraId="39EE0479" w14:textId="3F1005BB" w:rsidR="00C9084F" w:rsidRPr="007C0DAA" w:rsidRDefault="00C9084F" w:rsidP="00BF50F9">
      <w:pPr>
        <w:rPr>
          <w:rFonts w:eastAsia="Times New Roman"/>
        </w:rPr>
      </w:pPr>
      <w:r w:rsidRPr="007C0DAA">
        <w:t xml:space="preserve">Indeed, JSA’s 2023 </w:t>
      </w:r>
      <w:r w:rsidRPr="00262761">
        <w:rPr>
          <w:rStyle w:val="Emphasis"/>
        </w:rPr>
        <w:t>Skills Priority List Key Findings Report</w:t>
      </w:r>
      <w:r w:rsidRPr="00BF50F9">
        <w:rPr>
          <w:rFonts w:eastAsia="Times New Roman"/>
        </w:rPr>
        <w:t xml:space="preserve"> shows th</w:t>
      </w:r>
      <w:r w:rsidRPr="007C0DAA">
        <w:rPr>
          <w:rFonts w:eastAsia="Times New Roman"/>
        </w:rPr>
        <w:t>at more than 4 in 5 Health Professionals occupations (or 82%) were in shortage</w:t>
      </w:r>
      <w:r w:rsidR="002A4480">
        <w:rPr>
          <w:rFonts w:eastAsia="Times New Roman"/>
        </w:rPr>
        <w:t>.</w:t>
      </w:r>
      <w:r w:rsidR="00562A77">
        <w:rPr>
          <w:rStyle w:val="FootnoteReference"/>
          <w:rFonts w:eastAsia="Times New Roman"/>
        </w:rPr>
        <w:footnoteReference w:id="21"/>
      </w:r>
    </w:p>
    <w:p w14:paraId="7B2E7B55" w14:textId="77777777" w:rsidR="00C9084F" w:rsidRPr="007C0DAA" w:rsidRDefault="00C9084F" w:rsidP="00BF50F9">
      <w:pPr>
        <w:rPr>
          <w:rFonts w:eastAsia="Times New Roman"/>
        </w:rPr>
      </w:pPr>
      <w:r w:rsidRPr="007C0DAA">
        <w:t>Investing in people and building appropriate skills and training pathways, plus wages will be critical to attract and retain the workforce for the needed expansion in the health and care sector.</w:t>
      </w:r>
    </w:p>
    <w:p w14:paraId="413E62DE" w14:textId="77777777" w:rsidR="00C9084F" w:rsidRPr="009112B8" w:rsidRDefault="00C9084F" w:rsidP="00204280">
      <w:pPr>
        <w:pStyle w:val="Heading3"/>
        <w:rPr>
          <w:rFonts w:asciiTheme="majorHAnsi" w:hAnsiTheme="majorHAnsi" w:cstheme="majorHAnsi"/>
        </w:rPr>
      </w:pPr>
      <w:bookmarkStart w:id="31" w:name="_Toc171937414"/>
      <w:r w:rsidRPr="009112B8">
        <w:rPr>
          <w:rFonts w:asciiTheme="majorHAnsi" w:hAnsiTheme="majorHAnsi" w:cstheme="majorHAnsi"/>
        </w:rPr>
        <w:t>Growth in the high skilled, services-based workforce</w:t>
      </w:r>
      <w:bookmarkEnd w:id="31"/>
    </w:p>
    <w:p w14:paraId="367909D0" w14:textId="6B166935" w:rsidR="00C9084F" w:rsidRPr="007C0DAA" w:rsidRDefault="00C9084F" w:rsidP="009112B8">
      <w:pPr>
        <w:rPr>
          <w:rFonts w:eastAsia="Arial"/>
        </w:rPr>
      </w:pPr>
      <w:r w:rsidRPr="007C0DAA">
        <w:t xml:space="preserve">Compositionally, employment has continued to shift towards jobs that are higher skilled (commensurate with some level of post-secondary school qualification) and away from jobs that are lower skilled (and do not require such a qualification). For instance, skill level 1 occupations (commensurate with a </w:t>
      </w:r>
      <w:r w:rsidR="00FE2C15">
        <w:rPr>
          <w:rFonts w:eastAsia="Arial"/>
        </w:rPr>
        <w:t>B</w:t>
      </w:r>
      <w:r w:rsidRPr="007C0DAA">
        <w:rPr>
          <w:rFonts w:eastAsia="Arial"/>
        </w:rPr>
        <w:t xml:space="preserve">achelor </w:t>
      </w:r>
      <w:r w:rsidR="00FE2C15">
        <w:rPr>
          <w:rFonts w:eastAsia="Arial"/>
        </w:rPr>
        <w:t>D</w:t>
      </w:r>
      <w:r w:rsidRPr="007C0DAA">
        <w:rPr>
          <w:rFonts w:eastAsia="Arial"/>
        </w:rPr>
        <w:t xml:space="preserve">egree or higher) accounted for more than a third (35%) of the share of total employment in February 2024, well above the 23% recorded three decades ago. </w:t>
      </w:r>
    </w:p>
    <w:p w14:paraId="5C7A3712" w14:textId="11B0FCC3" w:rsidR="00C9084F" w:rsidRPr="007C0DAA" w:rsidRDefault="00C9084F" w:rsidP="009112B8">
      <w:pPr>
        <w:rPr>
          <w:rFonts w:eastAsia="Times New Roman"/>
        </w:rPr>
      </w:pPr>
      <w:r w:rsidRPr="007C0DAA">
        <w:t>The shift towards employment in higher skilled occupations in recent years is a continuation of a long-term trend, as the workforce has become more highly educated and employment has transitioned towards more services-based industries</w:t>
      </w:r>
      <w:r w:rsidR="00BF1AE4">
        <w:rPr>
          <w:rFonts w:eastAsia="Arial"/>
        </w:rPr>
        <w:t>.</w:t>
      </w:r>
      <w:r w:rsidRPr="007C0DAA">
        <w:rPr>
          <w:rFonts w:eastAsia="Arial" w:cs="Arial"/>
          <w:b/>
          <w:vertAlign w:val="superscript"/>
        </w:rPr>
        <w:footnoteReference w:id="22"/>
      </w:r>
      <w:r w:rsidRPr="007C0DAA">
        <w:rPr>
          <w:rFonts w:eastAsia="Arial"/>
        </w:rPr>
        <w:t xml:space="preserve"> These changes have occurred against the backdrop of a rapid improvement in computer technology, including automation and the emergence of artificial intelligence, that has helped shift demand for labour away from routine tasks (repetitive physical labour that can be replicated by machines) towards non-routine cognitive (non-repetitive or non-codifiable) jobs</w:t>
      </w:r>
      <w:r w:rsidR="000C05E6">
        <w:rPr>
          <w:rFonts w:eastAsia="Arial"/>
        </w:rPr>
        <w:t>.</w:t>
      </w:r>
      <w:r w:rsidRPr="007C0DAA">
        <w:rPr>
          <w:rFonts w:eastAsia="Arial" w:cs="Arial"/>
          <w:b/>
          <w:vertAlign w:val="superscript"/>
        </w:rPr>
        <w:footnoteReference w:id="23"/>
      </w:r>
      <w:r w:rsidRPr="007C0DAA">
        <w:rPr>
          <w:rFonts w:eastAsia="Arial"/>
        </w:rPr>
        <w:t xml:space="preserve"> This trend has increased the demand for higher levels of technical and digital skills across all industries, for both ICT and non-ICT occupations</w:t>
      </w:r>
      <w:r w:rsidR="00D4034B">
        <w:rPr>
          <w:rFonts w:eastAsia="Arial"/>
        </w:rPr>
        <w:t>.</w:t>
      </w:r>
      <w:r w:rsidRPr="007C0DAA">
        <w:rPr>
          <w:rFonts w:eastAsia="Arial" w:cs="Arial"/>
          <w:b/>
          <w:vertAlign w:val="superscript"/>
        </w:rPr>
        <w:footnoteReference w:id="24"/>
      </w:r>
    </w:p>
    <w:p w14:paraId="579F8474" w14:textId="570EED80" w:rsidR="00C9084F" w:rsidRPr="007C0DAA" w:rsidRDefault="00C9084F" w:rsidP="009112B8">
      <w:pPr>
        <w:rPr>
          <w:rFonts w:eastAsia="Times New Roman"/>
        </w:rPr>
      </w:pPr>
      <w:r w:rsidRPr="007C0DAA">
        <w:rPr>
          <w:rFonts w:eastAsia="Times New Roman"/>
        </w:rPr>
        <w:t xml:space="preserve">The increasing demand for more highly skilled jobs has had an uneven impact across regions. </w:t>
      </w:r>
      <w:r w:rsidR="00F86307">
        <w:rPr>
          <w:rFonts w:eastAsia="Times New Roman"/>
        </w:rPr>
        <w:t>U</w:t>
      </w:r>
      <w:r w:rsidR="00096345" w:rsidRPr="00096345">
        <w:rPr>
          <w:rFonts w:eastAsia="Times New Roman"/>
        </w:rPr>
        <w:t>nlike capital cities and regional cities</w:t>
      </w:r>
      <w:r w:rsidR="00804831">
        <w:rPr>
          <w:rFonts w:eastAsia="Times New Roman"/>
        </w:rPr>
        <w:t>,</w:t>
      </w:r>
      <w:r w:rsidR="00096345" w:rsidRPr="00096345">
        <w:rPr>
          <w:rFonts w:eastAsia="Times New Roman"/>
        </w:rPr>
        <w:t xml:space="preserve"> </w:t>
      </w:r>
      <w:r w:rsidR="009034F2">
        <w:rPr>
          <w:rFonts w:eastAsia="Times New Roman"/>
        </w:rPr>
        <w:t xml:space="preserve">where </w:t>
      </w:r>
      <w:r w:rsidR="00096345" w:rsidRPr="00096345">
        <w:rPr>
          <w:rFonts w:eastAsia="Times New Roman"/>
        </w:rPr>
        <w:t>there has</w:t>
      </w:r>
      <w:r w:rsidR="00804831">
        <w:rPr>
          <w:rFonts w:eastAsia="Times New Roman"/>
        </w:rPr>
        <w:t xml:space="preserve"> been</w:t>
      </w:r>
      <w:r w:rsidR="00096345" w:rsidRPr="00096345">
        <w:rPr>
          <w:rFonts w:eastAsia="Times New Roman"/>
        </w:rPr>
        <w:t xml:space="preserve"> </w:t>
      </w:r>
      <w:r w:rsidR="00804831" w:rsidRPr="007C0DAA">
        <w:rPr>
          <w:rFonts w:eastAsia="Times New Roman"/>
        </w:rPr>
        <w:t xml:space="preserve">the largest shift in the share of employment towards skill level 1 </w:t>
      </w:r>
      <w:r w:rsidR="00804831">
        <w:rPr>
          <w:rFonts w:eastAsia="Times New Roman"/>
        </w:rPr>
        <w:t xml:space="preserve">occupations </w:t>
      </w:r>
      <w:r w:rsidR="00804831" w:rsidRPr="007C0DAA">
        <w:rPr>
          <w:rFonts w:eastAsia="Times New Roman"/>
        </w:rPr>
        <w:t>(</w:t>
      </w:r>
      <w:r w:rsidR="00804831">
        <w:rPr>
          <w:rFonts w:eastAsia="Times New Roman"/>
        </w:rPr>
        <w:t>Figure 15</w:t>
      </w:r>
      <w:r w:rsidR="00804831" w:rsidRPr="007C0DAA">
        <w:rPr>
          <w:rFonts w:eastAsia="Times New Roman"/>
        </w:rPr>
        <w:t>)</w:t>
      </w:r>
      <w:r w:rsidR="00804831">
        <w:rPr>
          <w:rFonts w:eastAsia="Times New Roman"/>
        </w:rPr>
        <w:t xml:space="preserve">, </w:t>
      </w:r>
      <w:r w:rsidR="00144761" w:rsidRPr="007C0DAA">
        <w:rPr>
          <w:rFonts w:eastAsia="Times New Roman"/>
        </w:rPr>
        <w:t xml:space="preserve">regional and remote </w:t>
      </w:r>
      <w:r w:rsidR="00144761">
        <w:rPr>
          <w:rFonts w:eastAsia="Times New Roman"/>
        </w:rPr>
        <w:t>areas</w:t>
      </w:r>
      <w:r w:rsidR="00144761" w:rsidRPr="007C0DAA">
        <w:rPr>
          <w:rFonts w:eastAsia="Times New Roman"/>
        </w:rPr>
        <w:t xml:space="preserve"> have experienced </w:t>
      </w:r>
      <w:r w:rsidR="007A173E">
        <w:rPr>
          <w:rFonts w:eastAsia="Times New Roman"/>
        </w:rPr>
        <w:t>a</w:t>
      </w:r>
      <w:r w:rsidR="00155D30">
        <w:rPr>
          <w:rFonts w:eastAsia="Times New Roman"/>
        </w:rPr>
        <w:t xml:space="preserve"> </w:t>
      </w:r>
      <w:r w:rsidR="00144761" w:rsidRPr="007C0DAA">
        <w:rPr>
          <w:rFonts w:eastAsia="Times New Roman"/>
        </w:rPr>
        <w:t>shift in the share of employment towards occupations where VET is the primary pathway (skill levels 2 to 4)</w:t>
      </w:r>
      <w:r w:rsidR="0031679A">
        <w:rPr>
          <w:rFonts w:eastAsia="Times New Roman"/>
        </w:rPr>
        <w:t>,</w:t>
      </w:r>
      <w:r w:rsidR="00144761">
        <w:rPr>
          <w:rFonts w:eastAsia="Times New Roman"/>
        </w:rPr>
        <w:t xml:space="preserve"> in addition to an increase in skill level 1 occup</w:t>
      </w:r>
      <w:r w:rsidR="00155D30">
        <w:rPr>
          <w:rFonts w:eastAsia="Times New Roman"/>
        </w:rPr>
        <w:t>a</w:t>
      </w:r>
      <w:r w:rsidR="00144761">
        <w:rPr>
          <w:rFonts w:eastAsia="Times New Roman"/>
        </w:rPr>
        <w:t>tions.</w:t>
      </w:r>
      <w:r w:rsidRPr="007C0DAA">
        <w:rPr>
          <w:rFonts w:eastAsia="Times New Roman"/>
        </w:rPr>
        <w:t xml:space="preserve"> </w:t>
      </w:r>
    </w:p>
    <w:p w14:paraId="1DA94AF5" w14:textId="1BD29C37" w:rsidR="00C9084F" w:rsidRPr="00150241" w:rsidRDefault="0006095F" w:rsidP="00150241">
      <w:pPr>
        <w:pStyle w:val="Caption"/>
        <w:rPr>
          <w:rFonts w:asciiTheme="minorHAnsi" w:hAnsiTheme="minorHAnsi" w:cstheme="minorHAnsi"/>
          <w:szCs w:val="20"/>
        </w:rPr>
      </w:pPr>
      <w:r w:rsidRPr="00150241">
        <w:rPr>
          <w:rFonts w:asciiTheme="minorHAnsi" w:hAnsiTheme="minorHAnsi" w:cstheme="minorHAnsi"/>
          <w:szCs w:val="20"/>
        </w:rPr>
        <w:t>Figure 1</w:t>
      </w:r>
      <w:r w:rsidR="00BF4CA2" w:rsidRPr="00150241">
        <w:rPr>
          <w:rFonts w:asciiTheme="minorHAnsi" w:hAnsiTheme="minorHAnsi" w:cstheme="minorHAnsi"/>
          <w:szCs w:val="20"/>
        </w:rPr>
        <w:t>5</w:t>
      </w:r>
      <w:r w:rsidR="00C9084F" w:rsidRPr="00150241">
        <w:rPr>
          <w:rFonts w:asciiTheme="minorHAnsi" w:hAnsiTheme="minorHAnsi" w:cstheme="minorHAnsi"/>
          <w:szCs w:val="20"/>
        </w:rPr>
        <w:t>: Skill level employment share, change (%</w:t>
      </w:r>
      <w:r w:rsidR="002E52F8" w:rsidRPr="00150241">
        <w:rPr>
          <w:rFonts w:asciiTheme="minorHAnsi" w:hAnsiTheme="minorHAnsi" w:cstheme="minorHAnsi"/>
          <w:szCs w:val="20"/>
        </w:rPr>
        <w:t xml:space="preserve"> pts</w:t>
      </w:r>
      <w:r w:rsidR="00C9084F" w:rsidRPr="00150241">
        <w:rPr>
          <w:rFonts w:asciiTheme="minorHAnsi" w:hAnsiTheme="minorHAnsi" w:cstheme="minorHAnsi"/>
          <w:szCs w:val="20"/>
        </w:rPr>
        <w:t xml:space="preserve">) between 2019 and 2024 </w:t>
      </w:r>
    </w:p>
    <w:p w14:paraId="02AD534D" w14:textId="4C30E4D3" w:rsidR="00C9084F" w:rsidRDefault="00F41A63" w:rsidP="003D070F">
      <w:pPr>
        <w:rPr>
          <w:rFonts w:eastAsia="Arial"/>
        </w:rPr>
      </w:pPr>
      <w:r>
        <w:rPr>
          <w:noProof/>
        </w:rPr>
        <w:drawing>
          <wp:inline distT="0" distB="0" distL="0" distR="0" wp14:anchorId="0AC74DB2" wp14:editId="0BDAE616">
            <wp:extent cx="5731200" cy="2743200"/>
            <wp:effectExtent l="0" t="0" r="3175" b="0"/>
            <wp:docPr id="426878034" name="Chart 1" descr="A bar chart that shows the percentage point change in skill level employment (skill level 1, skill level2-4 and skill level 5) between 2019 and 2024 by remoteness category (metropolitan city, regional city, regional and remote).">
              <a:extLst xmlns:a="http://schemas.openxmlformats.org/drawingml/2006/main">
                <a:ext uri="{FF2B5EF4-FFF2-40B4-BE49-F238E27FC236}">
                  <a16:creationId xmlns:a16="http://schemas.microsoft.com/office/drawing/2014/main" id="{D1362135-E353-4934-A5C1-3D6615F1B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E617096" w14:textId="6DBE690E" w:rsidR="00C9084F" w:rsidRPr="00947DC0" w:rsidRDefault="00C9084F" w:rsidP="00947DC0">
      <w:pPr>
        <w:pStyle w:val="Source"/>
        <w:rPr>
          <w:rFonts w:eastAsia="Times New Roman"/>
          <w:i/>
        </w:rPr>
      </w:pPr>
      <w:r w:rsidRPr="00947DC0">
        <w:rPr>
          <w:rFonts w:asciiTheme="minorHAnsi" w:hAnsiTheme="minorHAnsi" w:cstheme="minorHAnsi"/>
          <w:bCs/>
        </w:rPr>
        <w:t xml:space="preserve">Source: </w:t>
      </w:r>
      <w:r w:rsidRPr="00947DC0">
        <w:rPr>
          <w:rFonts w:eastAsia="Times New Roman"/>
        </w:rPr>
        <w:t xml:space="preserve">JSA, </w:t>
      </w:r>
      <w:r w:rsidRPr="00947DC0">
        <w:rPr>
          <w:rFonts w:eastAsia="Times New Roman"/>
          <w:i/>
        </w:rPr>
        <w:t>N</w:t>
      </w:r>
      <w:r w:rsidR="00A36DEB" w:rsidRPr="00947DC0">
        <w:rPr>
          <w:rFonts w:eastAsia="Times New Roman"/>
          <w:i/>
        </w:rPr>
        <w:t xml:space="preserve">owcast of </w:t>
      </w:r>
      <w:r w:rsidRPr="00947DC0">
        <w:rPr>
          <w:rFonts w:eastAsia="Times New Roman"/>
          <w:i/>
        </w:rPr>
        <w:t>E</w:t>
      </w:r>
      <w:r w:rsidR="00A36DEB" w:rsidRPr="00947DC0">
        <w:rPr>
          <w:rFonts w:eastAsia="Times New Roman"/>
          <w:i/>
        </w:rPr>
        <w:t xml:space="preserve">mployment </w:t>
      </w:r>
      <w:r w:rsidR="00521B27" w:rsidRPr="00947DC0">
        <w:rPr>
          <w:rFonts w:eastAsia="Times New Roman"/>
          <w:i/>
        </w:rPr>
        <w:t xml:space="preserve">by </w:t>
      </w:r>
      <w:r w:rsidRPr="00947DC0">
        <w:rPr>
          <w:rFonts w:eastAsia="Times New Roman"/>
          <w:i/>
        </w:rPr>
        <w:t>R</w:t>
      </w:r>
      <w:r w:rsidR="00521B27" w:rsidRPr="00947DC0">
        <w:rPr>
          <w:rFonts w:eastAsia="Times New Roman"/>
          <w:i/>
        </w:rPr>
        <w:t>egion and Occupation (NERO)</w:t>
      </w:r>
      <w:r w:rsidRPr="00947DC0">
        <w:rPr>
          <w:rFonts w:eastAsia="Times New Roman"/>
        </w:rPr>
        <w:t>, April 2024</w:t>
      </w:r>
    </w:p>
    <w:p w14:paraId="40D16B75" w14:textId="37E569AA" w:rsidR="00C9084F" w:rsidRPr="00947DC0" w:rsidRDefault="00C9084F" w:rsidP="00D43896">
      <w:pPr>
        <w:pStyle w:val="Source"/>
      </w:pPr>
      <w:r w:rsidRPr="00947DC0">
        <w:t xml:space="preserve">Note: Skill Level 1 relates to </w:t>
      </w:r>
      <w:r w:rsidR="00FE2C15" w:rsidRPr="00947DC0">
        <w:t>B</w:t>
      </w:r>
      <w:r w:rsidRPr="00947DC0">
        <w:t xml:space="preserve">achelor </w:t>
      </w:r>
      <w:r w:rsidR="00FE2C15" w:rsidRPr="00947DC0">
        <w:t>D</w:t>
      </w:r>
      <w:r w:rsidRPr="00947DC0">
        <w:t xml:space="preserve">egree or higher qualification; Skill Level 2 relates to </w:t>
      </w:r>
      <w:r w:rsidR="00FE2C15" w:rsidRPr="00947DC0">
        <w:t>A</w:t>
      </w:r>
      <w:r w:rsidRPr="00947DC0">
        <w:t xml:space="preserve">dvanced </w:t>
      </w:r>
      <w:r w:rsidR="00FE2C15" w:rsidRPr="00947DC0">
        <w:t>D</w:t>
      </w:r>
      <w:r w:rsidRPr="00947DC0">
        <w:t xml:space="preserve">iploma or </w:t>
      </w:r>
      <w:r w:rsidR="00FE2C15" w:rsidRPr="00947DC0">
        <w:t>D</w:t>
      </w:r>
      <w:r w:rsidRPr="00947DC0">
        <w:t xml:space="preserve">iploma; Skill Level 3 relates to Certificate IV or III (including at least 2 years on-the-job training); Skill Level 4 relates to Certificate II or III; Skill Level 5 relates to Certificate I or secondary education. </w:t>
      </w:r>
    </w:p>
    <w:p w14:paraId="3D1442FE" w14:textId="25654723" w:rsidR="00C9084F" w:rsidRPr="007C0DAA" w:rsidRDefault="00C9084F" w:rsidP="00947DC0">
      <w:pPr>
        <w:rPr>
          <w:rFonts w:eastAsia="Times New Roman"/>
        </w:rPr>
      </w:pPr>
      <w:r w:rsidRPr="007C0DAA">
        <w:t>The shift toward high skilled employment will continue to be a key driver of labour market performance going forward as the demand for high skilled workers is expected to grow strongly. Over the 10 years</w:t>
      </w:r>
      <w:r w:rsidR="00AB6B58">
        <w:t xml:space="preserve"> to May 2033</w:t>
      </w:r>
      <w:r w:rsidRPr="007C0DAA">
        <w:t>, more than 9 out of 10 new jobs (around 92%) expected to be created will require post-secondary qualifications (</w:t>
      </w:r>
      <w:r w:rsidR="003B0D57">
        <w:t>s</w:t>
      </w:r>
      <w:r w:rsidRPr="007C0DAA">
        <w:t xml:space="preserve">kill </w:t>
      </w:r>
      <w:r w:rsidR="003B0D57">
        <w:t>l</w:t>
      </w:r>
      <w:r w:rsidRPr="007C0DAA">
        <w:t>evels 1 to 4).</w:t>
      </w:r>
      <w:r w:rsidRPr="007C0DAA">
        <w:rPr>
          <w:rStyle w:val="FootnoteReference"/>
          <w:rFonts w:eastAsia="Times New Roman"/>
        </w:rPr>
        <w:footnoteReference w:id="25"/>
      </w:r>
      <w:r w:rsidRPr="007C0DAA">
        <w:t xml:space="preserve"> Around half (48%) will require a </w:t>
      </w:r>
      <w:r w:rsidR="00FE2C15">
        <w:t>B</w:t>
      </w:r>
      <w:r w:rsidRPr="007C0DAA">
        <w:t xml:space="preserve">achelor </w:t>
      </w:r>
      <w:r w:rsidR="00FE2C15">
        <w:t>D</w:t>
      </w:r>
      <w:r w:rsidRPr="007C0DAA">
        <w:t>egree o</w:t>
      </w:r>
      <w:r w:rsidR="00D27E7D">
        <w:t>r</w:t>
      </w:r>
      <w:r w:rsidRPr="007C0DAA">
        <w:t xml:space="preserve"> higher qualification as the primary education training pathway (Skill Level 1), and around 44% will have VET as the primary pathway (Skill Levels</w:t>
      </w:r>
      <w:r w:rsidR="00947DC0">
        <w:t> </w:t>
      </w:r>
      <w:r w:rsidRPr="007C0DAA">
        <w:t xml:space="preserve">2 to 4). </w:t>
      </w:r>
    </w:p>
    <w:p w14:paraId="4D5ADBCC" w14:textId="24DB89D2" w:rsidR="00C9084F" w:rsidRPr="007C0DAA" w:rsidRDefault="00C9084F" w:rsidP="00947DC0">
      <w:pPr>
        <w:rPr>
          <w:rFonts w:eastAsia="Times New Roman"/>
        </w:rPr>
      </w:pPr>
      <w:r w:rsidRPr="007C0DAA">
        <w:t xml:space="preserve">The projected continued compositional shift towards high </w:t>
      </w:r>
      <w:r>
        <w:t>skill</w:t>
      </w:r>
      <w:r w:rsidR="2AD19E90">
        <w:t>ed</w:t>
      </w:r>
      <w:r w:rsidRPr="007C0DAA">
        <w:t xml:space="preserve"> employment highlights the importance of the VET and higher education system</w:t>
      </w:r>
      <w:r w:rsidR="00763E52">
        <w:rPr>
          <w:rFonts w:eastAsia="Times New Roman"/>
        </w:rPr>
        <w:t>s</w:t>
      </w:r>
      <w:r w:rsidRPr="007C0DAA">
        <w:rPr>
          <w:rFonts w:eastAsia="Times New Roman"/>
        </w:rPr>
        <w:t xml:space="preserve"> to ensure the workforce has appropriate training and skills.</w:t>
      </w:r>
    </w:p>
    <w:p w14:paraId="31AEEC90" w14:textId="77777777" w:rsidR="00C9084F" w:rsidRPr="00947DC0" w:rsidRDefault="00C9084F" w:rsidP="00D43896">
      <w:pPr>
        <w:pStyle w:val="Heading3"/>
        <w:rPr>
          <w:vertAlign w:val="superscript"/>
        </w:rPr>
      </w:pPr>
      <w:bookmarkStart w:id="32" w:name="_Toc171937415"/>
      <w:r w:rsidRPr="00947DC0">
        <w:t>The clean energy transformation</w:t>
      </w:r>
      <w:bookmarkEnd w:id="32"/>
      <w:r w:rsidRPr="00947DC0">
        <w:rPr>
          <w:vertAlign w:val="superscript"/>
        </w:rPr>
        <w:footnoteReference w:id="26"/>
      </w:r>
    </w:p>
    <w:p w14:paraId="1EB626C8" w14:textId="77777777" w:rsidR="00C9084F" w:rsidRPr="007C0DAA" w:rsidRDefault="00C9084F" w:rsidP="00E64DAF">
      <w:pPr>
        <w:outlineLvl w:val="3"/>
        <w:rPr>
          <w:rFonts w:eastAsia="Times New Roman"/>
        </w:rPr>
      </w:pPr>
      <w:r w:rsidRPr="007C0DAA">
        <w:rPr>
          <w:rFonts w:eastAsia="Times New Roman"/>
        </w:rPr>
        <w:t>Achieving the net zero transformation represents one of the most significant economic structural shifts since the Industrial Revolution. It presents both challenges and opportunities for the Australian economy and will accelerate investment in capital, people, and communities. The transformation has particular implications for regional Australia, both in terms of the regional location of the existing workforce and the likely changes to regional employment.</w:t>
      </w:r>
    </w:p>
    <w:p w14:paraId="4CFA91A9" w14:textId="77777777" w:rsidR="00C9084F" w:rsidRPr="00187310" w:rsidRDefault="00C9084F" w:rsidP="008C4195">
      <w:pPr>
        <w:pStyle w:val="Heading4"/>
        <w:keepNext/>
        <w:rPr>
          <w:b w:val="0"/>
        </w:rPr>
      </w:pPr>
      <w:r w:rsidRPr="00187310">
        <w:t xml:space="preserve">The clean energy </w:t>
      </w:r>
      <w:r w:rsidRPr="008C4195">
        <w:t>workforce</w:t>
      </w:r>
    </w:p>
    <w:p w14:paraId="43B2D36A" w14:textId="3A83A78E" w:rsidR="00C9084F" w:rsidRPr="007C0DAA" w:rsidRDefault="00C9084F" w:rsidP="008C4195">
      <w:pPr>
        <w:keepLines/>
        <w:rPr>
          <w:rFonts w:eastAsia="Times New Roman"/>
        </w:rPr>
      </w:pPr>
      <w:r w:rsidRPr="007C0DAA">
        <w:t xml:space="preserve">Clean energy jobs are found right across the workforce, extending well beyond obvious sectors like wind, solar and hydroelectricity </w:t>
      </w:r>
      <w:r w:rsidR="002F2095">
        <w:rPr>
          <w:rFonts w:eastAsia="Times New Roman"/>
        </w:rPr>
        <w:t xml:space="preserve">generation </w:t>
      </w:r>
      <w:r w:rsidRPr="007C0DAA">
        <w:rPr>
          <w:rFonts w:eastAsia="Times New Roman"/>
        </w:rPr>
        <w:t>into parts of construction and research and development amongst others. The clean energy workforce is employed right across Australia, although regional differences mean different locations are better suited to certain technologies and therefore attract different types of workers. For instance, Tasmania has a high concentration of clean energy supply workers working in hydroelectricity</w:t>
      </w:r>
      <w:r w:rsidR="009F5A51">
        <w:rPr>
          <w:rFonts w:eastAsia="Times New Roman"/>
        </w:rPr>
        <w:t xml:space="preserve"> generation</w:t>
      </w:r>
      <w:r w:rsidRPr="007C0DAA">
        <w:rPr>
          <w:rFonts w:eastAsia="Times New Roman"/>
        </w:rPr>
        <w:t xml:space="preserve">, while a high proportion of employment in </w:t>
      </w:r>
      <w:r w:rsidR="007C5A28">
        <w:rPr>
          <w:rFonts w:eastAsia="Times New Roman"/>
        </w:rPr>
        <w:t xml:space="preserve">clean energy jobs in </w:t>
      </w:r>
      <w:r w:rsidRPr="007C0DAA">
        <w:rPr>
          <w:rFonts w:eastAsia="Times New Roman"/>
        </w:rPr>
        <w:t>capital cities likely reflect</w:t>
      </w:r>
      <w:r w:rsidR="007C5A28">
        <w:rPr>
          <w:rFonts w:eastAsia="Times New Roman"/>
        </w:rPr>
        <w:t>s</w:t>
      </w:r>
      <w:r w:rsidRPr="007C0DAA">
        <w:rPr>
          <w:rFonts w:eastAsia="Times New Roman"/>
        </w:rPr>
        <w:t xml:space="preserve"> white collar professions in the workforce. </w:t>
      </w:r>
    </w:p>
    <w:p w14:paraId="3E656D3D" w14:textId="0492E2E8" w:rsidR="00C9084F" w:rsidRPr="007C0DAA" w:rsidRDefault="00C9084F" w:rsidP="00187310">
      <w:pPr>
        <w:rPr>
          <w:rFonts w:eastAsia="Times New Roman"/>
        </w:rPr>
      </w:pPr>
      <w:r w:rsidRPr="007C0DAA">
        <w:t xml:space="preserve">New employment opportunities </w:t>
      </w:r>
      <w:r w:rsidR="00952CFC">
        <w:rPr>
          <w:rFonts w:eastAsia="Times New Roman"/>
        </w:rPr>
        <w:t xml:space="preserve">are likely to be </w:t>
      </w:r>
      <w:r w:rsidRPr="007C0DAA">
        <w:rPr>
          <w:rFonts w:eastAsia="Times New Roman"/>
        </w:rPr>
        <w:t>created from the net zero transformation, particularly in regional Australia, although there is some variation across region</w:t>
      </w:r>
      <w:r w:rsidR="00952CFC">
        <w:rPr>
          <w:rFonts w:eastAsia="Times New Roman"/>
        </w:rPr>
        <w:t>s</w:t>
      </w:r>
      <w:r w:rsidRPr="007C0DAA">
        <w:rPr>
          <w:rFonts w:eastAsia="Times New Roman"/>
        </w:rPr>
        <w:t>. Reflecting growth in renewable energy projects and the associated construction pipeline, many regions are likely to have average annual employment growth rates close to 2% between 2023 and 20</w:t>
      </w:r>
      <w:r w:rsidR="00746502">
        <w:rPr>
          <w:rFonts w:eastAsia="Times New Roman"/>
        </w:rPr>
        <w:t>3</w:t>
      </w:r>
      <w:r w:rsidRPr="007C0DAA">
        <w:rPr>
          <w:rFonts w:eastAsia="Times New Roman"/>
        </w:rPr>
        <w:t>0, including Northern NSW</w:t>
      </w:r>
      <w:r w:rsidR="003916CA">
        <w:rPr>
          <w:rFonts w:eastAsia="Times New Roman"/>
        </w:rPr>
        <w:t>,</w:t>
      </w:r>
      <w:r w:rsidRPr="007C0DAA">
        <w:rPr>
          <w:rFonts w:eastAsia="Times New Roman"/>
        </w:rPr>
        <w:t xml:space="preserve"> and ACT and Southern NSW. Eastern Victoria and the Northern Territory are also expected to have relatively high growth rates (close to 2%), but in these two regions the growth is off a small base. The strong projected employment growth in regional Australia highlights the importance of the VET sector to fill the workforce supply gaps for qualified workers, such as electrical and engineering trade roles that are critical to the construction and maintenance of renewable energy projects.</w:t>
      </w:r>
    </w:p>
    <w:p w14:paraId="541C8DEF" w14:textId="77777777" w:rsidR="00C9084F" w:rsidRPr="003B4554" w:rsidRDefault="00C9084F" w:rsidP="00D43896">
      <w:pPr>
        <w:pStyle w:val="Heading4"/>
        <w:rPr>
          <w:b w:val="0"/>
        </w:rPr>
      </w:pPr>
      <w:r w:rsidRPr="005C4507">
        <w:t>Regional implications of decarbonisation</w:t>
      </w:r>
    </w:p>
    <w:p w14:paraId="667DDC51" w14:textId="663DC6AF" w:rsidR="00C9084F" w:rsidRPr="007C0DAA" w:rsidRDefault="00C9084F" w:rsidP="005C4507">
      <w:pPr>
        <w:rPr>
          <w:rFonts w:eastAsia="Times New Roman"/>
        </w:rPr>
      </w:pPr>
      <w:r w:rsidRPr="007C0DAA">
        <w:t>The</w:t>
      </w:r>
      <w:r w:rsidR="00E64DAF">
        <w:rPr>
          <w:rFonts w:eastAsia="Times New Roman"/>
        </w:rPr>
        <w:t>re</w:t>
      </w:r>
      <w:r w:rsidRPr="007C0DAA">
        <w:rPr>
          <w:rFonts w:eastAsia="Times New Roman"/>
        </w:rPr>
        <w:t xml:space="preserve"> are, however, a number of regional areas across Australia that will be disproportionately impacted by the impact of decarbonisation due to the high share of workers in transitioning sectors</w:t>
      </w:r>
      <w:r w:rsidR="0065532A">
        <w:rPr>
          <w:rFonts w:eastAsia="Times New Roman"/>
        </w:rPr>
        <w:t>.</w:t>
      </w:r>
      <w:r w:rsidRPr="0065532A">
        <w:rPr>
          <w:rStyle w:val="FootnoteReference"/>
        </w:rPr>
        <w:footnoteReference w:id="27"/>
      </w:r>
      <w:r w:rsidRPr="007C0DAA">
        <w:rPr>
          <w:rFonts w:eastAsia="Times New Roman"/>
        </w:rPr>
        <w:t xml:space="preserve"> There are 12 regions (SA3s) where workers in transitioning industries make up more than 2% of local employment, all of which are located in regional Australia (</w:t>
      </w:r>
      <w:r w:rsidR="003C1429">
        <w:rPr>
          <w:rFonts w:eastAsia="Times New Roman"/>
        </w:rPr>
        <w:t>Figure 1</w:t>
      </w:r>
      <w:r w:rsidR="00BF4CA2">
        <w:rPr>
          <w:rFonts w:eastAsia="Times New Roman"/>
        </w:rPr>
        <w:t>6</w:t>
      </w:r>
      <w:r w:rsidRPr="007C0DAA">
        <w:rPr>
          <w:rFonts w:eastAsia="Times New Roman"/>
        </w:rPr>
        <w:t xml:space="preserve">). By comparison, there are only </w:t>
      </w:r>
      <w:r w:rsidR="007853A8">
        <w:rPr>
          <w:rFonts w:eastAsia="Times New Roman"/>
        </w:rPr>
        <w:t>five</w:t>
      </w:r>
      <w:r w:rsidRPr="007C0DAA">
        <w:rPr>
          <w:rFonts w:eastAsia="Times New Roman"/>
        </w:rPr>
        <w:t xml:space="preserve"> regions where clean energy supply workers (generation and distribution) make up over 1% of their local labour market. This highlights the differences between the two segments, with clean energy typically being less concentrated and labour intensive than transitioning work. </w:t>
      </w:r>
    </w:p>
    <w:p w14:paraId="057A0F1C" w14:textId="3186C0D5" w:rsidR="00C9084F" w:rsidRPr="00D43896" w:rsidRDefault="0071003B" w:rsidP="00D43896">
      <w:pPr>
        <w:pStyle w:val="Caption"/>
      </w:pPr>
      <w:r w:rsidRPr="00150241">
        <w:t>Figure 1</w:t>
      </w:r>
      <w:r w:rsidR="00BF4CA2" w:rsidRPr="00150241">
        <w:t>6</w:t>
      </w:r>
      <w:r w:rsidR="00C9084F" w:rsidRPr="00150241">
        <w:t xml:space="preserve">: Regions (SA3) with high proportions (&gt;2%) of total local employment in </w:t>
      </w:r>
      <w:r w:rsidR="0074648E" w:rsidRPr="00150241">
        <w:t>tr</w:t>
      </w:r>
      <w:r w:rsidR="00C9084F" w:rsidRPr="00150241">
        <w:t xml:space="preserve">ansitioning </w:t>
      </w:r>
      <w:r w:rsidR="0074648E" w:rsidRPr="00150241">
        <w:t>i</w:t>
      </w:r>
      <w:r w:rsidR="00C9084F" w:rsidRPr="00150241">
        <w:t>ndustries</w:t>
      </w:r>
    </w:p>
    <w:p w14:paraId="36A24611" w14:textId="77777777" w:rsidR="00C9084F" w:rsidRDefault="00C9084F" w:rsidP="003D070F">
      <w:pPr>
        <w:rPr>
          <w:rFonts w:eastAsia="Times New Roman"/>
        </w:rPr>
      </w:pPr>
      <w:r>
        <w:rPr>
          <w:noProof/>
        </w:rPr>
        <w:drawing>
          <wp:inline distT="0" distB="0" distL="0" distR="0" wp14:anchorId="22631FFF" wp14:editId="4FCF40AB">
            <wp:extent cx="5798222" cy="4486939"/>
            <wp:effectExtent l="0" t="0" r="0" b="8890"/>
            <wp:docPr id="748996645" name="Picture 748996645" descr="This figure represents regions where the local employment of transitioning workers is greater than 2%. The Bowen Basin in Queensland represents the largest group at 21% of local workers in transitioning industries, followed by the Central Highlands in Queensland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96645" name="Picture 748996645" descr="This figure represents regions where the local employment of transitioning workers is greater than 2%. The Bowen Basin in Queensland represents the largest group at 21% of local workers in transitioning industries, followed by the Central Highlands in Queensland at 15%"/>
                    <pic:cNvPicPr/>
                  </pic:nvPicPr>
                  <pic:blipFill rotWithShape="1">
                    <a:blip r:embed="rId56" cstate="print">
                      <a:extLst>
                        <a:ext uri="{28A0092B-C50C-407E-A947-70E740481C1C}">
                          <a14:useLocalDpi xmlns:a14="http://schemas.microsoft.com/office/drawing/2010/main"/>
                        </a:ext>
                      </a:extLst>
                    </a:blip>
                    <a:srcRect t="7190" r="4066"/>
                    <a:stretch/>
                  </pic:blipFill>
                  <pic:spPr bwMode="auto">
                    <a:xfrm>
                      <a:off x="0" y="0"/>
                      <a:ext cx="5805809" cy="4492810"/>
                    </a:xfrm>
                    <a:prstGeom prst="rect">
                      <a:avLst/>
                    </a:prstGeom>
                    <a:ln>
                      <a:noFill/>
                    </a:ln>
                    <a:extLst>
                      <a:ext uri="{53640926-AAD7-44D8-BBD7-CCE9431645EC}">
                        <a14:shadowObscured xmlns:a14="http://schemas.microsoft.com/office/drawing/2010/main"/>
                      </a:ext>
                    </a:extLst>
                  </pic:spPr>
                </pic:pic>
              </a:graphicData>
            </a:graphic>
          </wp:inline>
        </w:drawing>
      </w:r>
    </w:p>
    <w:p w14:paraId="0A66CA0E" w14:textId="7E172B2B" w:rsidR="00C9084F" w:rsidRPr="005C4507" w:rsidRDefault="00C9084F" w:rsidP="005C4507">
      <w:pPr>
        <w:pStyle w:val="Source"/>
        <w:rPr>
          <w:rFonts w:asciiTheme="majorHAnsi" w:hAnsiTheme="majorHAnsi" w:cstheme="majorHAnsi"/>
        </w:rPr>
      </w:pPr>
      <w:r w:rsidRPr="005C4507">
        <w:rPr>
          <w:rFonts w:asciiTheme="minorHAnsi" w:hAnsiTheme="minorHAnsi" w:cstheme="minorHAnsi"/>
        </w:rPr>
        <w:t xml:space="preserve">Source: </w:t>
      </w:r>
      <w:r w:rsidRPr="005C4507">
        <w:rPr>
          <w:rFonts w:asciiTheme="majorHAnsi" w:hAnsiTheme="majorHAnsi" w:cstheme="majorHAnsi"/>
          <w14:numForm w14:val="lining"/>
          <w14:numSpacing w14:val="proportional"/>
        </w:rPr>
        <w:t>ABS</w:t>
      </w:r>
      <w:r w:rsidR="00B02793" w:rsidRPr="005C4507">
        <w:rPr>
          <w:rFonts w:asciiTheme="majorHAnsi" w:hAnsiTheme="majorHAnsi" w:cstheme="majorHAnsi"/>
          <w14:numForm w14:val="lining"/>
          <w14:numSpacing w14:val="proportional"/>
        </w:rPr>
        <w:t>,</w:t>
      </w:r>
      <w:r w:rsidRPr="005C4507">
        <w:rPr>
          <w:rFonts w:asciiTheme="majorHAnsi" w:hAnsiTheme="majorHAnsi" w:cstheme="majorHAnsi"/>
          <w14:numForm w14:val="lining"/>
          <w14:numSpacing w14:val="proportional"/>
        </w:rPr>
        <w:t xml:space="preserve"> </w:t>
      </w:r>
      <w:r w:rsidRPr="005C4507">
        <w:rPr>
          <w:rFonts w:asciiTheme="majorHAnsi" w:hAnsiTheme="majorHAnsi" w:cstheme="majorHAnsi"/>
          <w:i/>
          <w14:numForm w14:val="lining"/>
          <w14:numSpacing w14:val="proportional"/>
        </w:rPr>
        <w:t>Census of Population and Housing</w:t>
      </w:r>
      <w:r w:rsidR="00B02793" w:rsidRPr="005C4507">
        <w:rPr>
          <w:rFonts w:asciiTheme="majorHAnsi" w:hAnsiTheme="majorHAnsi" w:cstheme="majorHAnsi"/>
          <w:i/>
          <w14:numForm w14:val="lining"/>
          <w14:numSpacing w14:val="proportional"/>
        </w:rPr>
        <w:t>,</w:t>
      </w:r>
      <w:r w:rsidRPr="005C4507">
        <w:rPr>
          <w:rFonts w:asciiTheme="majorHAnsi" w:hAnsiTheme="majorHAnsi" w:cstheme="majorHAnsi"/>
          <w14:numForm w14:val="lining"/>
          <w14:numSpacing w14:val="proportional"/>
        </w:rPr>
        <w:t xml:space="preserve"> 2021</w:t>
      </w:r>
    </w:p>
    <w:p w14:paraId="24622054" w14:textId="427670EF" w:rsidR="00C9084F" w:rsidRPr="000B6537" w:rsidRDefault="00C9084F" w:rsidP="005C4507">
      <w:pPr>
        <w:rPr>
          <w:rFonts w:eastAsia="Times New Roman"/>
        </w:rPr>
      </w:pPr>
      <w:r w:rsidRPr="000B6537">
        <w:t xml:space="preserve">While some transitioning workers will </w:t>
      </w:r>
      <w:r w:rsidR="00F3297A">
        <w:rPr>
          <w:rFonts w:eastAsia="Times New Roman"/>
        </w:rPr>
        <w:t xml:space="preserve">likely </w:t>
      </w:r>
      <w:r w:rsidRPr="000B6537">
        <w:rPr>
          <w:rFonts w:eastAsia="Times New Roman"/>
        </w:rPr>
        <w:t xml:space="preserve">move into clean energy jobs, this isn’t the only (or necessarily the best) outcome. Mismatches in skills, location, timing and preferences are just some of the considerations policy makers will need to consider </w:t>
      </w:r>
      <w:r w:rsidR="0094471C" w:rsidRPr="000B6537">
        <w:rPr>
          <w:rFonts w:eastAsia="Times New Roman"/>
        </w:rPr>
        <w:t>delivering</w:t>
      </w:r>
      <w:r w:rsidRPr="000B6537">
        <w:rPr>
          <w:rFonts w:eastAsia="Times New Roman"/>
        </w:rPr>
        <w:t xml:space="preserve"> targeted, localised and individualised supports to drive successful outcomes for workers and their communities. </w:t>
      </w:r>
    </w:p>
    <w:p w14:paraId="637EF48E" w14:textId="77777777" w:rsidR="00C9084F" w:rsidRPr="005C4507" w:rsidRDefault="00C9084F" w:rsidP="00204280">
      <w:pPr>
        <w:pStyle w:val="Heading3"/>
        <w:rPr>
          <w:rFonts w:asciiTheme="majorHAnsi" w:hAnsiTheme="majorHAnsi" w:cstheme="majorHAnsi"/>
        </w:rPr>
      </w:pPr>
      <w:bookmarkStart w:id="33" w:name="_Toc171937416"/>
      <w:r w:rsidRPr="005C4507">
        <w:rPr>
          <w:rFonts w:asciiTheme="majorHAnsi" w:hAnsiTheme="majorHAnsi" w:cstheme="majorHAnsi"/>
        </w:rPr>
        <w:t>Broader regional issues</w:t>
      </w:r>
      <w:bookmarkEnd w:id="33"/>
      <w:r w:rsidRPr="005C4507">
        <w:rPr>
          <w:rFonts w:asciiTheme="majorHAnsi" w:hAnsiTheme="majorHAnsi" w:cstheme="majorHAnsi"/>
        </w:rPr>
        <w:t xml:space="preserve"> </w:t>
      </w:r>
    </w:p>
    <w:p w14:paraId="1878D4B7" w14:textId="77777777" w:rsidR="00C9084F" w:rsidRPr="000B6537" w:rsidRDefault="00C9084F" w:rsidP="005C4507">
      <w:pPr>
        <w:rPr>
          <w:rFonts w:eastAsia="Arial"/>
        </w:rPr>
      </w:pPr>
      <w:r w:rsidRPr="000B6537">
        <w:t xml:space="preserve">There are a number of broader regional drivers, such as housing, transport and services, that also play a crucial part in attracting and keeping people that contribute to the workforce. </w:t>
      </w:r>
    </w:p>
    <w:p w14:paraId="6E851DE2" w14:textId="77777777" w:rsidR="00C9084F" w:rsidRPr="005C4507" w:rsidRDefault="00C9084F" w:rsidP="008C4195">
      <w:pPr>
        <w:pStyle w:val="Heading4"/>
      </w:pPr>
      <w:r w:rsidRPr="008C4195">
        <w:t>Housing</w:t>
      </w:r>
    </w:p>
    <w:p w14:paraId="455327A8" w14:textId="70965810" w:rsidR="004D329B" w:rsidRDefault="00C9084F" w:rsidP="005C4507">
      <w:pPr>
        <w:rPr>
          <w:rFonts w:eastAsia="Arial"/>
        </w:rPr>
      </w:pPr>
      <w:r w:rsidRPr="000B6537">
        <w:t xml:space="preserve">The affordability and availability of housing is currently a major challenge facing regional Australia. While COVID-19 lockdowns and remote work trends contributed to an influx of internal migration to many regional areas (particularly in coastal regions such as the Gold Coast and Geelong), the regional lifestyle is continuing to drive strong population growth and housing demand in </w:t>
      </w:r>
      <w:r w:rsidR="009E50B8">
        <w:rPr>
          <w:rFonts w:eastAsia="Arial"/>
        </w:rPr>
        <w:t>many</w:t>
      </w:r>
      <w:r w:rsidRPr="000B6537">
        <w:rPr>
          <w:rFonts w:eastAsia="Arial"/>
        </w:rPr>
        <w:t xml:space="preserve"> regions.</w:t>
      </w:r>
      <w:r w:rsidR="004443FA">
        <w:rPr>
          <w:rFonts w:eastAsia="Arial"/>
        </w:rPr>
        <w:t xml:space="preserve"> </w:t>
      </w:r>
    </w:p>
    <w:p w14:paraId="206D282C" w14:textId="5F589828" w:rsidR="00C9084F" w:rsidRDefault="00C9084F" w:rsidP="005C4507">
      <w:pPr>
        <w:rPr>
          <w:rFonts w:eastAsia="Arial"/>
        </w:rPr>
      </w:pPr>
      <w:r w:rsidRPr="000B6537">
        <w:t xml:space="preserve">The increased demand for housing in many regional areas has led to low vacancy rates, rising rents and high property prices across most regional centres in recent years. </w:t>
      </w:r>
      <w:r w:rsidRPr="004D329B">
        <w:t>According to</w:t>
      </w:r>
      <w:r w:rsidR="00457470" w:rsidRPr="004D329B">
        <w:t xml:space="preserve"> Core Logic’s </w:t>
      </w:r>
      <w:r w:rsidR="00E74DB6">
        <w:t xml:space="preserve">August 2024 report </w:t>
      </w:r>
      <w:r w:rsidR="00BB6D18">
        <w:t>affordability</w:t>
      </w:r>
      <w:r w:rsidR="00301421">
        <w:t xml:space="preserve"> will remain a key challenge </w:t>
      </w:r>
      <w:r w:rsidR="00627BAF">
        <w:t xml:space="preserve">for </w:t>
      </w:r>
      <w:r w:rsidR="00BB6D18">
        <w:t>regional Australia</w:t>
      </w:r>
      <w:r w:rsidR="00A12FF9">
        <w:t xml:space="preserve">, with </w:t>
      </w:r>
      <w:r w:rsidR="00F516F1">
        <w:t xml:space="preserve">dwelling values in increasing by over 52% since the onset of the pandemic and rents </w:t>
      </w:r>
      <w:r w:rsidR="008501FF">
        <w:t>up by 39% (compared with increases of 33% and 35% in the capital cities, respectively)</w:t>
      </w:r>
      <w:r w:rsidR="00480C66">
        <w:t>.</w:t>
      </w:r>
      <w:r w:rsidR="008501FF" w:rsidRPr="00480C66">
        <w:rPr>
          <w:rStyle w:val="FootnoteReference"/>
          <w:rFonts w:asciiTheme="minorHAnsi" w:eastAsia="Arial" w:hAnsiTheme="minorHAnsi" w:cstheme="minorHAnsi"/>
        </w:rPr>
        <w:footnoteReference w:id="28"/>
      </w:r>
      <w:r w:rsidRPr="00480C66">
        <w:rPr>
          <w:rFonts w:asciiTheme="minorHAnsi" w:hAnsiTheme="minorHAnsi" w:cstheme="minorHAnsi"/>
        </w:rPr>
        <w:t xml:space="preserve"> </w:t>
      </w:r>
    </w:p>
    <w:p w14:paraId="07D48B3D" w14:textId="534306F5" w:rsidR="004D329B" w:rsidRPr="004D329B" w:rsidRDefault="004D329B" w:rsidP="005C4507">
      <w:pPr>
        <w:rPr>
          <w:rFonts w:eastAsia="Arial"/>
        </w:rPr>
      </w:pPr>
      <w:r w:rsidRPr="00EE682A">
        <w:t>Additionally, a number of recent natural disasters including the 2019</w:t>
      </w:r>
      <w:r w:rsidR="009D73A8">
        <w:t>–</w:t>
      </w:r>
      <w:r w:rsidRPr="00EE682A">
        <w:t>20 Black Summer Bushfires and the 2022 Eastern Australia floods has significantly reduced available housing stock in some regional areas</w:t>
      </w:r>
      <w:r w:rsidR="00EA1823">
        <w:t>, and it will take</w:t>
      </w:r>
      <w:r w:rsidR="004B3615">
        <w:t xml:space="preserve"> several years to re</w:t>
      </w:r>
      <w:r w:rsidR="004B3615" w:rsidRPr="004B3615">
        <w:t>build and recover from natural disasters through reconstruction efforts, while also preparing to respond to future natural disasters, including building resilience</w:t>
      </w:r>
      <w:r w:rsidRPr="00EE682A">
        <w:t>.</w:t>
      </w:r>
    </w:p>
    <w:p w14:paraId="16AAD6D6" w14:textId="62A9B77E" w:rsidR="00C9084F" w:rsidRPr="000B6537" w:rsidRDefault="00C9084F" w:rsidP="005C4507">
      <w:pPr>
        <w:rPr>
          <w:rFonts w:eastAsia="Arial"/>
        </w:rPr>
      </w:pPr>
      <w:r w:rsidRPr="000B6537">
        <w:t>Housing allows people to participate in society and plays a critical role in the efficient operation of the labour market. The lack of affordable and accessible housing in a region can limit a region’s ability to attract a new workforce or retain the current workforce</w:t>
      </w:r>
      <w:r w:rsidR="00C45527">
        <w:rPr>
          <w:rFonts w:eastAsia="Arial"/>
        </w:rPr>
        <w:t>.</w:t>
      </w:r>
      <w:r w:rsidRPr="000B6537">
        <w:rPr>
          <w:rFonts w:eastAsia="Arial"/>
        </w:rPr>
        <w:t xml:space="preserve"> </w:t>
      </w:r>
      <w:r w:rsidR="004443FA">
        <w:rPr>
          <w:rFonts w:eastAsia="Arial"/>
        </w:rPr>
        <w:t>Indeed, data</w:t>
      </w:r>
      <w:r w:rsidR="00C45527">
        <w:rPr>
          <w:rFonts w:eastAsia="Arial"/>
        </w:rPr>
        <w:t xml:space="preserve"> </w:t>
      </w:r>
      <w:r w:rsidRPr="000B6537">
        <w:rPr>
          <w:rFonts w:eastAsia="Arial"/>
        </w:rPr>
        <w:t xml:space="preserve">collected through JSA’s </w:t>
      </w:r>
      <w:r w:rsidR="00403F87" w:rsidRPr="00373E8D">
        <w:rPr>
          <w:rStyle w:val="Emphasis"/>
        </w:rPr>
        <w:t>R</w:t>
      </w:r>
      <w:r w:rsidR="00F9211C" w:rsidRPr="00373E8D">
        <w:rPr>
          <w:rStyle w:val="Emphasis"/>
        </w:rPr>
        <w:t>ecruitment Experiences and Outlook Survey</w:t>
      </w:r>
      <w:r w:rsidR="00F9211C">
        <w:rPr>
          <w:rFonts w:eastAsia="Times New Roman"/>
        </w:rPr>
        <w:t xml:space="preserve"> (REOS)</w:t>
      </w:r>
      <w:r w:rsidRPr="00E64DAF">
        <w:rPr>
          <w:rFonts w:eastAsia="Times New Roman"/>
        </w:rPr>
        <w:t xml:space="preserve"> </w:t>
      </w:r>
      <w:r w:rsidRPr="000B6537">
        <w:rPr>
          <w:rFonts w:eastAsia="Arial"/>
        </w:rPr>
        <w:t xml:space="preserve">show that employers often attribute a lack of affordable housing contributing towards pronounced recruitment difficulty in regional areas, with an employer in regional South Australia stating: </w:t>
      </w:r>
    </w:p>
    <w:p w14:paraId="330081B8" w14:textId="1892A9F9" w:rsidR="00C9084F" w:rsidRPr="00373E8D" w:rsidRDefault="00C9084F" w:rsidP="005C4507">
      <w:pPr>
        <w:jc w:val="center"/>
        <w:outlineLvl w:val="3"/>
        <w:rPr>
          <w:rStyle w:val="Emphasis"/>
        </w:rPr>
      </w:pPr>
      <w:r w:rsidRPr="00373E8D">
        <w:rPr>
          <w:rStyle w:val="Emphasis"/>
        </w:rPr>
        <w:t>‘We’re always looking for workers and I actually can’t place ads because our town doesn’t have accommodation for new people to come into the town so it’s sort of like a catch 22.’</w:t>
      </w:r>
    </w:p>
    <w:p w14:paraId="357D4F9A" w14:textId="2563DBAB" w:rsidR="00C9084F" w:rsidRPr="005C4507" w:rsidRDefault="00C9084F" w:rsidP="00D43896">
      <w:pPr>
        <w:pStyle w:val="Heading4"/>
      </w:pPr>
      <w:r w:rsidRPr="00D43896">
        <w:t>Services</w:t>
      </w:r>
      <w:r w:rsidR="00DB2275" w:rsidRPr="005C4507">
        <w:rPr>
          <w:vertAlign w:val="superscript"/>
        </w:rPr>
        <w:footnoteReference w:id="29"/>
      </w:r>
    </w:p>
    <w:p w14:paraId="2363A608" w14:textId="106561F7" w:rsidR="00C9084F" w:rsidRDefault="00C9084F" w:rsidP="009D73A8">
      <w:pPr>
        <w:rPr>
          <w:rFonts w:eastAsia="Arial" w:cs="Arial"/>
        </w:rPr>
      </w:pPr>
      <w:r w:rsidRPr="000B6537">
        <w:t xml:space="preserve">The availability of services in a region, is another factor that can contribute to region’s ability to attract and retain workers and therefore </w:t>
      </w:r>
      <w:r w:rsidRPr="000B6537">
        <w:rPr>
          <w:rFonts w:eastAsia="Arial" w:cs="Arial"/>
        </w:rPr>
        <w:t>impacts the labour market performance of the region. The availability of services such as healthcare, childcare and public infrastructure in a region is central to supporting a strong labour market.</w:t>
      </w:r>
    </w:p>
    <w:p w14:paraId="40E547A4" w14:textId="6B4D91E0" w:rsidR="00C9084F" w:rsidRPr="009D73A8" w:rsidRDefault="00C9084F" w:rsidP="008C4195">
      <w:pPr>
        <w:pStyle w:val="Heading5"/>
      </w:pPr>
      <w:bookmarkStart w:id="34" w:name="_Childcare_Services"/>
      <w:bookmarkEnd w:id="34"/>
      <w:r w:rsidRPr="008C4195">
        <w:t>Childcare</w:t>
      </w:r>
      <w:r w:rsidRPr="009D73A8">
        <w:t xml:space="preserve"> Services</w:t>
      </w:r>
    </w:p>
    <w:p w14:paraId="44F32A28" w14:textId="692F8126" w:rsidR="0011297E" w:rsidRDefault="00C9084F" w:rsidP="009D73A8">
      <w:pPr>
        <w:rPr>
          <w:rFonts w:eastAsia="Arial" w:cs="Arial"/>
        </w:rPr>
      </w:pPr>
      <w:r w:rsidRPr="009D73A8">
        <w:t>The availability of early childhood education and care services is lower in regional Australia than compared to its capital city counterparts. Indeed, the Productivity Commission’s draft report</w:t>
      </w:r>
      <w:r w:rsidRPr="00373E8D">
        <w:rPr>
          <w:rStyle w:val="Emphasis"/>
        </w:rPr>
        <w:t>, A path to universal early childhood education and care</w:t>
      </w:r>
      <w:r w:rsidRPr="009D73A8">
        <w:rPr>
          <w:rFonts w:eastAsia="Times New Roman"/>
        </w:rPr>
        <w:t>,</w:t>
      </w:r>
      <w:r w:rsidRPr="000B6537">
        <w:rPr>
          <w:rFonts w:eastAsia="Arial" w:cs="Arial"/>
        </w:rPr>
        <w:t xml:space="preserve"> estimates 4 in 5 children in remote Australia live in areas with fewer than one centre-based day care place per 3 children</w:t>
      </w:r>
      <w:r w:rsidR="008D1D77">
        <w:rPr>
          <w:rFonts w:eastAsia="Arial" w:cs="Arial"/>
        </w:rPr>
        <w:t>.</w:t>
      </w:r>
      <w:r w:rsidR="008731EB">
        <w:rPr>
          <w:rStyle w:val="FootnoteReference"/>
          <w:rFonts w:eastAsia="Arial" w:cs="Arial"/>
        </w:rPr>
        <w:footnoteReference w:id="30"/>
      </w:r>
      <w:r w:rsidRPr="000B6537">
        <w:rPr>
          <w:rFonts w:eastAsia="Arial" w:cs="Arial"/>
        </w:rPr>
        <w:t xml:space="preserve"> </w:t>
      </w:r>
    </w:p>
    <w:p w14:paraId="36FA240A" w14:textId="597ABA4A" w:rsidR="00C9084F" w:rsidRPr="009D73A8" w:rsidRDefault="00C9084F" w:rsidP="009D73A8">
      <w:r w:rsidRPr="009D73A8">
        <w:t>A lack of access to suitable early childhood services impacts on the labour force participation of a region, particularly for females</w:t>
      </w:r>
      <w:r w:rsidR="00066E0E" w:rsidRPr="009D73A8">
        <w:t>, who are often the primary carers</w:t>
      </w:r>
      <w:r w:rsidRPr="009D73A8">
        <w:t>. It can also act as a deterrent for people to live and work in regional areas, particularly working families. The persistent shortages, nationwide, in a number of childcare related occupations such as Early Childhood Teachers and Childcare Workers remains a key challenge, particularly for regional areas. JSA has undertaken a workforce capacity study for the early childhood education and care workforce</w:t>
      </w:r>
      <w:r w:rsidR="00D525AB" w:rsidRPr="009D73A8">
        <w:t>. ‘</w:t>
      </w:r>
      <w:r w:rsidR="00A1519B" w:rsidRPr="00373E8D">
        <w:rPr>
          <w:rStyle w:val="Emphasis"/>
        </w:rPr>
        <w:t>The Future of the Early Childhood Education Profession’</w:t>
      </w:r>
      <w:r w:rsidR="00C05D05" w:rsidRPr="009D73A8">
        <w:t>,</w:t>
      </w:r>
      <w:r w:rsidR="004C205C" w:rsidRPr="009D73A8">
        <w:t xml:space="preserve"> which </w:t>
      </w:r>
      <w:r w:rsidR="00280CE1" w:rsidRPr="009D73A8">
        <w:t xml:space="preserve">was </w:t>
      </w:r>
      <w:r w:rsidR="004C205C" w:rsidRPr="009D73A8">
        <w:t xml:space="preserve">released </w:t>
      </w:r>
      <w:r w:rsidR="00280CE1" w:rsidRPr="009D73A8">
        <w:t>on 3 September 2024</w:t>
      </w:r>
      <w:r w:rsidR="00A02F5D">
        <w:t>.</w:t>
      </w:r>
      <w:r w:rsidR="00C05D05" w:rsidRPr="009D73A8">
        <w:rPr>
          <w:rStyle w:val="FootnoteReference"/>
          <w:rFonts w:asciiTheme="minorHAnsi" w:eastAsia="Arial" w:hAnsiTheme="minorHAnsi" w:cstheme="minorHAnsi"/>
        </w:rPr>
        <w:footnoteReference w:id="31"/>
      </w:r>
    </w:p>
    <w:p w14:paraId="354555B8" w14:textId="77777777" w:rsidR="00C9084F" w:rsidRPr="00DC009F" w:rsidRDefault="00C9084F" w:rsidP="008C4195">
      <w:pPr>
        <w:pStyle w:val="Heading5"/>
        <w:rPr>
          <w:rFonts w:ascii="Arial" w:hAnsi="Arial"/>
        </w:rPr>
      </w:pPr>
      <w:r w:rsidRPr="009D73A8">
        <w:t xml:space="preserve">Healthcare </w:t>
      </w:r>
      <w:r w:rsidRPr="008C4195">
        <w:t>Services</w:t>
      </w:r>
    </w:p>
    <w:p w14:paraId="3FF655A0" w14:textId="38490DE8" w:rsidR="00C9084F" w:rsidRDefault="00C9084F" w:rsidP="009D73A8">
      <w:pPr>
        <w:rPr>
          <w:rFonts w:eastAsia="Arial" w:cs="Arial"/>
        </w:rPr>
      </w:pPr>
      <w:r w:rsidRPr="000B6537">
        <w:t xml:space="preserve">A person’s health is closely linked to their labour market participation. Indeed, poor health tends to adversely affect a person’s labour market participation, as they tend to be less productive and spend more time out of the labour force. A recent report by the Australian Institute of Health and Welfare, </w:t>
      </w:r>
      <w:r w:rsidRPr="0007795E">
        <w:rPr>
          <w:rStyle w:val="Emphasis"/>
        </w:rPr>
        <w:t>Rural and Remote Health – Australia</w:t>
      </w:r>
      <w:r w:rsidRPr="009D73A8">
        <w:rPr>
          <w:rFonts w:eastAsia="Arial" w:cs="Arial"/>
        </w:rPr>
        <w:t xml:space="preserve">, found that </w:t>
      </w:r>
      <w:r w:rsidRPr="000B6537">
        <w:rPr>
          <w:rFonts w:eastAsia="Arial" w:cs="Arial"/>
        </w:rPr>
        <w:t>people living in regional Australia face barriers to accessing healthcare and often have poorer health outcomes than people living in capital cities</w:t>
      </w:r>
      <w:r w:rsidR="008428A9">
        <w:rPr>
          <w:rFonts w:eastAsia="Arial" w:cs="Arial"/>
        </w:rPr>
        <w:t>.</w:t>
      </w:r>
      <w:r w:rsidR="007F0935">
        <w:rPr>
          <w:rStyle w:val="FootnoteReference"/>
          <w:rFonts w:eastAsia="Arial" w:cs="Arial"/>
        </w:rPr>
        <w:footnoteReference w:id="32"/>
      </w:r>
      <w:r w:rsidRPr="000B6537">
        <w:rPr>
          <w:rFonts w:eastAsia="Arial" w:cs="Arial"/>
        </w:rPr>
        <w:t xml:space="preserve"> Moreover, the widespread and persistent workforce shortages in critical healthcare related occupations may also be leading to poorer health outcomes for people living in regional Australia. Better access and availability to healthcare in regional Australia could significantly improve labour market outcomes of a region, through greater participation. </w:t>
      </w:r>
    </w:p>
    <w:p w14:paraId="6B378623" w14:textId="5609F3D5" w:rsidR="003D6C8A" w:rsidRPr="004970BA" w:rsidRDefault="003D6C8A" w:rsidP="003D6C8A">
      <w:pPr>
        <w:pStyle w:val="Heading2"/>
        <w:rPr>
          <w:rFonts w:asciiTheme="majorHAnsi" w:hAnsiTheme="majorHAnsi" w:cstheme="majorHAnsi"/>
        </w:rPr>
      </w:pPr>
      <w:bookmarkStart w:id="35" w:name="_Toc171937417"/>
      <w:bookmarkStart w:id="36" w:name="_Toc178173730"/>
      <w:r w:rsidRPr="004970BA">
        <w:rPr>
          <w:rFonts w:asciiTheme="majorHAnsi" w:hAnsiTheme="majorHAnsi" w:cstheme="majorHAnsi"/>
        </w:rPr>
        <w:t xml:space="preserve">Regional </w:t>
      </w:r>
      <w:r w:rsidR="00026F04" w:rsidRPr="004970BA">
        <w:rPr>
          <w:rFonts w:asciiTheme="majorHAnsi" w:hAnsiTheme="majorHAnsi" w:cstheme="majorHAnsi"/>
        </w:rPr>
        <w:t>l</w:t>
      </w:r>
      <w:r w:rsidRPr="004970BA">
        <w:rPr>
          <w:rFonts w:asciiTheme="majorHAnsi" w:hAnsiTheme="majorHAnsi" w:cstheme="majorHAnsi"/>
        </w:rPr>
        <w:t xml:space="preserve">abour </w:t>
      </w:r>
      <w:r w:rsidR="00026F04" w:rsidRPr="004970BA">
        <w:rPr>
          <w:rFonts w:asciiTheme="majorHAnsi" w:hAnsiTheme="majorHAnsi" w:cstheme="majorHAnsi"/>
        </w:rPr>
        <w:t>m</w:t>
      </w:r>
      <w:r w:rsidRPr="004970BA">
        <w:rPr>
          <w:rFonts w:asciiTheme="majorHAnsi" w:hAnsiTheme="majorHAnsi" w:cstheme="majorHAnsi"/>
        </w:rPr>
        <w:t xml:space="preserve">arket </w:t>
      </w:r>
      <w:r w:rsidR="00026F04" w:rsidRPr="004970BA">
        <w:rPr>
          <w:rFonts w:asciiTheme="majorHAnsi" w:hAnsiTheme="majorHAnsi" w:cstheme="majorHAnsi"/>
        </w:rPr>
        <w:t>v</w:t>
      </w:r>
      <w:r w:rsidRPr="004970BA">
        <w:rPr>
          <w:rFonts w:asciiTheme="majorHAnsi" w:hAnsiTheme="majorHAnsi" w:cstheme="majorHAnsi"/>
        </w:rPr>
        <w:t xml:space="preserve">ulnerability </w:t>
      </w:r>
      <w:r w:rsidR="00026F04" w:rsidRPr="004970BA">
        <w:rPr>
          <w:rFonts w:asciiTheme="majorHAnsi" w:hAnsiTheme="majorHAnsi" w:cstheme="majorHAnsi"/>
        </w:rPr>
        <w:t>f</w:t>
      </w:r>
      <w:r w:rsidRPr="004970BA">
        <w:rPr>
          <w:rFonts w:asciiTheme="majorHAnsi" w:hAnsiTheme="majorHAnsi" w:cstheme="majorHAnsi"/>
        </w:rPr>
        <w:t>ramework</w:t>
      </w:r>
      <w:bookmarkEnd w:id="35"/>
      <w:bookmarkEnd w:id="36"/>
    </w:p>
    <w:p w14:paraId="4C21D58A" w14:textId="77777777" w:rsidR="003D6C8A" w:rsidRPr="004970BA" w:rsidRDefault="003D6C8A" w:rsidP="003D6C8A">
      <w:pPr>
        <w:pStyle w:val="Heading3"/>
        <w:rPr>
          <w:rFonts w:asciiTheme="majorHAnsi" w:hAnsiTheme="majorHAnsi" w:cstheme="majorHAnsi"/>
        </w:rPr>
      </w:pPr>
      <w:bookmarkStart w:id="37" w:name="_Toc171937418"/>
      <w:r w:rsidRPr="004970BA">
        <w:rPr>
          <w:rFonts w:asciiTheme="majorHAnsi" w:hAnsiTheme="majorHAnsi" w:cstheme="majorHAnsi"/>
        </w:rPr>
        <w:t>Anticipating and planning for change can help promote policy that safeguards the sustainability of regions</w:t>
      </w:r>
      <w:bookmarkEnd w:id="37"/>
    </w:p>
    <w:p w14:paraId="4909ED78" w14:textId="4F47F9D3" w:rsidR="003D6C8A" w:rsidRPr="00F91043" w:rsidRDefault="003D6C8A" w:rsidP="004970BA">
      <w:r w:rsidRPr="00F91043">
        <w:t>The capacity of regional communities to adapt and transition from an economic disruption and other pressures of change are of increasing interest to policy makers. Regions are constantly evolving, but there are a number of significant structural trends that are driving the overall shape of the labour market. The ageing of the population and the rising demand for quality care and support services, increased use of digital and advanced technologies and climate change and the net zero transformation are the major trends that will shape the economy and labour market over the coming years. These trends will have significant implications for the composition of the workforce and the types of jobs and skills needed. Understanding the capacity of regions to adjust to economic transition can help policy makers support regions which are most at risk of failing to adjust.</w:t>
      </w:r>
    </w:p>
    <w:p w14:paraId="1CE7E25F" w14:textId="77777777" w:rsidR="003D6C8A" w:rsidRPr="004970BA" w:rsidRDefault="003D6C8A" w:rsidP="004970BA">
      <w:pPr>
        <w:pStyle w:val="Heading3"/>
        <w:rPr>
          <w:rFonts w:asciiTheme="majorHAnsi" w:hAnsiTheme="majorHAnsi" w:cstheme="majorHAnsi"/>
        </w:rPr>
      </w:pPr>
      <w:bookmarkStart w:id="38" w:name="_Toc171937419"/>
      <w:r w:rsidRPr="004970BA">
        <w:rPr>
          <w:rFonts w:asciiTheme="majorHAnsi" w:hAnsiTheme="majorHAnsi" w:cstheme="majorHAnsi"/>
        </w:rPr>
        <w:t>Regional vulnerability has been explored through various models and frameworks</w:t>
      </w:r>
      <w:bookmarkEnd w:id="38"/>
      <w:r w:rsidRPr="004970BA">
        <w:rPr>
          <w:rFonts w:asciiTheme="majorHAnsi" w:hAnsiTheme="majorHAnsi" w:cstheme="majorHAnsi"/>
        </w:rPr>
        <w:t xml:space="preserve"> </w:t>
      </w:r>
    </w:p>
    <w:p w14:paraId="48C4FEC4" w14:textId="77777777" w:rsidR="00F82B44" w:rsidRPr="00F82B44" w:rsidRDefault="00F82B44" w:rsidP="004970BA">
      <w:r w:rsidRPr="00F82B44">
        <w:t xml:space="preserve">The study of which regions are most vulnerable to economic disruption has gained momentum in recent years and has been explored extensively through various models and frameworks. These models and frameworks of regional vulnerability have often sought to estimate the </w:t>
      </w:r>
      <w:r w:rsidRPr="00E2768B">
        <w:rPr>
          <w:rStyle w:val="Emphasis"/>
        </w:rPr>
        <w:t>adaptive capacity</w:t>
      </w:r>
      <w:r w:rsidRPr="004970BA">
        <w:rPr>
          <w:rFonts w:eastAsia="Times New Roman"/>
        </w:rPr>
        <w:t xml:space="preserve"> </w:t>
      </w:r>
      <w:r w:rsidRPr="004970BA">
        <w:t>of re</w:t>
      </w:r>
      <w:r w:rsidRPr="00F82B44">
        <w:t>gions, which is defined as the capacity of regional communities to adapt and transition from an economic disruption. Regions with a greater adaptive capacity are in a relatively better position to respond to changes in their economic circumstance.</w:t>
      </w:r>
    </w:p>
    <w:p w14:paraId="486E70A8" w14:textId="7D9D0961" w:rsidR="00F82B44" w:rsidRPr="004970BA" w:rsidRDefault="00F82B44" w:rsidP="00D43896">
      <w:pPr>
        <w:pStyle w:val="ListBullet"/>
      </w:pPr>
      <w:r w:rsidRPr="004970BA">
        <w:t xml:space="preserve">It is important to note that, on its own, adaptive capacity does not identify whether regions would be successful in adapting and transitioning from an economic disruption. Realised outcomes depend on a range of matters, including how sensitive and exposed the region is to the disruption. </w:t>
      </w:r>
      <w:r w:rsidR="00717909" w:rsidRPr="004970BA">
        <w:t>Regions</w:t>
      </w:r>
      <w:r w:rsidRPr="004970BA">
        <w:t xml:space="preserve"> are constantly responding to multiple pressures of varying intensity and predictability that create an unavoidable uncertainty as to impact of a potential </w:t>
      </w:r>
      <w:r w:rsidR="00E97613" w:rsidRPr="004970BA">
        <w:t>disruption</w:t>
      </w:r>
      <w:r w:rsidRPr="004970BA">
        <w:t xml:space="preserve">. </w:t>
      </w:r>
    </w:p>
    <w:p w14:paraId="72A280B3" w14:textId="77777777" w:rsidR="00F264FC" w:rsidRDefault="00F264FC">
      <w:pPr>
        <w:spacing w:after="120" w:line="276" w:lineRule="auto"/>
      </w:pPr>
      <w:r>
        <w:br w:type="page"/>
      </w:r>
    </w:p>
    <w:p w14:paraId="4FE4B37F" w14:textId="5B01E45C" w:rsidR="00F82B44" w:rsidRPr="00962DDE" w:rsidRDefault="00F82B44" w:rsidP="004970BA">
      <w:r w:rsidRPr="00962DDE">
        <w:t>A number of recent reports have found that a region’s adaptive capacity decreases with remoteness.</w:t>
      </w:r>
      <w:r w:rsidRPr="00962DDE">
        <w:rPr>
          <w:rStyle w:val="FootnoteReference"/>
          <w:rFonts w:eastAsia="Times New Roman"/>
        </w:rPr>
        <w:footnoteReference w:id="33"/>
      </w:r>
      <w:r w:rsidRPr="00962DDE">
        <w:t xml:space="preserve"> </w:t>
      </w:r>
    </w:p>
    <w:p w14:paraId="3F7A2B20" w14:textId="7ADE7DD5" w:rsidR="003D6C8A" w:rsidRPr="004970BA" w:rsidRDefault="003D6C8A" w:rsidP="00D43896">
      <w:pPr>
        <w:pStyle w:val="ListBullet"/>
      </w:pPr>
      <w:r w:rsidRPr="004970BA">
        <w:t>For instance, the Productivity Commission’s index of relative adaptive capacity found that regional communities located in outer regional and remote/very remote areas of Australia are likely to have the lowest relative adaptive capacity (</w:t>
      </w:r>
      <w:r w:rsidR="008C676C" w:rsidRPr="004970BA">
        <w:t>Figure 1</w:t>
      </w:r>
      <w:r w:rsidR="00AA3B30" w:rsidRPr="004970BA">
        <w:t>7</w:t>
      </w:r>
      <w:r w:rsidRPr="004970BA">
        <w:t xml:space="preserve">). These regions are generally located across the inner parts of Australia (South Australia and the Northern Territory) and across much of Tasmania. </w:t>
      </w:r>
    </w:p>
    <w:p w14:paraId="33FB35C2" w14:textId="31226833" w:rsidR="003D6C8A" w:rsidRPr="004970BA" w:rsidRDefault="003D6C8A" w:rsidP="00D43896">
      <w:pPr>
        <w:pStyle w:val="ListBullet"/>
      </w:pPr>
      <w:r w:rsidRPr="004970BA">
        <w:t xml:space="preserve">Similarly, Australian Treasury’s </w:t>
      </w:r>
      <w:r w:rsidRPr="00E2768B">
        <w:rPr>
          <w:rStyle w:val="Emphasis"/>
        </w:rPr>
        <w:t>Resilience Index</w:t>
      </w:r>
      <w:r w:rsidRPr="004970BA">
        <w:t xml:space="preserve"> show that communities closer to capital cities and regional centres typically have a higher degree of (estimated) resilience</w:t>
      </w:r>
      <w:r w:rsidRPr="006A63C6">
        <w:rPr>
          <w:vertAlign w:val="superscript"/>
        </w:rPr>
        <w:footnoteReference w:id="34"/>
      </w:r>
      <w:r w:rsidRPr="004970BA">
        <w:t xml:space="preserve"> than more remote communities</w:t>
      </w:r>
      <w:r w:rsidR="006A31AA" w:rsidRPr="004970BA">
        <w:t xml:space="preserve"> (Figure 1</w:t>
      </w:r>
      <w:r w:rsidR="00AA3B30" w:rsidRPr="004970BA">
        <w:t>8</w:t>
      </w:r>
      <w:r w:rsidR="006A31AA" w:rsidRPr="004970BA">
        <w:t>)</w:t>
      </w:r>
      <w:r w:rsidRPr="004970BA">
        <w:t>. In particular, resilience tends to be highest in the south-east area of the mainland, parts of Western Australia coastline, and parts of coastal and central Queensland (although there is evidence of regional variation in resilience among local communities).</w:t>
      </w:r>
    </w:p>
    <w:p w14:paraId="29BAB93E" w14:textId="77777777" w:rsidR="00530257" w:rsidRDefault="00530257" w:rsidP="00B77C56">
      <w:pPr>
        <w:rPr>
          <w:rFonts w:eastAsia="Arial"/>
        </w:rPr>
      </w:pPr>
    </w:p>
    <w:p w14:paraId="051F533F" w14:textId="0944EADC" w:rsidR="00EE7815" w:rsidRPr="00A07EE4" w:rsidRDefault="00EE7815" w:rsidP="00A07EE4">
      <w:pPr>
        <w:rPr>
          <w:rFonts w:eastAsia="Arial"/>
        </w:rPr>
        <w:sectPr w:rsidR="00EE7815" w:rsidRPr="00A07EE4" w:rsidSect="004F5D87">
          <w:headerReference w:type="even" r:id="rId57"/>
          <w:headerReference w:type="default" r:id="rId58"/>
          <w:headerReference w:type="first" r:id="rId59"/>
          <w:footerReference w:type="first" r:id="rId60"/>
          <w:pgSz w:w="11906" w:h="16838"/>
          <w:pgMar w:top="1276" w:right="1440" w:bottom="1134" w:left="1440" w:header="0" w:footer="539" w:gutter="0"/>
          <w:cols w:space="708"/>
          <w:titlePg/>
          <w:docGrid w:linePitch="360"/>
        </w:sectPr>
      </w:pPr>
    </w:p>
    <w:p w14:paraId="1DC93988" w14:textId="2B409A27" w:rsidR="003D6C8A" w:rsidRPr="00150241" w:rsidRDefault="0071003B" w:rsidP="00150241">
      <w:pPr>
        <w:pStyle w:val="Caption"/>
        <w:rPr>
          <w:rFonts w:asciiTheme="minorHAnsi" w:hAnsiTheme="minorHAnsi" w:cstheme="minorHAnsi"/>
          <w:szCs w:val="20"/>
        </w:rPr>
      </w:pPr>
      <w:r w:rsidRPr="00150241">
        <w:rPr>
          <w:rFonts w:asciiTheme="minorHAnsi" w:hAnsiTheme="minorHAnsi" w:cstheme="minorHAnsi"/>
          <w:szCs w:val="20"/>
        </w:rPr>
        <w:t>Figure 1</w:t>
      </w:r>
      <w:r w:rsidR="00AA3B30" w:rsidRPr="00150241">
        <w:rPr>
          <w:rFonts w:asciiTheme="minorHAnsi" w:hAnsiTheme="minorHAnsi" w:cstheme="minorHAnsi"/>
          <w:szCs w:val="20"/>
        </w:rPr>
        <w:t>7</w:t>
      </w:r>
      <w:r w:rsidR="003D6C8A" w:rsidRPr="00150241">
        <w:rPr>
          <w:rFonts w:asciiTheme="minorHAnsi" w:hAnsiTheme="minorHAnsi" w:cstheme="minorHAnsi"/>
          <w:szCs w:val="20"/>
        </w:rPr>
        <w:t>: Index of Relative Adaptive Capacity, Productivity Commission, 2017</w:t>
      </w:r>
    </w:p>
    <w:p w14:paraId="4BB0DF3C" w14:textId="77777777" w:rsidR="003D6C8A" w:rsidRPr="0074648E" w:rsidRDefault="003D6C8A" w:rsidP="003D070F">
      <w:r w:rsidRPr="0074648E">
        <w:rPr>
          <w:noProof/>
        </w:rPr>
        <w:drawing>
          <wp:inline distT="0" distB="0" distL="0" distR="0" wp14:anchorId="67ED3156" wp14:editId="65BC5EA7">
            <wp:extent cx="2631472" cy="2498652"/>
            <wp:effectExtent l="0" t="0" r="0" b="6985"/>
            <wp:docPr id="4" name="Picture 3" descr="A map of Australia displaying the Productivity Commission's index of relative adaptive capacity. &#10;&#10;The map shows that regional communities located in outer regional and remote/very remote areas are likely to have the lowest adaptive capacity. ">
              <a:extLst xmlns:a="http://schemas.openxmlformats.org/drawingml/2006/main">
                <a:ext uri="{FF2B5EF4-FFF2-40B4-BE49-F238E27FC236}">
                  <a16:creationId xmlns:a16="http://schemas.microsoft.com/office/drawing/2014/main" id="{511138DF-7251-2D07-9CDD-07FA7C948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Australia displaying the Productivity Commission's index of relative adaptive capacity. &#10;&#10;The map shows that regional communities located in outer regional and remote/very remote areas are likely to have the lowest adaptive capacity. ">
                      <a:extLst>
                        <a:ext uri="{FF2B5EF4-FFF2-40B4-BE49-F238E27FC236}">
                          <a16:creationId xmlns:a16="http://schemas.microsoft.com/office/drawing/2014/main" id="{511138DF-7251-2D07-9CDD-07FA7C9485E5}"/>
                        </a:ext>
                      </a:extLst>
                    </pic:cNvPr>
                    <pic:cNvPicPr>
                      <a:picLocks noChangeAspect="1"/>
                    </pic:cNvPicPr>
                  </pic:nvPicPr>
                  <pic:blipFill>
                    <a:blip r:embed="rId61"/>
                    <a:stretch>
                      <a:fillRect/>
                    </a:stretch>
                  </pic:blipFill>
                  <pic:spPr>
                    <a:xfrm>
                      <a:off x="0" y="0"/>
                      <a:ext cx="2631472" cy="2498652"/>
                    </a:xfrm>
                    <a:prstGeom prst="rect">
                      <a:avLst/>
                    </a:prstGeom>
                  </pic:spPr>
                </pic:pic>
              </a:graphicData>
            </a:graphic>
          </wp:inline>
        </w:drawing>
      </w:r>
    </w:p>
    <w:p w14:paraId="77C14CCE" w14:textId="18FD251A" w:rsidR="002158E4" w:rsidRPr="004970BA" w:rsidRDefault="009A6264" w:rsidP="00BC40D9">
      <w:pPr>
        <w:pStyle w:val="Source"/>
        <w:rPr>
          <w:rFonts w:eastAsia="Arial"/>
        </w:rPr>
      </w:pPr>
      <w:r w:rsidRPr="004970BA">
        <w:rPr>
          <w:rFonts w:asciiTheme="minorHAnsi" w:hAnsiTheme="minorHAnsi" w:cstheme="minorHAnsi"/>
        </w:rPr>
        <w:t xml:space="preserve">Source: Productivity Commission, </w:t>
      </w:r>
      <w:r w:rsidR="00C56F02" w:rsidRPr="00A02F5D">
        <w:rPr>
          <w:rFonts w:eastAsia="Arial"/>
          <w:i/>
          <w:iCs/>
        </w:rPr>
        <w:t>Transitioning Regional Economies</w:t>
      </w:r>
      <w:r w:rsidR="00C56F02" w:rsidRPr="004970BA">
        <w:rPr>
          <w:rFonts w:eastAsia="Arial"/>
        </w:rPr>
        <w:t>, December 2017</w:t>
      </w:r>
    </w:p>
    <w:p w14:paraId="5B70EFEA" w14:textId="2CB832B4" w:rsidR="003D6C8A" w:rsidRPr="00150241" w:rsidRDefault="0071003B" w:rsidP="00150241">
      <w:pPr>
        <w:pStyle w:val="Caption"/>
        <w:rPr>
          <w:rFonts w:asciiTheme="minorHAnsi" w:hAnsiTheme="minorHAnsi" w:cstheme="minorHAnsi"/>
          <w:szCs w:val="20"/>
        </w:rPr>
      </w:pPr>
      <w:r w:rsidRPr="00150241">
        <w:rPr>
          <w:rFonts w:asciiTheme="minorHAnsi" w:hAnsiTheme="minorHAnsi" w:cstheme="minorHAnsi"/>
          <w:szCs w:val="20"/>
        </w:rPr>
        <w:t>Figure 1</w:t>
      </w:r>
      <w:r w:rsidR="00AA3B30" w:rsidRPr="00150241">
        <w:rPr>
          <w:rFonts w:asciiTheme="minorHAnsi" w:hAnsiTheme="minorHAnsi" w:cstheme="minorHAnsi"/>
          <w:szCs w:val="20"/>
        </w:rPr>
        <w:t>8</w:t>
      </w:r>
      <w:r w:rsidR="003D6C8A" w:rsidRPr="00150241">
        <w:rPr>
          <w:rFonts w:asciiTheme="minorHAnsi" w:hAnsiTheme="minorHAnsi" w:cstheme="minorHAnsi"/>
          <w:szCs w:val="20"/>
        </w:rPr>
        <w:t>: Resilience Index, Australian Treasury, 2024</w:t>
      </w:r>
    </w:p>
    <w:p w14:paraId="16B0CC29" w14:textId="77777777" w:rsidR="003D6C8A" w:rsidRDefault="003D6C8A" w:rsidP="003D6C8A">
      <w:pPr>
        <w:rPr>
          <w:rFonts w:eastAsia="Arial"/>
        </w:rPr>
      </w:pPr>
      <w:r w:rsidRPr="00951BB8">
        <w:rPr>
          <w:rFonts w:eastAsia="Arial"/>
          <w:noProof/>
        </w:rPr>
        <w:drawing>
          <wp:inline distT="0" distB="0" distL="0" distR="0" wp14:anchorId="10B9B5ED" wp14:editId="5C8BC5BF">
            <wp:extent cx="2925971" cy="2508720"/>
            <wp:effectExtent l="0" t="0" r="8255" b="6350"/>
            <wp:docPr id="2084227008" name="Picture 1" descr="A map of Australia displaying the Australian Treasury's resilience index. &#10;&#10;The map shows that communities closer to capital cities and regional centres typically have a higher degree of resili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27008" name="Picture 1" descr="A map of Australia displaying the Australian Treasury's resilience index. &#10;&#10;The map shows that communities closer to capital cities and regional centres typically have a higher degree of resilience. "/>
                    <pic:cNvPicPr/>
                  </pic:nvPicPr>
                  <pic:blipFill>
                    <a:blip r:embed="rId62"/>
                    <a:stretch>
                      <a:fillRect/>
                    </a:stretch>
                  </pic:blipFill>
                  <pic:spPr>
                    <a:xfrm>
                      <a:off x="0" y="0"/>
                      <a:ext cx="2925971" cy="2508720"/>
                    </a:xfrm>
                    <a:prstGeom prst="rect">
                      <a:avLst/>
                    </a:prstGeom>
                  </pic:spPr>
                </pic:pic>
              </a:graphicData>
            </a:graphic>
          </wp:inline>
        </w:drawing>
      </w:r>
    </w:p>
    <w:p w14:paraId="20B08864" w14:textId="1A02CBD9" w:rsidR="00C56F02" w:rsidRPr="00BC40D9" w:rsidRDefault="00C56F02" w:rsidP="00BC40D9">
      <w:pPr>
        <w:pStyle w:val="Source"/>
        <w:rPr>
          <w:rFonts w:eastAsia="Arial"/>
        </w:rPr>
      </w:pPr>
      <w:r w:rsidRPr="00BC40D9">
        <w:rPr>
          <w:rFonts w:asciiTheme="minorHAnsi" w:hAnsiTheme="minorHAnsi" w:cstheme="minorHAnsi"/>
        </w:rPr>
        <w:t xml:space="preserve">Source: </w:t>
      </w:r>
      <w:r w:rsidR="009A40C0" w:rsidRPr="00BC40D9">
        <w:rPr>
          <w:rFonts w:eastAsia="Arial"/>
        </w:rPr>
        <w:t>Treasury</w:t>
      </w:r>
      <w:r w:rsidRPr="00BC40D9">
        <w:rPr>
          <w:rFonts w:eastAsia="Arial"/>
        </w:rPr>
        <w:t>,</w:t>
      </w:r>
      <w:r w:rsidR="009A40C0" w:rsidRPr="00BC40D9">
        <w:rPr>
          <w:rFonts w:eastAsia="Arial"/>
        </w:rPr>
        <w:t xml:space="preserve"> </w:t>
      </w:r>
      <w:r w:rsidR="009A40C0" w:rsidRPr="00A02F5D">
        <w:rPr>
          <w:rFonts w:eastAsia="Arial"/>
          <w:i/>
          <w:iCs/>
        </w:rPr>
        <w:t>Resilience Index</w:t>
      </w:r>
      <w:r w:rsidR="009A40C0" w:rsidRPr="00BC40D9">
        <w:rPr>
          <w:rFonts w:eastAsia="Arial"/>
        </w:rPr>
        <w:t>, 2024</w:t>
      </w:r>
      <w:r w:rsidRPr="00BC40D9">
        <w:rPr>
          <w:rFonts w:eastAsia="Arial"/>
        </w:rPr>
        <w:t xml:space="preserve"> </w:t>
      </w:r>
    </w:p>
    <w:p w14:paraId="179506CE" w14:textId="77777777" w:rsidR="003D6C8A" w:rsidRDefault="003D6C8A" w:rsidP="003D070F">
      <w:pPr>
        <w:sectPr w:rsidR="003D6C8A" w:rsidSect="00254137">
          <w:type w:val="continuous"/>
          <w:pgSz w:w="11906" w:h="16838"/>
          <w:pgMar w:top="1276" w:right="1440" w:bottom="1134" w:left="1440" w:header="0" w:footer="539" w:gutter="0"/>
          <w:cols w:num="2" w:space="708"/>
          <w:titlePg/>
          <w:docGrid w:linePitch="360"/>
        </w:sectPr>
      </w:pPr>
    </w:p>
    <w:p w14:paraId="4B32D25E" w14:textId="37C69AB2" w:rsidR="003D6C8A" w:rsidRPr="003D6C8A" w:rsidRDefault="003D6C8A" w:rsidP="003D6C8A">
      <w:pPr>
        <w:pStyle w:val="Heading3"/>
        <w:rPr>
          <w:rFonts w:cs="Arial"/>
        </w:rPr>
      </w:pPr>
      <w:bookmarkStart w:id="39" w:name="_Toc171937420"/>
      <w:r w:rsidRPr="003D6C8A">
        <w:rPr>
          <w:rFonts w:cs="Arial"/>
        </w:rPr>
        <w:t>Ensuring Australia’s workforce meets present and future skills needs</w:t>
      </w:r>
      <w:bookmarkEnd w:id="39"/>
    </w:p>
    <w:p w14:paraId="77BD4F90" w14:textId="77777777" w:rsidR="003D6C8A" w:rsidRDefault="003D6C8A" w:rsidP="00F264FC">
      <w:pPr>
        <w:keepLines/>
      </w:pPr>
      <w:r w:rsidRPr="00F91043">
        <w:t>JSA seeks to contribute to the growing evidence base on regional vulnerability by assessing a regions adaptive capacity from a human capital perspective. Australia is facing a multifaceted, multi-horizon skills challenge. The ongoing effects of the COVID-19 recovery, along with the changing economic landscape have resulted in widespread skills shortages and recruitment difficulty for employers, particularly in many regional and remote areas, in recent years. Assessing how well suited the skills and capabilities of individuals within a region are for current and future skills needs may help promote policies that addresses skill shortages and safeguard the sustainability of communities</w:t>
      </w:r>
      <w:r>
        <w:t xml:space="preserve">. </w:t>
      </w:r>
    </w:p>
    <w:p w14:paraId="34A24B56" w14:textId="01EF93CB" w:rsidR="003D6C8A" w:rsidRPr="004970BA" w:rsidRDefault="003D6C8A" w:rsidP="00D43896">
      <w:pPr>
        <w:pStyle w:val="Heading4"/>
      </w:pPr>
      <w:r w:rsidRPr="004970BA">
        <w:t xml:space="preserve">JSA’s Skill Similarity – </w:t>
      </w:r>
      <w:r w:rsidR="001C2E4C" w:rsidRPr="004970BA">
        <w:t>a</w:t>
      </w:r>
      <w:r w:rsidRPr="004970BA">
        <w:t xml:space="preserve"> </w:t>
      </w:r>
      <w:r w:rsidRPr="00D43896">
        <w:t>skill’s</w:t>
      </w:r>
      <w:r w:rsidRPr="004970BA">
        <w:t>-based approach to assessing adaptive capacity</w:t>
      </w:r>
    </w:p>
    <w:p w14:paraId="5130FE2E" w14:textId="525AD437" w:rsidR="003D6C8A" w:rsidRPr="00F91043" w:rsidRDefault="003D6C8A" w:rsidP="004970BA">
      <w:r w:rsidRPr="00F91043">
        <w:t xml:space="preserve">The first step in assessing a regions adaptive capacity, from a human capital perspective, is to identify how well suited the skills and capabilities of individuals within a region are for </w:t>
      </w:r>
      <w:r w:rsidRPr="00F91043">
        <w:rPr>
          <w:u w:val="single"/>
        </w:rPr>
        <w:t>current</w:t>
      </w:r>
      <w:r w:rsidRPr="00F91043">
        <w:t xml:space="preserve"> skills needs. To achieve this, </w:t>
      </w:r>
      <w:r w:rsidR="005E0937">
        <w:t>and in addition to considering</w:t>
      </w:r>
      <w:r w:rsidR="00F145E0">
        <w:t xml:space="preserve"> educational </w:t>
      </w:r>
      <w:r w:rsidR="00674DE7">
        <w:t>attainment</w:t>
      </w:r>
      <w:r w:rsidR="00D4321D">
        <w:t xml:space="preserve"> levels</w:t>
      </w:r>
      <w:r w:rsidR="00674DE7">
        <w:t xml:space="preserve">, </w:t>
      </w:r>
      <w:r w:rsidRPr="00F91043">
        <w:t xml:space="preserve">JSA will combine occupation data from JSA’s </w:t>
      </w:r>
      <w:r w:rsidR="00A02F5D">
        <w:t>Nowcast of Employment by Region and Occupation (</w:t>
      </w:r>
      <w:r w:rsidRPr="00F91043">
        <w:t>NERO</w:t>
      </w:r>
      <w:r w:rsidR="00A02F5D">
        <w:t>)</w:t>
      </w:r>
      <w:r w:rsidRPr="00F91043">
        <w:t xml:space="preserve"> (as a proxy for the collective skill level concentration of a region) with JSA’s occupational similarity analysis to assess how plausible it would be for workers in a given region to move from their current occupation into another occupation in the region. In doing so, consideration will be given to the current demand for skills in the region using JSA’s IVI. Importantly, this approach will help to assess the likelihood of an employed person being able to find a job with similar skills in their region should they lose their job. </w:t>
      </w:r>
    </w:p>
    <w:p w14:paraId="5F93FFAE" w14:textId="77777777" w:rsidR="003D6C8A" w:rsidRPr="004970BA" w:rsidRDefault="003D6C8A" w:rsidP="00D43896">
      <w:pPr>
        <w:pStyle w:val="ListBullet"/>
      </w:pPr>
      <w:r w:rsidRPr="004970BA">
        <w:t xml:space="preserve">For example, a region with a high concentration of employment in occupations that have very low similarity to occupations that are in demand in the region might then be considered most ‘vulnerable’ to economic disruption. </w:t>
      </w:r>
    </w:p>
    <w:p w14:paraId="0F9ABAA0" w14:textId="78A99BCC" w:rsidR="003D6C8A" w:rsidRPr="004970BA" w:rsidRDefault="003D6C8A" w:rsidP="00150241">
      <w:pPr>
        <w:pStyle w:val="Caption"/>
        <w:rPr>
          <w:rFonts w:asciiTheme="minorHAnsi" w:hAnsiTheme="minorHAnsi" w:cstheme="minorHAnsi"/>
          <w:szCs w:val="20"/>
        </w:rPr>
      </w:pPr>
      <w:r w:rsidRPr="004970BA">
        <w:rPr>
          <w:rFonts w:asciiTheme="minorHAnsi" w:hAnsiTheme="minorHAnsi" w:cstheme="minorHAnsi"/>
          <w:szCs w:val="20"/>
        </w:rPr>
        <w:t xml:space="preserve">Figure </w:t>
      </w:r>
      <w:r w:rsidR="0071003B" w:rsidRPr="004970BA">
        <w:rPr>
          <w:rFonts w:eastAsia="Arial"/>
          <w:szCs w:val="20"/>
        </w:rPr>
        <w:t>1</w:t>
      </w:r>
      <w:r w:rsidR="00AA3B30" w:rsidRPr="004970BA">
        <w:rPr>
          <w:rFonts w:eastAsia="Arial"/>
          <w:szCs w:val="20"/>
        </w:rPr>
        <w:t>9</w:t>
      </w:r>
      <w:r w:rsidRPr="004970BA">
        <w:rPr>
          <w:rFonts w:eastAsia="Arial"/>
          <w:szCs w:val="20"/>
        </w:rPr>
        <w:t>: A skill’s-based approach to assessing adaptive capacity</w:t>
      </w:r>
    </w:p>
    <w:p w14:paraId="7CEF020E" w14:textId="685E7912" w:rsidR="003D6C8A" w:rsidRDefault="003D6C8A" w:rsidP="006E7A8D">
      <w:r w:rsidRPr="00D61FB8">
        <w:rPr>
          <w:noProof/>
        </w:rPr>
        <w:drawing>
          <wp:inline distT="0" distB="0" distL="0" distR="0" wp14:anchorId="6B608FA6" wp14:editId="2533D471">
            <wp:extent cx="5731510" cy="1993900"/>
            <wp:effectExtent l="0" t="0" r="2540" b="6350"/>
            <wp:docPr id="2112990335" name="Picture 1" descr="A diagram showing how JSA seeks to contribute to the growing evidence base on regional vulnerability by assessing a regions adaptive capacity from a human capital perspective. In doing so, JSA seeks to identify how well suited the skills and capabilities of individuals within a region are for current and future skills n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990335" name="Picture 1" descr="A diagram showing how JSA seeks to contribute to the growing evidence base on regional vulnerability by assessing a regions adaptive capacity from a human capital perspective. In doing so, JSA seeks to identify how well suited the skills and capabilities of individuals within a region are for current and future skills needs.  "/>
                    <pic:cNvPicPr/>
                  </pic:nvPicPr>
                  <pic:blipFill>
                    <a:blip r:embed="rId63"/>
                    <a:stretch>
                      <a:fillRect/>
                    </a:stretch>
                  </pic:blipFill>
                  <pic:spPr>
                    <a:xfrm>
                      <a:off x="0" y="0"/>
                      <a:ext cx="5731510" cy="1993900"/>
                    </a:xfrm>
                    <a:prstGeom prst="rect">
                      <a:avLst/>
                    </a:prstGeom>
                  </pic:spPr>
                </pic:pic>
              </a:graphicData>
            </a:graphic>
          </wp:inline>
        </w:drawing>
      </w:r>
    </w:p>
    <w:p w14:paraId="2B0127F9" w14:textId="50854A39" w:rsidR="003D6C8A" w:rsidRPr="00545278" w:rsidRDefault="00545278" w:rsidP="00D43896">
      <w:pPr>
        <w:pStyle w:val="Source"/>
      </w:pPr>
      <w:r>
        <w:t>Note: Figure 1</w:t>
      </w:r>
      <w:r w:rsidR="00AA3B30">
        <w:t>9</w:t>
      </w:r>
      <w:r>
        <w:t xml:space="preserve"> aims to put into context the contribution that JSA seeks to make to understanding the vulnerability of regions through its analysis of skill simi</w:t>
      </w:r>
      <w:r w:rsidR="0062208E">
        <w:t>larity and through its workforce capacity studies</w:t>
      </w:r>
      <w:r w:rsidR="000C0538">
        <w:t xml:space="preserve"> noting that </w:t>
      </w:r>
      <w:r w:rsidR="00E972D6">
        <w:t>the vulnerability of</w:t>
      </w:r>
      <w:r w:rsidR="000C0538">
        <w:t xml:space="preserve"> a region </w:t>
      </w:r>
      <w:r w:rsidR="00E972D6">
        <w:t>depends on its exposure and sensitivity to a range of potential risks.</w:t>
      </w:r>
      <w:r w:rsidR="000C0538">
        <w:t xml:space="preserve"> </w:t>
      </w:r>
    </w:p>
    <w:p w14:paraId="6667403D" w14:textId="77777777" w:rsidR="003D6C8A" w:rsidRPr="003D6C8A" w:rsidRDefault="003D6C8A" w:rsidP="003D6C8A">
      <w:pPr>
        <w:pStyle w:val="Heading3"/>
        <w:rPr>
          <w:rFonts w:cs="Arial"/>
        </w:rPr>
      </w:pPr>
      <w:bookmarkStart w:id="40" w:name="_Toc171937421"/>
      <w:r w:rsidRPr="003D6C8A">
        <w:rPr>
          <w:rFonts w:cs="Arial"/>
        </w:rPr>
        <w:t>Drawing upon insights from JSA’s workforce capacity studies</w:t>
      </w:r>
      <w:bookmarkEnd w:id="40"/>
    </w:p>
    <w:p w14:paraId="22185AA0" w14:textId="72696B6C" w:rsidR="003D6C8A" w:rsidRPr="00F91043" w:rsidRDefault="003D6C8A" w:rsidP="00F264FC">
      <w:pPr>
        <w:keepNext/>
        <w:keepLines/>
      </w:pPr>
      <w:r w:rsidRPr="00F91043">
        <w:t xml:space="preserve">To </w:t>
      </w:r>
      <w:r>
        <w:t>compl</w:t>
      </w:r>
      <w:r w:rsidR="4E5D6BCA">
        <w:t>e</w:t>
      </w:r>
      <w:r>
        <w:t>ment</w:t>
      </w:r>
      <w:r w:rsidRPr="00F91043">
        <w:t xml:space="preserve"> the assessment of a region’s Skill Similarity, insights will be drawn upon from JSA’s workforce capacity studies (both completed and in development)</w:t>
      </w:r>
      <w:r w:rsidR="006E274D" w:rsidRPr="00F91043">
        <w:t>, including the associated regional employment projections</w:t>
      </w:r>
      <w:r w:rsidR="0015789A" w:rsidRPr="00F91043">
        <w:t>,</w:t>
      </w:r>
      <w:r w:rsidRPr="00F91043">
        <w:t xml:space="preserve"> that provide a </w:t>
      </w:r>
      <w:r w:rsidRPr="00F91043">
        <w:rPr>
          <w:u w:val="single"/>
        </w:rPr>
        <w:t>future</w:t>
      </w:r>
      <w:r w:rsidRPr="00F91043">
        <w:t xml:space="preserve"> outlook of the labour market to inform workforce planning. </w:t>
      </w:r>
    </w:p>
    <w:p w14:paraId="1B596646" w14:textId="77777777" w:rsidR="003D6C8A" w:rsidRPr="00F91043" w:rsidRDefault="003D6C8A" w:rsidP="00F264FC">
      <w:pPr>
        <w:keepLines/>
      </w:pPr>
      <w:r w:rsidRPr="00F91043">
        <w:t xml:space="preserve">Workforce capacity studies in priority areas such as the net zero transformation, early childhood education and care, and food supply chain provide an understanding of how future workforce needs will be shaped by the major structural trends facing the economy and labour market. </w:t>
      </w:r>
    </w:p>
    <w:p w14:paraId="4FB53D1B" w14:textId="77777777" w:rsidR="003D6C8A" w:rsidRPr="004970BA" w:rsidRDefault="003D6C8A" w:rsidP="00D43896">
      <w:pPr>
        <w:pStyle w:val="ListBullet"/>
      </w:pPr>
      <w:r w:rsidRPr="004970BA">
        <w:t>Indeed, JSA’s Clean Energy Workforce Capacity Study showed that employment growth in clean energy jobs is likely to be higher in regional Australia than in metropolitan areas.</w:t>
      </w:r>
      <w:r w:rsidRPr="004970BA">
        <w:rPr>
          <w:vertAlign w:val="superscript"/>
        </w:rPr>
        <w:footnoteReference w:id="35"/>
      </w:r>
      <w:r w:rsidRPr="004970BA">
        <w:rPr>
          <w:vertAlign w:val="superscript"/>
        </w:rPr>
        <w:t xml:space="preserve"> </w:t>
      </w:r>
      <w:r w:rsidRPr="004970BA">
        <w:t xml:space="preserve">Strong growth in regions in Northern NSW and Southern NSW, as well as in Eastern Victoria and the Northern Territory reflect renewable energy projects and the associated construction pipelines. </w:t>
      </w:r>
    </w:p>
    <w:p w14:paraId="76F61F0E" w14:textId="7011495C" w:rsidR="003D6C8A" w:rsidRPr="004970BA" w:rsidRDefault="003D6C8A" w:rsidP="00D43896">
      <w:pPr>
        <w:pStyle w:val="ListBullet"/>
      </w:pPr>
      <w:r w:rsidRPr="004970BA">
        <w:t xml:space="preserve">Importantly, the </w:t>
      </w:r>
      <w:r w:rsidR="006F1246" w:rsidRPr="004970BA">
        <w:t xml:space="preserve">relatively </w:t>
      </w:r>
      <w:r w:rsidRPr="004970BA">
        <w:t xml:space="preserve">strong projected employment growth in regional Australia highlights the importance of the VET sector to fill the workforce supply gaps for qualified workers (such as electrical and engineering trade roles) that are critical to the construction and maintenance of renewable energy projects. </w:t>
      </w:r>
    </w:p>
    <w:p w14:paraId="5B124BA7" w14:textId="77777777" w:rsidR="003D6C8A" w:rsidRPr="00F91043" w:rsidRDefault="003D6C8A" w:rsidP="004970BA">
      <w:r w:rsidRPr="00F91043">
        <w:t xml:space="preserve">Combining a Skill Similarity measure, with insights from JSA’s workforce capacity studies, can help provide a comprehensive skills-based assessment of a region’s ability to adapt to an economic disruption. This approach will help promote skills and training related policies for communities to ensure that everyone can be beneficiaries of the major transformations underway in our economy.  </w:t>
      </w:r>
    </w:p>
    <w:p w14:paraId="29200E8D" w14:textId="77777777" w:rsidR="00F91043" w:rsidRDefault="00F91043" w:rsidP="003D070F">
      <w:pPr>
        <w:rPr>
          <w:rFonts w:eastAsiaTheme="majorEastAsia" w:cstheme="majorBidi"/>
          <w:color w:val="4B0885" w:themeColor="text2"/>
          <w:sz w:val="56"/>
          <w:szCs w:val="32"/>
        </w:rPr>
      </w:pPr>
      <w:r>
        <w:br w:type="page"/>
      </w:r>
    </w:p>
    <w:p w14:paraId="0C0A97C6" w14:textId="28CDC03F" w:rsidR="00C03E0A" w:rsidRDefault="007D6D7E" w:rsidP="00D43896">
      <w:pPr>
        <w:pStyle w:val="Heading1"/>
      </w:pPr>
      <w:bookmarkStart w:id="41" w:name="_Toc178173731"/>
      <w:r w:rsidRPr="00742900">
        <w:t xml:space="preserve">Regional </w:t>
      </w:r>
      <w:r w:rsidR="00426BA3" w:rsidRPr="00D43896">
        <w:t>R</w:t>
      </w:r>
      <w:r w:rsidR="00B31E91" w:rsidRPr="00D43896">
        <w:t>ecruitment</w:t>
      </w:r>
      <w:r w:rsidR="00B31E91" w:rsidRPr="00742900">
        <w:t xml:space="preserve"> </w:t>
      </w:r>
      <w:r w:rsidR="00426BA3">
        <w:t>E</w:t>
      </w:r>
      <w:r w:rsidR="00B31E91" w:rsidRPr="00742900">
        <w:t>xperiences</w:t>
      </w:r>
      <w:r w:rsidR="00027238">
        <w:t xml:space="preserve"> and </w:t>
      </w:r>
      <w:r w:rsidR="00426BA3">
        <w:t>S</w:t>
      </w:r>
      <w:r w:rsidR="00027238">
        <w:t xml:space="preserve">kills </w:t>
      </w:r>
      <w:r w:rsidR="00426BA3">
        <w:t>S</w:t>
      </w:r>
      <w:r w:rsidR="00027238">
        <w:t>hortages</w:t>
      </w:r>
      <w:bookmarkEnd w:id="41"/>
    </w:p>
    <w:tbl>
      <w:tblPr>
        <w:tblStyle w:val="Box"/>
        <w:tblW w:w="0" w:type="auto"/>
        <w:tblLook w:val="04A0" w:firstRow="1" w:lastRow="0" w:firstColumn="1" w:lastColumn="0" w:noHBand="0" w:noVBand="1"/>
      </w:tblPr>
      <w:tblGrid>
        <w:gridCol w:w="8996"/>
      </w:tblGrid>
      <w:tr w:rsidR="00D43896" w14:paraId="60B91AE2" w14:textId="77777777" w:rsidTr="00D43896">
        <w:tc>
          <w:tcPr>
            <w:tcW w:w="9016" w:type="dxa"/>
          </w:tcPr>
          <w:p w14:paraId="0E47529E" w14:textId="77777777" w:rsidR="00D43896" w:rsidRPr="003739A9" w:rsidRDefault="00D43896" w:rsidP="00D43896">
            <w:pPr>
              <w:pStyle w:val="Heading2"/>
            </w:pPr>
            <w:bookmarkStart w:id="42" w:name="_Toc178173732"/>
            <w:r>
              <w:t>Key Findings</w:t>
            </w:r>
            <w:bookmarkEnd w:id="42"/>
          </w:p>
          <w:p w14:paraId="6139380F" w14:textId="77777777" w:rsidR="00D43896" w:rsidRPr="001A1EEE" w:rsidRDefault="00D43896" w:rsidP="00D43896">
            <w:pPr>
              <w:pStyle w:val="ListBullet"/>
            </w:pPr>
            <w:r w:rsidRPr="001A1EEE">
              <w:t>Despite recruitment outcomes improving, regional Australia has lower applicants per vacancy and lower qualified applicants and fill rates than capital cities, highlighting the imbalance in skills shortages between capital cities and regional areas.</w:t>
            </w:r>
          </w:p>
          <w:p w14:paraId="6B288E48" w14:textId="77777777" w:rsidR="00D43896" w:rsidRPr="001A1EEE" w:rsidRDefault="00D43896" w:rsidP="00D43896">
            <w:pPr>
              <w:pStyle w:val="ListBullet"/>
            </w:pPr>
            <w:r w:rsidRPr="001A1EEE">
              <w:t>Nationally, fill rates for Technicians and Trades Workers remain consistently around 50%, highlighting skills shortage pressure for occupations within this group. These national shortages are likely to be felt more acutely in regional Australia.</w:t>
            </w:r>
          </w:p>
          <w:p w14:paraId="0DE76382" w14:textId="1ABA98BD" w:rsidR="00D43896" w:rsidRPr="00E578E6" w:rsidRDefault="00D43896" w:rsidP="00D43896">
            <w:pPr>
              <w:pStyle w:val="ListBullet"/>
            </w:pPr>
            <w:r w:rsidRPr="00E578E6">
              <w:t xml:space="preserve">Although easing, recruitment difficulty rates have been consistently higher in regional Australia than capital cities, which have only recently seen an easing to now be comparable with capital city areas. </w:t>
            </w:r>
          </w:p>
          <w:p w14:paraId="00E135BE" w14:textId="77777777" w:rsidR="00D43896" w:rsidRPr="001A1EEE" w:rsidRDefault="00D43896" w:rsidP="00D43896">
            <w:pPr>
              <w:pStyle w:val="ListBullet"/>
            </w:pPr>
            <w:r w:rsidRPr="001A1EEE">
              <w:t>Given the reduced access to labour supply, location and the availability/suitability of applicants continue to drive recruitment difficulty in regional Australia.</w:t>
            </w:r>
          </w:p>
          <w:p w14:paraId="5AD76063" w14:textId="77777777" w:rsidR="00D43896" w:rsidRPr="001A1EEE" w:rsidRDefault="00D43896" w:rsidP="00D43896">
            <w:pPr>
              <w:pStyle w:val="ListBullet"/>
            </w:pPr>
            <w:r w:rsidRPr="001A1EEE">
              <w:t>Health Care and Social Assistance and Education and Training dominate employment and vacancy rates in skill level 1 occupations, with Registered Nurses the most common occupation</w:t>
            </w:r>
            <w:r>
              <w:t>, and they are in shortage</w:t>
            </w:r>
            <w:r w:rsidRPr="001A1EEE">
              <w:t xml:space="preserve">. </w:t>
            </w:r>
          </w:p>
          <w:p w14:paraId="13998FCF" w14:textId="77777777" w:rsidR="00D43896" w:rsidRPr="001A1EEE" w:rsidRDefault="00D43896" w:rsidP="00D43896">
            <w:pPr>
              <w:pStyle w:val="ListBullet"/>
            </w:pPr>
            <w:r w:rsidRPr="001A1EEE">
              <w:t xml:space="preserve">Skill level 1 occupations in Health Care and Social Assistance tend to have higher vacancy rates in regional Australia than in capital cities. </w:t>
            </w:r>
          </w:p>
          <w:p w14:paraId="052EAEFA" w14:textId="5A6E0D6C" w:rsidR="00D43896" w:rsidRPr="001A1EEE" w:rsidRDefault="00D43896" w:rsidP="00D43896">
            <w:pPr>
              <w:pStyle w:val="ListBullet"/>
            </w:pPr>
            <w:r w:rsidRPr="001A1EEE">
              <w:t>For skill level 2</w:t>
            </w:r>
            <w:r w:rsidR="007D1B04">
              <w:t>–</w:t>
            </w:r>
            <w:r w:rsidRPr="001A1EEE">
              <w:t>4</w:t>
            </w:r>
            <w:r>
              <w:t xml:space="preserve"> occupations</w:t>
            </w:r>
            <w:r w:rsidRPr="001A1EEE">
              <w:t xml:space="preserve">, Aged and Disabled Carers, Truck Drivers, and Electricians are some of the most common occupations </w:t>
            </w:r>
            <w:r>
              <w:t xml:space="preserve">in Regional Australia </w:t>
            </w:r>
            <w:r w:rsidRPr="001A1EEE">
              <w:t xml:space="preserve">and are all in </w:t>
            </w:r>
            <w:r>
              <w:t>s</w:t>
            </w:r>
            <w:r w:rsidRPr="001A1EEE">
              <w:t xml:space="preserve">hortage. </w:t>
            </w:r>
          </w:p>
          <w:p w14:paraId="6AFB57D4" w14:textId="77777777" w:rsidR="00D43896" w:rsidRPr="001A1EEE" w:rsidRDefault="00D43896" w:rsidP="00D43896">
            <w:pPr>
              <w:pStyle w:val="ListBullet"/>
            </w:pPr>
            <w:r w:rsidRPr="001A1EEE">
              <w:t xml:space="preserve">The top 5 Health Care and Social Assistance occupations in demand in regional Australia are Registered Nurses, Aged and Disabled Carers, Child Carers, Nursing Support and Personal Care Workers, and General Practitioners and Resident Medical Officers. These occupations are rated as being in National Shortage and these shortages are largely driven by long training pathways or retention issues. </w:t>
            </w:r>
          </w:p>
          <w:p w14:paraId="476543E5" w14:textId="77777777" w:rsidR="00D43896" w:rsidRPr="001A1EEE" w:rsidRDefault="00D43896" w:rsidP="00D43896">
            <w:pPr>
              <w:pStyle w:val="ListBullet"/>
            </w:pPr>
            <w:r w:rsidRPr="001A1EEE">
              <w:t>Occupational gender segregation is closely linked to remoteness, with regional and remote areas with lower population density have distinctly higher gender segregation than their capital city counterparts.</w:t>
            </w:r>
          </w:p>
          <w:p w14:paraId="75FC0783" w14:textId="77777777" w:rsidR="00D43896" w:rsidRDefault="00D43896" w:rsidP="00D43896"/>
        </w:tc>
      </w:tr>
    </w:tbl>
    <w:p w14:paraId="663C366D" w14:textId="2664CE5E" w:rsidR="0E6A4691" w:rsidRDefault="0E6A4691" w:rsidP="006E7A8D"/>
    <w:p w14:paraId="5E825D17" w14:textId="77777777" w:rsidR="001A1EEE" w:rsidRDefault="001A1EEE">
      <w:pPr>
        <w:rPr>
          <w:rFonts w:asciiTheme="majorHAnsi" w:eastAsiaTheme="majorEastAsia" w:hAnsiTheme="majorHAnsi" w:cstheme="majorBidi"/>
          <w:b/>
          <w:sz w:val="32"/>
          <w:szCs w:val="26"/>
        </w:rPr>
      </w:pPr>
      <w:bookmarkStart w:id="43" w:name="_Toc171937424"/>
      <w:r>
        <w:rPr>
          <w:rFonts w:asciiTheme="majorHAnsi" w:hAnsiTheme="majorHAnsi"/>
        </w:rPr>
        <w:br w:type="page"/>
      </w:r>
    </w:p>
    <w:p w14:paraId="16C5F82C" w14:textId="6CC9A041" w:rsidR="00974843" w:rsidRPr="00A07EE4" w:rsidRDefault="00974843" w:rsidP="00D43896">
      <w:pPr>
        <w:pStyle w:val="Heading2"/>
      </w:pPr>
      <w:bookmarkStart w:id="44" w:name="_Toc178173733"/>
      <w:r w:rsidRPr="00A07EE4">
        <w:t>Overview</w:t>
      </w:r>
      <w:bookmarkEnd w:id="43"/>
      <w:bookmarkEnd w:id="44"/>
    </w:p>
    <w:p w14:paraId="0A522A8E" w14:textId="3A605DBE" w:rsidR="00A71374" w:rsidRPr="00793945" w:rsidRDefault="788A487E" w:rsidP="00FC2B82">
      <w:r w:rsidRPr="1E98FAEC">
        <w:t xml:space="preserve">JSA’s Internet Vacancy Index (IVI) </w:t>
      </w:r>
      <w:r w:rsidR="00B77C56">
        <w:t xml:space="preserve">and </w:t>
      </w:r>
      <w:r w:rsidR="00681073">
        <w:t>REOS</w:t>
      </w:r>
      <w:r w:rsidRPr="1E98FAEC">
        <w:t xml:space="preserve"> both indicate that labour demand nationally has fallen since the beginning of 2024. After peaking in June 2022, the seasonally adjusted IVI has fallen </w:t>
      </w:r>
      <w:r w:rsidR="003B73ED">
        <w:t>23</w:t>
      </w:r>
      <w:r w:rsidRPr="1E98FAEC">
        <w:t xml:space="preserve">% (around </w:t>
      </w:r>
      <w:r w:rsidR="00E01D16">
        <w:t>65</w:t>
      </w:r>
      <w:r w:rsidRPr="1E98FAEC">
        <w:t>,</w:t>
      </w:r>
      <w:r w:rsidR="00E01D16">
        <w:t>3</w:t>
      </w:r>
      <w:r w:rsidRPr="1E98FAEC">
        <w:t xml:space="preserve">00 vacancies) over the year to </w:t>
      </w:r>
      <w:r w:rsidR="00E01D16">
        <w:t>July</w:t>
      </w:r>
      <w:r w:rsidR="00E01D16" w:rsidRPr="1E98FAEC">
        <w:t xml:space="preserve"> </w:t>
      </w:r>
      <w:r w:rsidRPr="1E98FAEC">
        <w:t>2024</w:t>
      </w:r>
      <w:r w:rsidR="007C0C7B">
        <w:t xml:space="preserve">. </w:t>
      </w:r>
      <w:r w:rsidRPr="1E98FAEC">
        <w:t>REOS data show the recruitment difficulty rate (the proportion of recruiting employers who reported having difficulty recruiting) nationally</w:t>
      </w:r>
      <w:r w:rsidR="1377100D" w:rsidRPr="37A0D176">
        <w:t>,</w:t>
      </w:r>
      <w:r w:rsidRPr="1E98FAEC">
        <w:t xml:space="preserve"> in the </w:t>
      </w:r>
      <w:r w:rsidR="000B24CC">
        <w:t>June</w:t>
      </w:r>
      <w:r w:rsidR="000B24CC" w:rsidRPr="1E98FAEC">
        <w:t xml:space="preserve"> </w:t>
      </w:r>
      <w:r w:rsidRPr="1E98FAEC">
        <w:t>quarter 2024 was 5</w:t>
      </w:r>
      <w:r w:rsidR="000B24CC">
        <w:t>5</w:t>
      </w:r>
      <w:r w:rsidRPr="1E98FAEC">
        <w:t>%, 9 percentage points lower than the 6</w:t>
      </w:r>
      <w:r w:rsidR="00530A0C">
        <w:t>4</w:t>
      </w:r>
      <w:r w:rsidRPr="1E98FAEC">
        <w:t>% recorded a year ago.</w:t>
      </w:r>
    </w:p>
    <w:p w14:paraId="772376F7" w14:textId="18411B7F" w:rsidR="00C3094C" w:rsidRPr="00C3094C" w:rsidRDefault="00C3094C" w:rsidP="00FC2B82">
      <w:r w:rsidRPr="00C3094C">
        <w:t>Despite the recent fall in both the number of internet vacancies and recruitment difficulty</w:t>
      </w:r>
      <w:r w:rsidR="668A8AC4" w:rsidRPr="60B8A488">
        <w:t xml:space="preserve"> rate</w:t>
      </w:r>
      <w:r w:rsidRPr="00C3094C">
        <w:t>, various data show that employers are still experiencing challenges finding suitably skilled workers to fill vacant positions, particularly in regional Australia.</w:t>
      </w:r>
    </w:p>
    <w:p w14:paraId="454B4953" w14:textId="1DE25892" w:rsidR="00F77961" w:rsidRDefault="00C3094C" w:rsidP="00FC2B82">
      <w:r w:rsidRPr="00C3094C">
        <w:t xml:space="preserve">This section discusses regional skill shortages, including at the occupation level. It largely draws on, and builds upon existing bodies of JSA work, including skill shortage/recruitment difficulty analysis included in the JSA </w:t>
      </w:r>
      <w:r w:rsidR="00810C93">
        <w:rPr>
          <w:rFonts w:eastAsia="Times New Roman"/>
        </w:rPr>
        <w:t>Q</w:t>
      </w:r>
      <w:r w:rsidRPr="00810C93">
        <w:rPr>
          <w:rFonts w:eastAsia="Times New Roman"/>
        </w:rPr>
        <w:t xml:space="preserve">uarterly </w:t>
      </w:r>
      <w:r w:rsidR="00810C93">
        <w:rPr>
          <w:rFonts w:eastAsia="Times New Roman"/>
        </w:rPr>
        <w:t>L</w:t>
      </w:r>
      <w:r w:rsidRPr="00810C93">
        <w:rPr>
          <w:rFonts w:eastAsia="Times New Roman"/>
        </w:rPr>
        <w:t xml:space="preserve">abour </w:t>
      </w:r>
      <w:r w:rsidR="00810C93">
        <w:rPr>
          <w:rFonts w:eastAsia="Times New Roman"/>
        </w:rPr>
        <w:t>M</w:t>
      </w:r>
      <w:r w:rsidRPr="00810C93">
        <w:rPr>
          <w:rFonts w:eastAsia="Times New Roman"/>
        </w:rPr>
        <w:t>arket</w:t>
      </w:r>
      <w:r w:rsidRPr="00C3094C">
        <w:t xml:space="preserve"> </w:t>
      </w:r>
      <w:r w:rsidR="00225675">
        <w:t xml:space="preserve">Update </w:t>
      </w:r>
      <w:r w:rsidRPr="00C3094C">
        <w:t>report</w:t>
      </w:r>
      <w:r w:rsidRPr="00810C93">
        <w:rPr>
          <w:rFonts w:eastAsia="Times New Roman"/>
        </w:rPr>
        <w:t xml:space="preserve"> and </w:t>
      </w:r>
      <w:r w:rsidR="00225675">
        <w:rPr>
          <w:rFonts w:eastAsia="Times New Roman"/>
        </w:rPr>
        <w:t>JSA</w:t>
      </w:r>
      <w:r w:rsidR="00283E46">
        <w:rPr>
          <w:rFonts w:eastAsia="Times New Roman"/>
        </w:rPr>
        <w:t xml:space="preserve"> </w:t>
      </w:r>
      <w:r w:rsidR="00810C93">
        <w:rPr>
          <w:rFonts w:eastAsia="Times New Roman"/>
        </w:rPr>
        <w:t>S</w:t>
      </w:r>
      <w:r w:rsidRPr="00810C93">
        <w:rPr>
          <w:rFonts w:eastAsia="Times New Roman"/>
        </w:rPr>
        <w:t>kill</w:t>
      </w:r>
      <w:r w:rsidR="006426AD">
        <w:rPr>
          <w:rFonts w:eastAsia="Times New Roman"/>
        </w:rPr>
        <w:t>s</w:t>
      </w:r>
      <w:r w:rsidRPr="00810C93">
        <w:rPr>
          <w:rFonts w:eastAsia="Times New Roman"/>
        </w:rPr>
        <w:t xml:space="preserve"> </w:t>
      </w:r>
      <w:r w:rsidR="00810C93">
        <w:rPr>
          <w:rFonts w:eastAsia="Times New Roman"/>
        </w:rPr>
        <w:t>S</w:t>
      </w:r>
      <w:r w:rsidRPr="00810C93">
        <w:rPr>
          <w:rFonts w:eastAsia="Times New Roman"/>
        </w:rPr>
        <w:t xml:space="preserve">hortage </w:t>
      </w:r>
      <w:r w:rsidR="006426AD">
        <w:rPr>
          <w:rFonts w:eastAsia="Times New Roman"/>
        </w:rPr>
        <w:t xml:space="preserve">Quarterly </w:t>
      </w:r>
      <w:r w:rsidRPr="00810C93">
        <w:rPr>
          <w:rFonts w:eastAsia="Times New Roman"/>
        </w:rPr>
        <w:t>report.</w:t>
      </w:r>
      <w:r w:rsidRPr="00C3094C">
        <w:t xml:space="preserve"> It presents a high-level view of regional skills shortages, including comparisons between regional </w:t>
      </w:r>
      <w:r w:rsidR="00E578E6">
        <w:t xml:space="preserve">Australia </w:t>
      </w:r>
      <w:r w:rsidRPr="00C3094C">
        <w:t>and capital cities, noting that the ability to examine differences within regional Australia are constrained due to data limitations.</w:t>
      </w:r>
    </w:p>
    <w:p w14:paraId="0E05D8CD" w14:textId="10637421" w:rsidR="006C6496" w:rsidRPr="00A07EE4" w:rsidRDefault="006C6496" w:rsidP="00400506">
      <w:pPr>
        <w:pStyle w:val="Heading2"/>
        <w:rPr>
          <w:rFonts w:asciiTheme="majorHAnsi" w:hAnsiTheme="majorHAnsi"/>
        </w:rPr>
      </w:pPr>
      <w:bookmarkStart w:id="45" w:name="_Toc178173734"/>
      <w:r w:rsidRPr="5A5CAFE5">
        <w:rPr>
          <w:rFonts w:asciiTheme="majorHAnsi" w:hAnsiTheme="majorHAnsi"/>
        </w:rPr>
        <w:t>Re</w:t>
      </w:r>
      <w:r w:rsidR="00961224" w:rsidRPr="5A5CAFE5">
        <w:rPr>
          <w:rFonts w:asciiTheme="majorHAnsi" w:hAnsiTheme="majorHAnsi"/>
        </w:rPr>
        <w:t xml:space="preserve">cruitment </w:t>
      </w:r>
      <w:r w:rsidR="00400506" w:rsidRPr="5A5CAFE5">
        <w:rPr>
          <w:rFonts w:asciiTheme="majorHAnsi" w:hAnsiTheme="majorHAnsi"/>
        </w:rPr>
        <w:t xml:space="preserve">difficulty and vacancy </w:t>
      </w:r>
      <w:r w:rsidR="00ED156A" w:rsidRPr="5A5CAFE5">
        <w:rPr>
          <w:rFonts w:asciiTheme="majorHAnsi" w:hAnsiTheme="majorHAnsi"/>
        </w:rPr>
        <w:t xml:space="preserve">fill </w:t>
      </w:r>
      <w:r w:rsidR="00400506" w:rsidRPr="5A5CAFE5">
        <w:rPr>
          <w:rFonts w:asciiTheme="majorHAnsi" w:hAnsiTheme="majorHAnsi"/>
        </w:rPr>
        <w:t>rates</w:t>
      </w:r>
      <w:bookmarkEnd w:id="45"/>
    </w:p>
    <w:p w14:paraId="3CD55515" w14:textId="1B6CE780" w:rsidR="00555FD0" w:rsidRPr="00FC2B82" w:rsidRDefault="00555FD0" w:rsidP="00D43896">
      <w:pPr>
        <w:pStyle w:val="Heading3"/>
      </w:pPr>
      <w:bookmarkStart w:id="46" w:name="_Toc171937427"/>
      <w:r w:rsidRPr="00D43896">
        <w:t>Although</w:t>
      </w:r>
      <w:r w:rsidRPr="00FC2B82">
        <w:t xml:space="preserve"> easing, recruitment difficulty remains high</w:t>
      </w:r>
      <w:r w:rsidR="002624C3" w:rsidRPr="00FC2B82">
        <w:t>er</w:t>
      </w:r>
      <w:r w:rsidRPr="00FC2B82">
        <w:t xml:space="preserve"> in regional </w:t>
      </w:r>
      <w:r w:rsidR="002624C3" w:rsidRPr="00FC2B82">
        <w:t xml:space="preserve">and remote </w:t>
      </w:r>
      <w:r w:rsidRPr="00FC2B82">
        <w:t>areas</w:t>
      </w:r>
      <w:bookmarkEnd w:id="46"/>
    </w:p>
    <w:p w14:paraId="55055048" w14:textId="0C0B633B" w:rsidR="00AA0296" w:rsidRPr="006F0C46" w:rsidRDefault="002147B0" w:rsidP="00FC2B82">
      <w:pPr>
        <w:rPr>
          <w:rFonts w:cs="Arial"/>
          <w:b/>
          <w:sz w:val="20"/>
          <w:szCs w:val="20"/>
        </w:rPr>
      </w:pPr>
      <w:r w:rsidRPr="002147B0">
        <w:t>In the June quarter 2024, Inner Regional Australia recorded a recruitment rate of 52%, compared with 43% for Australia’s major cities (which have recorded a 5 percentage point decline since a year prior). Inner Regional Australia also recorded the highest level of recruitment difficulty (59%)</w:t>
      </w:r>
      <w:r w:rsidR="006F113D">
        <w:t>.</w:t>
      </w:r>
      <w:r w:rsidR="00AA0296" w:rsidRPr="00AA0296">
        <w:rPr>
          <w:rFonts w:eastAsia="Arial" w:cs="Arial"/>
        </w:rPr>
        <w:t xml:space="preserve"> </w:t>
      </w:r>
      <w:r w:rsidR="00AA0296" w:rsidRPr="00DD496C">
        <w:rPr>
          <w:rFonts w:eastAsia="Arial" w:cs="Arial"/>
        </w:rPr>
        <w:t>While the recruitment difficulty rate has eased for all employers since June quarter 2023, it still remains persistently higher in Inner Regional</w:t>
      </w:r>
      <w:r w:rsidR="00AA0296">
        <w:rPr>
          <w:rFonts w:eastAsia="Arial" w:cs="Arial"/>
        </w:rPr>
        <w:t xml:space="preserve"> (59%)</w:t>
      </w:r>
      <w:r w:rsidR="00AA0296" w:rsidRPr="00DD496C">
        <w:rPr>
          <w:rFonts w:eastAsia="Arial" w:cs="Arial"/>
        </w:rPr>
        <w:t xml:space="preserve"> and Outer </w:t>
      </w:r>
      <w:r w:rsidR="00E578E6">
        <w:rPr>
          <w:rFonts w:eastAsia="Arial" w:cs="Arial"/>
        </w:rPr>
        <w:t>R</w:t>
      </w:r>
      <w:r w:rsidR="00AA0296" w:rsidRPr="00DD496C">
        <w:rPr>
          <w:rFonts w:eastAsia="Arial" w:cs="Arial"/>
        </w:rPr>
        <w:t>egional, Remote and Very Remote Areas</w:t>
      </w:r>
      <w:r w:rsidR="00AA0296">
        <w:rPr>
          <w:rFonts w:eastAsia="Arial" w:cs="Arial"/>
        </w:rPr>
        <w:t xml:space="preserve"> (57%)</w:t>
      </w:r>
      <w:r w:rsidR="00AA0296" w:rsidRPr="00DD496C">
        <w:rPr>
          <w:rFonts w:eastAsia="Arial" w:cs="Arial"/>
        </w:rPr>
        <w:t xml:space="preserve"> compar</w:t>
      </w:r>
      <w:r w:rsidR="00E578E6">
        <w:rPr>
          <w:rFonts w:eastAsia="Arial" w:cs="Arial"/>
        </w:rPr>
        <w:t>ed</w:t>
      </w:r>
      <w:r w:rsidR="00AA0296" w:rsidRPr="00DD496C">
        <w:rPr>
          <w:rFonts w:eastAsia="Arial" w:cs="Arial"/>
        </w:rPr>
        <w:t xml:space="preserve"> to the Major Cities</w:t>
      </w:r>
      <w:r w:rsidR="00AA0296">
        <w:rPr>
          <w:rFonts w:eastAsia="Arial" w:cs="Arial"/>
        </w:rPr>
        <w:t xml:space="preserve"> (53%).</w:t>
      </w:r>
    </w:p>
    <w:p w14:paraId="5F1F9ABC" w14:textId="77777777" w:rsidR="00D43896" w:rsidRDefault="00D43896" w:rsidP="00D43896">
      <w:pPr>
        <w:rPr>
          <w:sz w:val="20"/>
          <w:szCs w:val="18"/>
        </w:rPr>
      </w:pPr>
      <w:r>
        <w:br w:type="page"/>
      </w:r>
    </w:p>
    <w:p w14:paraId="56C13A20" w14:textId="23FA947F" w:rsidR="00231D5F" w:rsidRPr="00901A26" w:rsidRDefault="00231D5F" w:rsidP="00D43896">
      <w:pPr>
        <w:pStyle w:val="Caption"/>
      </w:pPr>
      <w:r w:rsidRPr="00901A26">
        <w:t xml:space="preserve">Figure </w:t>
      </w:r>
      <w:r w:rsidR="00FC2B82" w:rsidRPr="00901A26">
        <w:t>20</w:t>
      </w:r>
      <w:r w:rsidRPr="00901A26">
        <w:t xml:space="preserve">. Recruitment rate by </w:t>
      </w:r>
      <w:r w:rsidR="00E578E6" w:rsidRPr="00901A26">
        <w:t>Remoteness</w:t>
      </w:r>
      <w:r w:rsidRPr="00901A26">
        <w:t>, June quarter 2023 – June quarter 2024</w:t>
      </w:r>
    </w:p>
    <w:p w14:paraId="4DDFBD9C" w14:textId="77777777" w:rsidR="00231D5F" w:rsidRDefault="00231D5F" w:rsidP="006E7A8D">
      <w:r>
        <w:rPr>
          <w:noProof/>
        </w:rPr>
        <w:drawing>
          <wp:inline distT="0" distB="0" distL="0" distR="0" wp14:anchorId="28AEF41C" wp14:editId="4CCD31A5">
            <wp:extent cx="5328000" cy="1340450"/>
            <wp:effectExtent l="0" t="0" r="6350" b="0"/>
            <wp:docPr id="936062908" name="Chart 1" descr="This is a column chart that shows the variation in recruitment rates across Major Cities of Australia, Inner Regional Australia, Outer Regional, Remote and Very Remote Australia for the June quarter 2024.">
              <a:extLst xmlns:a="http://schemas.openxmlformats.org/drawingml/2006/main">
                <a:ext uri="{FF2B5EF4-FFF2-40B4-BE49-F238E27FC236}">
                  <a16:creationId xmlns:a16="http://schemas.microsoft.com/office/drawing/2014/main" id="{E03EB370-1C4F-4F5D-BD84-A2C243391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B79D74D" w14:textId="165DD277" w:rsidR="00231D5F" w:rsidRPr="00901A26" w:rsidRDefault="00231D5F" w:rsidP="00D43896">
      <w:pPr>
        <w:pStyle w:val="Caption"/>
      </w:pPr>
      <w:r w:rsidRPr="00901A26">
        <w:t xml:space="preserve">Figure </w:t>
      </w:r>
      <w:r w:rsidR="00E578E6" w:rsidRPr="00901A26">
        <w:t>21</w:t>
      </w:r>
      <w:r w:rsidRPr="00901A26">
        <w:t xml:space="preserve">. Recruitment </w:t>
      </w:r>
      <w:r w:rsidRPr="00D43896">
        <w:t>difficulty</w:t>
      </w:r>
      <w:r w:rsidRPr="00901A26">
        <w:t xml:space="preserve"> rate by </w:t>
      </w:r>
      <w:r w:rsidR="00E578E6" w:rsidRPr="00901A26">
        <w:t>Remoteness</w:t>
      </w:r>
      <w:r w:rsidRPr="00901A26">
        <w:t>, June quarter 2023 – June quarter 2024</w:t>
      </w:r>
    </w:p>
    <w:p w14:paraId="2C455F58" w14:textId="77777777" w:rsidR="00231D5F" w:rsidRDefault="00231D5F" w:rsidP="006E7A8D">
      <w:r>
        <w:rPr>
          <w:noProof/>
        </w:rPr>
        <w:drawing>
          <wp:inline distT="0" distB="0" distL="0" distR="0" wp14:anchorId="1D380F68" wp14:editId="7836C1D1">
            <wp:extent cx="5328000" cy="1340450"/>
            <wp:effectExtent l="0" t="0" r="6350" b="0"/>
            <wp:docPr id="1109389102" name="Chart 1" descr="This is a column chart that shows the variation in recruitment difficulty rates across Major Cities of Australia, Inner Regional Australia, Outer Regional, Remote and Very Remote Australia for the June quarter 2024.">
              <a:extLst xmlns:a="http://schemas.openxmlformats.org/drawingml/2006/main">
                <a:ext uri="{FF2B5EF4-FFF2-40B4-BE49-F238E27FC236}">
                  <a16:creationId xmlns:a16="http://schemas.microsoft.com/office/drawing/2014/main" id="{65AB1DEE-C74D-4858-A683-35CA9D3A13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F14C8F2" w14:textId="77777777" w:rsidR="00036B27" w:rsidRDefault="00036B27" w:rsidP="00F1008A">
      <w:pPr>
        <w:keepNext/>
        <w:rPr>
          <w:rFonts w:eastAsia="Arial" w:cs="Arial"/>
          <w:sz w:val="18"/>
          <w:szCs w:val="18"/>
          <w:highlight w:val="yellow"/>
        </w:rPr>
      </w:pPr>
      <w:r>
        <w:rPr>
          <w:noProof/>
        </w:rPr>
        <w:drawing>
          <wp:inline distT="0" distB="0" distL="0" distR="0" wp14:anchorId="6F3E85D1" wp14:editId="0C28D2D1">
            <wp:extent cx="5457825" cy="266700"/>
            <wp:effectExtent l="0" t="0" r="0" b="0"/>
            <wp:docPr id="1637084309" name="Chart 1" descr="This is a legend for the chart above. Each chart contains the five most recent quarters, with light blue representing the most current quarter, then pink, navy, teal, through to purple, the earliest quarter.  ">
              <a:extLst xmlns:a="http://schemas.openxmlformats.org/drawingml/2006/main">
                <a:ext uri="{FF2B5EF4-FFF2-40B4-BE49-F238E27FC236}">
                  <a16:creationId xmlns:a16="http://schemas.microsoft.com/office/drawing/2014/main" id="{513FB5BB-92FD-400B-A21D-B6F775AEC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C505D6" w14:textId="25DF5492" w:rsidR="00F1008A" w:rsidRPr="00E578E6" w:rsidRDefault="00F1008A" w:rsidP="00E578E6">
      <w:pPr>
        <w:pStyle w:val="Source"/>
        <w:rPr>
          <w:rFonts w:eastAsia="Arial" w:cs="Arial"/>
        </w:rPr>
      </w:pPr>
      <w:r w:rsidRPr="00E578E6">
        <w:rPr>
          <w:rFonts w:asciiTheme="minorHAnsi" w:hAnsiTheme="minorHAnsi" w:cstheme="minorHAnsi"/>
        </w:rPr>
        <w:t>Source: Jobs and Skills Australia,</w:t>
      </w:r>
      <w:r w:rsidRPr="00E578E6">
        <w:rPr>
          <w:rFonts w:eastAsia="Arial" w:cs="Arial"/>
          <w:i/>
        </w:rPr>
        <w:t xml:space="preserve"> Recruitment Experiences and Outlook Survey</w:t>
      </w:r>
      <w:r w:rsidRPr="00E578E6">
        <w:rPr>
          <w:rFonts w:eastAsia="Arial" w:cs="Arial"/>
        </w:rPr>
        <w:t xml:space="preserve">, </w:t>
      </w:r>
      <w:r w:rsidR="00AE7F09" w:rsidRPr="00E578E6">
        <w:rPr>
          <w:rFonts w:eastAsia="Arial" w:cs="Arial"/>
        </w:rPr>
        <w:t xml:space="preserve">June quarter </w:t>
      </w:r>
      <w:r w:rsidRPr="00E578E6">
        <w:rPr>
          <w:rFonts w:eastAsia="Arial" w:cs="Arial"/>
        </w:rPr>
        <w:t>2024</w:t>
      </w:r>
    </w:p>
    <w:p w14:paraId="023AEAE6" w14:textId="77777777" w:rsidR="00494C39" w:rsidRPr="00494C39" w:rsidRDefault="00494C39" w:rsidP="004F0CB1">
      <w:pPr>
        <w:pStyle w:val="Source"/>
      </w:pPr>
      <w:r w:rsidRPr="00494C39">
        <w:t>Note: Accessibility and Remoteness Index of Australia (ARIA) classifications of Outer Regional Australia, Remote Australia, and Very Remote Australia have been combined into one category to increase sample size.</w:t>
      </w:r>
    </w:p>
    <w:p w14:paraId="4C61064F" w14:textId="685C9119" w:rsidR="0011297E" w:rsidRPr="00AA0296" w:rsidRDefault="005103AE" w:rsidP="00E578E6">
      <w:pPr>
        <w:rPr>
          <w:rFonts w:eastAsia="Times New Roman"/>
        </w:rPr>
      </w:pPr>
      <w:r w:rsidRPr="6D16719F">
        <w:t>The relationship between the amount of recruitment activity (as seen in</w:t>
      </w:r>
      <w:r>
        <w:rPr>
          <w:rFonts w:eastAsia="Times New Roman"/>
        </w:rPr>
        <w:t xml:space="preserve"> </w:t>
      </w:r>
      <w:r w:rsidRPr="6D16719F">
        <w:t xml:space="preserve">recruitment rates) and recruitment difficulty varies within individual capital cities and rest of state areas. </w:t>
      </w:r>
      <w:r w:rsidR="00114FA5" w:rsidRPr="00E40B89">
        <w:t>Figure</w:t>
      </w:r>
      <w:r w:rsidR="00514012" w:rsidRPr="00E40B89">
        <w:t> </w:t>
      </w:r>
      <w:r w:rsidR="00114FA5" w:rsidRPr="00E40B89">
        <w:t>2</w:t>
      </w:r>
      <w:r w:rsidR="005817E8">
        <w:t>2</w:t>
      </w:r>
      <w:r w:rsidRPr="00E40B89">
        <w:t xml:space="preserve"> shows these regional variations </w:t>
      </w:r>
      <w:r w:rsidR="0074342B" w:rsidRPr="00E40B89">
        <w:t xml:space="preserve">as </w:t>
      </w:r>
      <w:r w:rsidRPr="00E40B89">
        <w:t xml:space="preserve">observed over the 12 months to </w:t>
      </w:r>
      <w:r w:rsidR="06CB3346" w:rsidRPr="00E40B89">
        <w:t>July</w:t>
      </w:r>
      <w:r w:rsidRPr="00E40B89">
        <w:t xml:space="preserve"> 2024. </w:t>
      </w:r>
    </w:p>
    <w:p w14:paraId="7E50B9C8" w14:textId="3D4C2A24" w:rsidR="001A14DF" w:rsidRPr="00D20FB2" w:rsidRDefault="005103AE" w:rsidP="00E578E6">
      <w:pPr>
        <w:rPr>
          <w:rFonts w:asciiTheme="minorHAnsi" w:hAnsiTheme="minorHAnsi"/>
        </w:rPr>
      </w:pPr>
      <w:r w:rsidRPr="00E40B89">
        <w:t>In general, at similar rates of recruitment, rest of state areas tend to experience higher levels of difficulty. For example, Rest of Victoria is a relatively low recruiter (4</w:t>
      </w:r>
      <w:r w:rsidR="4C19CF92" w:rsidRPr="00E40B89">
        <w:t>8</w:t>
      </w:r>
      <w:r w:rsidRPr="00E40B89">
        <w:t>%) and has high recruitment difficulty (6</w:t>
      </w:r>
      <w:r w:rsidR="1C7A56FB" w:rsidRPr="00E40B89">
        <w:t>1</w:t>
      </w:r>
      <w:r w:rsidRPr="00E40B89">
        <w:t>%), while Greater Melbourne has a similar rate of recruitment (4</w:t>
      </w:r>
      <w:r w:rsidR="111BF403" w:rsidRPr="00E40B89">
        <w:t>3</w:t>
      </w:r>
      <w:r w:rsidRPr="00E40B89">
        <w:t>%) and a lower difficulty rate (5</w:t>
      </w:r>
      <w:r w:rsidR="2A64A3BB" w:rsidRPr="00E40B89">
        <w:t>3</w:t>
      </w:r>
      <w:r w:rsidRPr="00E40B89">
        <w:t xml:space="preserve">%). A similar pattern is observed between other capital cities and their respective rest of state </w:t>
      </w:r>
      <w:r w:rsidR="00DD5E58" w:rsidRPr="00E40B89">
        <w:t>areas</w:t>
      </w:r>
      <w:r w:rsidRPr="00E40B89">
        <w:t>.</w:t>
      </w:r>
    </w:p>
    <w:p w14:paraId="31604311" w14:textId="1E285971" w:rsidR="00983944" w:rsidRPr="00901A26" w:rsidRDefault="004C28A8" w:rsidP="004F0CB1">
      <w:pPr>
        <w:pStyle w:val="Caption"/>
      </w:pPr>
      <w:r w:rsidRPr="00901A26">
        <w:t xml:space="preserve">Figure </w:t>
      </w:r>
      <w:r w:rsidR="6CB75038" w:rsidRPr="00901A26">
        <w:t>2</w:t>
      </w:r>
      <w:r w:rsidR="003B40DD">
        <w:t>2</w:t>
      </w:r>
      <w:r w:rsidRPr="00901A26">
        <w:t xml:space="preserve">: </w:t>
      </w:r>
      <w:r w:rsidR="00983944" w:rsidRPr="00901A26">
        <w:t>Rates of recruitment and recruitment difficulty</w:t>
      </w:r>
      <w:r w:rsidR="005817E8" w:rsidRPr="00901A26">
        <w:t xml:space="preserve">, capital city and </w:t>
      </w:r>
      <w:r w:rsidR="005817E8" w:rsidRPr="004F0CB1">
        <w:t>rest</w:t>
      </w:r>
      <w:r w:rsidR="005817E8" w:rsidRPr="00901A26">
        <w:t xml:space="preserve"> of state areas</w:t>
      </w:r>
      <w:r w:rsidR="00983944" w:rsidRPr="00901A26">
        <w:t xml:space="preserve"> (12 months to </w:t>
      </w:r>
      <w:r w:rsidR="00AA2154" w:rsidRPr="00901A26">
        <w:t>July</w:t>
      </w:r>
      <w:r w:rsidR="00983944" w:rsidRPr="00901A26">
        <w:t xml:space="preserve"> 2024)</w:t>
      </w:r>
    </w:p>
    <w:p w14:paraId="51BAC1E4" w14:textId="4420CB28" w:rsidR="00983944" w:rsidRPr="005817E8" w:rsidRDefault="00647A9F" w:rsidP="005817E8">
      <w:pPr>
        <w:pStyle w:val="Source"/>
        <w:rPr>
          <w:rFonts w:eastAsia="Arial" w:cs="Arial"/>
        </w:rPr>
      </w:pPr>
      <w:r w:rsidRPr="005817E8">
        <w:rPr>
          <w:rFonts w:asciiTheme="minorHAnsi" w:hAnsiTheme="minorHAnsi" w:cstheme="minorHAnsi"/>
          <w:noProof/>
        </w:rPr>
        <w:drawing>
          <wp:inline distT="0" distB="0" distL="0" distR="0" wp14:anchorId="635D2993" wp14:editId="2D60586A">
            <wp:extent cx="5731510" cy="3601720"/>
            <wp:effectExtent l="0" t="0" r="2540" b="0"/>
            <wp:docPr id="676006245" name="Chart 1" descr="This is a scatterplot chart showing the rates of recruitment and recruitment difficulty rates by capital city and rest of state areas for the 12 months to July 2024.">
              <a:extLst xmlns:a="http://schemas.openxmlformats.org/drawingml/2006/main">
                <a:ext uri="{FF2B5EF4-FFF2-40B4-BE49-F238E27FC236}">
                  <a16:creationId xmlns:a16="http://schemas.microsoft.com/office/drawing/2014/main" id="{8F0CC98F-EA1B-467F-BC4B-EFA5AEECBF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5A3184C7" w:rsidRPr="005817E8">
        <w:rPr>
          <w:rFonts w:eastAsia="Arial" w:cs="Arial"/>
        </w:rPr>
        <w:t>Source: Jobs and Skills Australia,</w:t>
      </w:r>
      <w:r w:rsidR="5A3184C7" w:rsidRPr="005817E8">
        <w:rPr>
          <w:rFonts w:eastAsia="Arial" w:cs="Arial"/>
          <w:i/>
        </w:rPr>
        <w:t xml:space="preserve"> Recruitment Experiences and Outlook Survey</w:t>
      </w:r>
      <w:r w:rsidR="5A3184C7" w:rsidRPr="005817E8">
        <w:rPr>
          <w:rFonts w:eastAsia="Arial" w:cs="Arial"/>
        </w:rPr>
        <w:t xml:space="preserve">, </w:t>
      </w:r>
      <w:r w:rsidR="009B3A39" w:rsidRPr="005817E8">
        <w:rPr>
          <w:rFonts w:eastAsia="Arial" w:cs="Arial"/>
        </w:rPr>
        <w:t>July</w:t>
      </w:r>
      <w:r w:rsidR="00B56D45" w:rsidRPr="005817E8">
        <w:rPr>
          <w:rFonts w:eastAsia="Arial" w:cs="Arial"/>
        </w:rPr>
        <w:t xml:space="preserve"> </w:t>
      </w:r>
      <w:r w:rsidR="5A3184C7" w:rsidRPr="005817E8">
        <w:rPr>
          <w:rFonts w:eastAsia="Arial" w:cs="Arial"/>
        </w:rPr>
        <w:t>2024</w:t>
      </w:r>
    </w:p>
    <w:p w14:paraId="465DC3EE" w14:textId="2243C5E1" w:rsidR="00860D3F" w:rsidRDefault="00983944" w:rsidP="005817E8">
      <w:pPr>
        <w:rPr>
          <w:rFonts w:asciiTheme="minorHAnsi" w:eastAsiaTheme="minorEastAsia" w:hAnsiTheme="minorHAnsi"/>
        </w:rPr>
      </w:pPr>
      <w:r w:rsidRPr="00D20FB2">
        <w:t xml:space="preserve">Recruitment difficulty rates generally tend to be higher in regions that are further away from large population hubs. The heat map below </w:t>
      </w:r>
      <w:r w:rsidR="008C308C" w:rsidRPr="00D20FB2">
        <w:t xml:space="preserve">(Figure </w:t>
      </w:r>
      <w:r w:rsidR="1BDEC03E" w:rsidRPr="00D20FB2">
        <w:t>2</w:t>
      </w:r>
      <w:r w:rsidR="005817E8">
        <w:t>3</w:t>
      </w:r>
      <w:r w:rsidR="008C308C" w:rsidRPr="00D20FB2">
        <w:t xml:space="preserve">) </w:t>
      </w:r>
      <w:r w:rsidRPr="00D20FB2">
        <w:rPr>
          <w:rFonts w:asciiTheme="minorHAnsi" w:eastAsiaTheme="minorEastAsia" w:hAnsiTheme="minorHAnsi"/>
        </w:rPr>
        <w:t xml:space="preserve">shows recruitment difficulty recorded in the 12 months to </w:t>
      </w:r>
      <w:r w:rsidR="00412687">
        <w:rPr>
          <w:rFonts w:asciiTheme="minorHAnsi" w:eastAsiaTheme="minorEastAsia" w:hAnsiTheme="minorHAnsi"/>
        </w:rPr>
        <w:t>July</w:t>
      </w:r>
      <w:r w:rsidRPr="00D20FB2">
        <w:rPr>
          <w:rFonts w:asciiTheme="minorHAnsi" w:eastAsiaTheme="minorEastAsia" w:hAnsiTheme="minorHAnsi"/>
        </w:rPr>
        <w:t xml:space="preserve"> 2024, for each </w:t>
      </w:r>
      <w:r w:rsidR="008C308C" w:rsidRPr="00D20FB2">
        <w:rPr>
          <w:rFonts w:asciiTheme="minorHAnsi" w:eastAsiaTheme="minorEastAsia" w:hAnsiTheme="minorHAnsi"/>
        </w:rPr>
        <w:t>SA4</w:t>
      </w:r>
      <w:r w:rsidRPr="00D20FB2">
        <w:rPr>
          <w:rFonts w:asciiTheme="minorHAnsi" w:eastAsiaTheme="minorEastAsia" w:hAnsiTheme="minorHAnsi"/>
        </w:rPr>
        <w:t xml:space="preserve"> region (outside of greater capital city areas) and for each combined </w:t>
      </w:r>
      <w:r w:rsidR="00E25AC2" w:rsidRPr="00D20FB2">
        <w:rPr>
          <w:rFonts w:asciiTheme="minorHAnsi" w:eastAsiaTheme="minorEastAsia" w:hAnsiTheme="minorHAnsi"/>
        </w:rPr>
        <w:t>g</w:t>
      </w:r>
      <w:r w:rsidRPr="00D20FB2">
        <w:rPr>
          <w:rFonts w:asciiTheme="minorHAnsi" w:eastAsiaTheme="minorEastAsia" w:hAnsiTheme="minorHAnsi"/>
        </w:rPr>
        <w:t xml:space="preserve">reater </w:t>
      </w:r>
      <w:r w:rsidR="00E25AC2" w:rsidRPr="00D20FB2">
        <w:rPr>
          <w:rFonts w:asciiTheme="minorHAnsi" w:eastAsiaTheme="minorEastAsia" w:hAnsiTheme="minorHAnsi"/>
        </w:rPr>
        <w:t>c</w:t>
      </w:r>
      <w:r w:rsidRPr="00D20FB2">
        <w:rPr>
          <w:rFonts w:asciiTheme="minorHAnsi" w:eastAsiaTheme="minorEastAsia" w:hAnsiTheme="minorHAnsi"/>
        </w:rPr>
        <w:t xml:space="preserve">apital </w:t>
      </w:r>
      <w:r w:rsidR="00E25AC2" w:rsidRPr="00D20FB2">
        <w:rPr>
          <w:rFonts w:asciiTheme="minorHAnsi" w:eastAsiaTheme="minorEastAsia" w:hAnsiTheme="minorHAnsi"/>
        </w:rPr>
        <w:t>c</w:t>
      </w:r>
      <w:r w:rsidRPr="00D20FB2">
        <w:rPr>
          <w:rFonts w:asciiTheme="minorHAnsi" w:eastAsiaTheme="minorEastAsia" w:hAnsiTheme="minorHAnsi"/>
        </w:rPr>
        <w:t>ity area.</w:t>
      </w:r>
      <w:r w:rsidRPr="6D16719F">
        <w:rPr>
          <w:rFonts w:asciiTheme="minorHAnsi" w:eastAsiaTheme="minorEastAsia" w:hAnsiTheme="minorHAnsi"/>
        </w:rPr>
        <w:t xml:space="preserve"> </w:t>
      </w:r>
    </w:p>
    <w:p w14:paraId="1E09A774" w14:textId="39F4C079" w:rsidR="00860D3F" w:rsidRPr="00901A26" w:rsidRDefault="00860D3F" w:rsidP="00150241">
      <w:pPr>
        <w:pStyle w:val="Caption"/>
        <w:rPr>
          <w:rFonts w:asciiTheme="minorHAnsi" w:hAnsiTheme="minorHAnsi" w:cstheme="minorHAnsi"/>
          <w:kern w:val="2"/>
          <w:szCs w:val="20"/>
          <w14:ligatures w14:val="standardContextual"/>
        </w:rPr>
      </w:pPr>
      <w:r w:rsidRPr="00901A26">
        <w:rPr>
          <w:rFonts w:asciiTheme="minorHAnsi" w:hAnsiTheme="minorHAnsi" w:cstheme="minorHAnsi"/>
          <w:szCs w:val="20"/>
        </w:rPr>
        <w:t>Figure 2</w:t>
      </w:r>
      <w:r w:rsidR="003B40DD">
        <w:rPr>
          <w:rFonts w:asciiTheme="minorHAnsi" w:hAnsiTheme="minorHAnsi" w:cstheme="minorHAnsi"/>
          <w:szCs w:val="20"/>
        </w:rPr>
        <w:t>3</w:t>
      </w:r>
      <w:r w:rsidRPr="00901A26">
        <w:rPr>
          <w:rFonts w:asciiTheme="minorHAnsi" w:hAnsiTheme="minorHAnsi" w:cstheme="minorHAnsi"/>
          <w:szCs w:val="20"/>
        </w:rPr>
        <w:t xml:space="preserve">: Recruitment difficulty rates, 12 months to </w:t>
      </w:r>
      <w:r w:rsidR="1E2A3795" w:rsidRPr="00901A26">
        <w:rPr>
          <w:rFonts w:asciiTheme="minorHAnsi" w:hAnsiTheme="minorHAnsi" w:cstheme="minorHAnsi"/>
          <w:kern w:val="2"/>
          <w:szCs w:val="20"/>
          <w14:ligatures w14:val="standardContextual"/>
        </w:rPr>
        <w:t>July</w:t>
      </w:r>
      <w:r w:rsidRPr="00901A26">
        <w:rPr>
          <w:rFonts w:asciiTheme="minorHAnsi" w:hAnsiTheme="minorHAnsi" w:cstheme="minorHAnsi"/>
          <w:kern w:val="2"/>
          <w:szCs w:val="20"/>
          <w14:ligatures w14:val="standardContextual"/>
        </w:rPr>
        <w:t xml:space="preserve"> 2024 –heatmap of SA4 regions and Greater Capital City areas</w:t>
      </w:r>
    </w:p>
    <w:p w14:paraId="7369C795" w14:textId="2E950F14" w:rsidR="00860D3F" w:rsidRPr="00A96F50" w:rsidRDefault="048D1257" w:rsidP="006E7A8D">
      <w:pPr>
        <w:rPr>
          <w:rFonts w:cs="Arial"/>
        </w:rPr>
      </w:pPr>
      <w:r>
        <w:rPr>
          <w:noProof/>
        </w:rPr>
        <w:drawing>
          <wp:inline distT="0" distB="0" distL="0" distR="0" wp14:anchorId="75B6FE20" wp14:editId="700C4B05">
            <wp:extent cx="5724524" cy="4019550"/>
            <wp:effectExtent l="0" t="0" r="0" b="0"/>
            <wp:docPr id="23741017" name="Picture 23741017" descr="This is a heatmap showing the recruitment difficulty rates for Greater Capital Cities and Rest of State Statistical Area Four regions for the 12 months to Jul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1017" name="Picture 23741017" descr="This is a heatmap showing the recruitment difficulty rates for Greater Capital Cities and Rest of State Statistical Area Four regions for the 12 months to July 2024."/>
                    <pic:cNvPicPr/>
                  </pic:nvPicPr>
                  <pic:blipFill>
                    <a:blip r:embed="rId68">
                      <a:extLst>
                        <a:ext uri="{28A0092B-C50C-407E-A947-70E740481C1C}">
                          <a14:useLocalDpi xmlns:a14="http://schemas.microsoft.com/office/drawing/2010/main" val="0"/>
                        </a:ext>
                      </a:extLst>
                    </a:blip>
                    <a:stretch>
                      <a:fillRect/>
                    </a:stretch>
                  </pic:blipFill>
                  <pic:spPr>
                    <a:xfrm>
                      <a:off x="0" y="0"/>
                      <a:ext cx="5724524" cy="4019550"/>
                    </a:xfrm>
                    <a:prstGeom prst="rect">
                      <a:avLst/>
                    </a:prstGeom>
                  </pic:spPr>
                </pic:pic>
              </a:graphicData>
            </a:graphic>
          </wp:inline>
        </w:drawing>
      </w:r>
    </w:p>
    <w:p w14:paraId="3C1A930B" w14:textId="778519D7" w:rsidR="00860D3F" w:rsidRPr="005817E8" w:rsidRDefault="00860D3F" w:rsidP="005817E8">
      <w:pPr>
        <w:pStyle w:val="Source"/>
        <w:rPr>
          <w:rFonts w:eastAsia="Arial" w:cs="Arial"/>
        </w:rPr>
      </w:pPr>
      <w:r w:rsidRPr="005817E8">
        <w:rPr>
          <w:rFonts w:asciiTheme="minorHAnsi" w:hAnsiTheme="minorHAnsi" w:cstheme="minorHAnsi"/>
        </w:rPr>
        <w:t>Source: Jobs and Skills Australia,</w:t>
      </w:r>
      <w:r w:rsidRPr="005817E8">
        <w:rPr>
          <w:rFonts w:eastAsia="Arial" w:cs="Arial"/>
          <w:i/>
        </w:rPr>
        <w:t xml:space="preserve"> Recruitment Experiences and Outlook Survey</w:t>
      </w:r>
      <w:r w:rsidRPr="005817E8">
        <w:rPr>
          <w:rFonts w:eastAsia="Arial" w:cs="Arial"/>
        </w:rPr>
        <w:t xml:space="preserve">, </w:t>
      </w:r>
      <w:r w:rsidR="00842F02" w:rsidRPr="005817E8">
        <w:rPr>
          <w:rFonts w:eastAsia="Arial" w:cs="Arial"/>
        </w:rPr>
        <w:t xml:space="preserve">July </w:t>
      </w:r>
      <w:r w:rsidRPr="005817E8">
        <w:rPr>
          <w:rFonts w:eastAsia="Arial" w:cs="Arial"/>
        </w:rPr>
        <w:t>2024</w:t>
      </w:r>
      <w:r w:rsidRPr="005817E8">
        <w:rPr>
          <w:rFonts w:asciiTheme="minorHAnsi" w:hAnsiTheme="minorHAnsi" w:cstheme="minorHAnsi"/>
          <w:sz w:val="22"/>
          <w:szCs w:val="22"/>
        </w:rPr>
        <w:t xml:space="preserve"> </w:t>
      </w:r>
    </w:p>
    <w:p w14:paraId="6287E6D5" w14:textId="77777777" w:rsidR="00860D3F" w:rsidRDefault="00860D3F" w:rsidP="004F0CB1">
      <w:pPr>
        <w:pStyle w:val="Source"/>
      </w:pPr>
      <w:r w:rsidRPr="42070FA0">
        <w:t>Note: Results for rest of state SA4s are indicative only, due to small sample sizes for some regions</w:t>
      </w:r>
    </w:p>
    <w:p w14:paraId="343B9E2A" w14:textId="194A0FE5" w:rsidR="005103AE" w:rsidRDefault="00983944" w:rsidP="005817E8">
      <w:r w:rsidRPr="667C80F5">
        <w:t>The higher recruitment difficulty rates in more remote areas can be explained to some extent by tighter labour market conditions, as employers encounter greater challenges finding suitably qualified staff. This can</w:t>
      </w:r>
      <w:r w:rsidRPr="667C80F5" w:rsidDel="00587DFD">
        <w:rPr>
          <w:rFonts w:asciiTheme="minorHAnsi" w:eastAsiaTheme="minorEastAsia" w:hAnsiTheme="minorHAnsi"/>
        </w:rPr>
        <w:t xml:space="preserve"> </w:t>
      </w:r>
      <w:r w:rsidRPr="667C80F5">
        <w:rPr>
          <w:rFonts w:asciiTheme="minorHAnsi" w:eastAsiaTheme="minorEastAsia" w:hAnsiTheme="minorHAnsi"/>
        </w:rPr>
        <w:t>be further exacerbated in some areas because of a narrower industry composition, with a focus on mining or agriculture for example, and the consequent need for specialised skills</w:t>
      </w:r>
      <w:r w:rsidR="0B764466" w:rsidRPr="185F3B7F">
        <w:rPr>
          <w:rFonts w:asciiTheme="minorHAnsi" w:eastAsiaTheme="minorEastAsia" w:hAnsiTheme="minorHAnsi"/>
        </w:rPr>
        <w:t>,</w:t>
      </w:r>
      <w:r w:rsidR="014A252B" w:rsidRPr="185F3B7F">
        <w:rPr>
          <w:rFonts w:asciiTheme="minorHAnsi" w:eastAsiaTheme="minorEastAsia" w:hAnsiTheme="minorHAnsi"/>
        </w:rPr>
        <w:t xml:space="preserve"> and in som</w:t>
      </w:r>
      <w:r w:rsidR="36FD6658" w:rsidRPr="185F3B7F">
        <w:rPr>
          <w:rFonts w:asciiTheme="minorHAnsi" w:eastAsiaTheme="minorEastAsia" w:hAnsiTheme="minorHAnsi"/>
        </w:rPr>
        <w:t>e</w:t>
      </w:r>
      <w:r w:rsidR="014A252B" w:rsidRPr="185F3B7F">
        <w:rPr>
          <w:rFonts w:asciiTheme="minorHAnsi" w:eastAsiaTheme="minorEastAsia" w:hAnsiTheme="minorHAnsi"/>
        </w:rPr>
        <w:t xml:space="preserve"> instances </w:t>
      </w:r>
      <w:r w:rsidR="001A2C29" w:rsidRPr="4CCC345A">
        <w:rPr>
          <w:rFonts w:asciiTheme="minorHAnsi" w:eastAsiaTheme="minorEastAsia" w:hAnsiTheme="minorHAnsi"/>
        </w:rPr>
        <w:t>at</w:t>
      </w:r>
      <w:r w:rsidR="014A252B" w:rsidRPr="4CCC345A">
        <w:rPr>
          <w:rFonts w:asciiTheme="minorHAnsi" w:eastAsiaTheme="minorEastAsia" w:hAnsiTheme="minorHAnsi"/>
        </w:rPr>
        <w:t xml:space="preserve"> </w:t>
      </w:r>
      <w:r w:rsidR="00A56D7E" w:rsidRPr="4CCC345A">
        <w:rPr>
          <w:rFonts w:asciiTheme="minorHAnsi" w:eastAsiaTheme="minorEastAsia" w:hAnsiTheme="minorHAnsi"/>
        </w:rPr>
        <w:t>certain</w:t>
      </w:r>
      <w:r w:rsidR="014A252B" w:rsidRPr="4CCC345A">
        <w:rPr>
          <w:rFonts w:asciiTheme="minorHAnsi" w:eastAsiaTheme="minorEastAsia" w:hAnsiTheme="minorHAnsi"/>
        </w:rPr>
        <w:t xml:space="preserve"> times (</w:t>
      </w:r>
      <w:r w:rsidR="008A315E" w:rsidRPr="4CCC345A">
        <w:rPr>
          <w:rFonts w:asciiTheme="minorHAnsi" w:eastAsiaTheme="minorEastAsia" w:hAnsiTheme="minorHAnsi"/>
        </w:rPr>
        <w:t>e.g.</w:t>
      </w:r>
      <w:r w:rsidR="008A315E">
        <w:rPr>
          <w:rFonts w:asciiTheme="minorHAnsi" w:eastAsiaTheme="minorEastAsia" w:hAnsiTheme="minorHAnsi"/>
        </w:rPr>
        <w:t xml:space="preserve"> </w:t>
      </w:r>
      <w:r w:rsidR="014A252B" w:rsidRPr="6CD5A1B3">
        <w:rPr>
          <w:rFonts w:asciiTheme="minorHAnsi" w:eastAsiaTheme="minorEastAsia" w:hAnsiTheme="minorHAnsi"/>
        </w:rPr>
        <w:t>season</w:t>
      </w:r>
      <w:r w:rsidR="000930E8">
        <w:rPr>
          <w:rFonts w:asciiTheme="minorHAnsi" w:eastAsiaTheme="minorEastAsia" w:hAnsiTheme="minorHAnsi"/>
        </w:rPr>
        <w:t>al</w:t>
      </w:r>
      <w:r w:rsidR="014A252B" w:rsidRPr="6CD5A1B3">
        <w:rPr>
          <w:rFonts w:asciiTheme="minorHAnsi" w:eastAsiaTheme="minorEastAsia" w:hAnsiTheme="minorHAnsi"/>
        </w:rPr>
        <w:t xml:space="preserve"> labour</w:t>
      </w:r>
      <w:r w:rsidR="008A315E">
        <w:rPr>
          <w:rFonts w:asciiTheme="minorHAnsi" w:eastAsiaTheme="minorEastAsia" w:hAnsiTheme="minorHAnsi"/>
        </w:rPr>
        <w:t xml:space="preserve"> demand</w:t>
      </w:r>
      <w:r w:rsidR="014A252B" w:rsidRPr="185F3B7F">
        <w:rPr>
          <w:rFonts w:asciiTheme="minorHAnsi" w:eastAsiaTheme="minorEastAsia" w:hAnsiTheme="minorHAnsi"/>
        </w:rPr>
        <w:t xml:space="preserve"> for the </w:t>
      </w:r>
      <w:r w:rsidR="471EADA0" w:rsidRPr="185F3B7F">
        <w:rPr>
          <w:rFonts w:asciiTheme="minorHAnsi" w:eastAsiaTheme="minorEastAsia" w:hAnsiTheme="minorHAnsi"/>
        </w:rPr>
        <w:t>a</w:t>
      </w:r>
      <w:r w:rsidR="014A252B" w:rsidRPr="185F3B7F">
        <w:rPr>
          <w:rFonts w:asciiTheme="minorHAnsi" w:eastAsiaTheme="minorEastAsia" w:hAnsiTheme="minorHAnsi"/>
        </w:rPr>
        <w:t>gricu</w:t>
      </w:r>
      <w:r w:rsidR="57C6218A" w:rsidRPr="185F3B7F">
        <w:rPr>
          <w:rFonts w:asciiTheme="minorHAnsi" w:eastAsiaTheme="minorEastAsia" w:hAnsiTheme="minorHAnsi"/>
        </w:rPr>
        <w:t>l</w:t>
      </w:r>
      <w:r w:rsidR="014A252B" w:rsidRPr="185F3B7F">
        <w:rPr>
          <w:rFonts w:asciiTheme="minorHAnsi" w:eastAsiaTheme="minorEastAsia" w:hAnsiTheme="minorHAnsi"/>
        </w:rPr>
        <w:t>ture industry)</w:t>
      </w:r>
      <w:r w:rsidRPr="185F3B7F">
        <w:rPr>
          <w:rFonts w:asciiTheme="minorHAnsi" w:eastAsiaTheme="minorEastAsia" w:hAnsiTheme="minorHAnsi"/>
        </w:rPr>
        <w:t>.</w:t>
      </w:r>
      <w:r w:rsidRPr="667C80F5">
        <w:rPr>
          <w:rFonts w:asciiTheme="minorHAnsi" w:eastAsiaTheme="minorEastAsia" w:hAnsiTheme="minorHAnsi"/>
        </w:rPr>
        <w:t xml:space="preserve"> Employers in more remote areas often report geographic location as a reason for recruitment difficulty. </w:t>
      </w:r>
    </w:p>
    <w:p w14:paraId="70F1916B" w14:textId="77777777" w:rsidR="00E97830" w:rsidRPr="005817E8" w:rsidRDefault="00E97830" w:rsidP="00E97830">
      <w:pPr>
        <w:pStyle w:val="Heading3"/>
        <w:rPr>
          <w:rFonts w:asciiTheme="majorHAnsi" w:hAnsiTheme="majorHAnsi" w:cstheme="majorHAnsi"/>
        </w:rPr>
      </w:pPr>
      <w:bookmarkStart w:id="47" w:name="_Toc171937428"/>
      <w:r w:rsidRPr="005817E8">
        <w:rPr>
          <w:rFonts w:asciiTheme="majorHAnsi" w:hAnsiTheme="majorHAnsi" w:cstheme="majorHAnsi"/>
        </w:rPr>
        <w:t>Recruitment difficulty rates remain elevated for higher skilled occupations, particularly in regional areas</w:t>
      </w:r>
      <w:bookmarkEnd w:id="47"/>
    </w:p>
    <w:p w14:paraId="608BFC30" w14:textId="2DF98A0F" w:rsidR="00556544" w:rsidRDefault="00A23BB1" w:rsidP="005817E8">
      <w:r>
        <w:t xml:space="preserve">The level of </w:t>
      </w:r>
      <w:r w:rsidR="54814BB9" w:rsidRPr="6521FDC6">
        <w:t>r</w:t>
      </w:r>
      <w:r w:rsidR="1CE3D589" w:rsidRPr="6521FDC6">
        <w:t>ecruitment</w:t>
      </w:r>
      <w:r w:rsidR="00162E33" w:rsidRPr="00162E33">
        <w:t xml:space="preserve"> difficulty experienced by employers </w:t>
      </w:r>
      <w:r w:rsidR="008C62DE">
        <w:t>differs between</w:t>
      </w:r>
      <w:r w:rsidR="00162E33" w:rsidRPr="00162E33">
        <w:t xml:space="preserve"> capital cities and rest of state areas</w:t>
      </w:r>
      <w:r w:rsidR="008C62DE">
        <w:t xml:space="preserve"> and</w:t>
      </w:r>
      <w:r w:rsidR="00162E33" w:rsidRPr="00162E33">
        <w:t xml:space="preserve"> by the skill level of the occupation they most recently recruited for. In both </w:t>
      </w:r>
      <w:r w:rsidR="008C62DE">
        <w:t>capital city and rest of states areas</w:t>
      </w:r>
      <w:r w:rsidR="00162E33" w:rsidRPr="00162E33">
        <w:t xml:space="preserve">, greater proportions of </w:t>
      </w:r>
      <w:r w:rsidR="3997DB6A" w:rsidRPr="657D26E5">
        <w:t>employers</w:t>
      </w:r>
      <w:r w:rsidR="00162E33" w:rsidRPr="00162E33">
        <w:t xml:space="preserve"> experience difficulty recruiting for higher skill level occupations compared with lower skill level occupations. </w:t>
      </w:r>
    </w:p>
    <w:p w14:paraId="58D07A4A" w14:textId="74F7253F" w:rsidR="000C5064" w:rsidRDefault="7F6BF918" w:rsidP="00E24107">
      <w:r w:rsidRPr="0C7E9F81">
        <w:t>While there h</w:t>
      </w:r>
      <w:r w:rsidR="0356D0F9" w:rsidRPr="0C7E9F81">
        <w:t>ad</w:t>
      </w:r>
      <w:r w:rsidRPr="0C7E9F81">
        <w:t xml:space="preserve"> been a declining trend in recruitment difficulty since the latter half of 2022, </w:t>
      </w:r>
      <w:r w:rsidR="18BD7D53" w:rsidRPr="0C7E9F81">
        <w:t>there has been a recent uptick</w:t>
      </w:r>
      <w:r w:rsidRPr="0C7E9F81">
        <w:t xml:space="preserve"> </w:t>
      </w:r>
      <w:r w:rsidR="13627150" w:rsidRPr="0C7E9F81">
        <w:t>in recruitment difficulty across ski</w:t>
      </w:r>
      <w:r w:rsidR="7EC166CC" w:rsidRPr="0C7E9F81">
        <w:t>l</w:t>
      </w:r>
      <w:r w:rsidR="13627150" w:rsidRPr="0C7E9F81">
        <w:t>l levels in capital cities</w:t>
      </w:r>
      <w:r w:rsidR="005817E8">
        <w:t xml:space="preserve"> (Figure 24)</w:t>
      </w:r>
      <w:r w:rsidR="13627150" w:rsidRPr="0C7E9F81">
        <w:t xml:space="preserve">, and </w:t>
      </w:r>
      <w:r w:rsidR="633F0E43" w:rsidRPr="0C7E9F81">
        <w:t>for</w:t>
      </w:r>
      <w:r w:rsidR="13627150" w:rsidRPr="0C7E9F81">
        <w:t xml:space="preserve"> higher skilled o</w:t>
      </w:r>
      <w:r w:rsidR="2D0DF2E5" w:rsidRPr="0C7E9F81">
        <w:t>ccupations in rest of state areas</w:t>
      </w:r>
      <w:r w:rsidR="005817E8">
        <w:t xml:space="preserve"> (Figure 25)</w:t>
      </w:r>
      <w:r w:rsidR="1F7AF86F" w:rsidRPr="0C7E9F81">
        <w:t>. Overall, recruitment difficult</w:t>
      </w:r>
      <w:r w:rsidR="5DD34335" w:rsidRPr="0C7E9F81">
        <w:t>y</w:t>
      </w:r>
      <w:r w:rsidR="1F7AF86F" w:rsidRPr="0C7E9F81">
        <w:t xml:space="preserve"> remains higher in rest</w:t>
      </w:r>
      <w:r w:rsidR="06A846FB" w:rsidRPr="0C7E9F81">
        <w:t xml:space="preserve"> </w:t>
      </w:r>
      <w:r w:rsidR="1F7AF86F" w:rsidRPr="0C7E9F81">
        <w:t>of state areas acro</w:t>
      </w:r>
      <w:r w:rsidR="762B798F" w:rsidRPr="0C7E9F81">
        <w:t>s</w:t>
      </w:r>
      <w:r w:rsidR="1F7AF86F" w:rsidRPr="0C7E9F81">
        <w:t>s skill levels, when com</w:t>
      </w:r>
      <w:r w:rsidR="643DF4D0" w:rsidRPr="0C7E9F81">
        <w:t>pa</w:t>
      </w:r>
      <w:r w:rsidR="1F7AF86F" w:rsidRPr="0C7E9F81">
        <w:t>red to capital cities</w:t>
      </w:r>
      <w:r w:rsidRPr="0C7E9F81">
        <w:t>.</w:t>
      </w:r>
    </w:p>
    <w:p w14:paraId="20440672" w14:textId="2C455634" w:rsidR="006F10F2" w:rsidRPr="000C2891" w:rsidRDefault="006F10F2" w:rsidP="00150241">
      <w:pPr>
        <w:pStyle w:val="Caption"/>
        <w:rPr>
          <w:rFonts w:ascii="Segoe UI" w:eastAsia="Times New Roman" w:hAnsi="Segoe UI" w:cs="Segoe UI"/>
          <w:b w:val="0"/>
        </w:rPr>
      </w:pPr>
      <w:r w:rsidRPr="00150241">
        <w:rPr>
          <w:rFonts w:asciiTheme="minorHAnsi" w:hAnsiTheme="minorHAnsi" w:cstheme="minorHAnsi"/>
          <w:szCs w:val="20"/>
        </w:rPr>
        <w:t xml:space="preserve">Figure </w:t>
      </w:r>
      <w:r w:rsidR="30623D10" w:rsidRPr="00150241">
        <w:rPr>
          <w:rFonts w:asciiTheme="minorHAnsi" w:hAnsiTheme="minorHAnsi" w:cstheme="minorHAnsi"/>
          <w:szCs w:val="20"/>
        </w:rPr>
        <w:t>2</w:t>
      </w:r>
      <w:r w:rsidR="005817E8">
        <w:rPr>
          <w:rFonts w:asciiTheme="minorHAnsi" w:hAnsiTheme="minorHAnsi" w:cstheme="minorHAnsi"/>
          <w:szCs w:val="20"/>
        </w:rPr>
        <w:t>4</w:t>
      </w:r>
      <w:r w:rsidRPr="00150241">
        <w:rPr>
          <w:rFonts w:asciiTheme="minorHAnsi" w:hAnsiTheme="minorHAnsi" w:cstheme="minorHAnsi"/>
          <w:szCs w:val="20"/>
        </w:rPr>
        <w:t>: Recruitment difficulty rates, Capital cities, by skill level of occupation  </w:t>
      </w:r>
    </w:p>
    <w:p w14:paraId="6CB7F90F" w14:textId="06F08AD1" w:rsidR="006F10F2" w:rsidRPr="005817E8" w:rsidRDefault="623467F5" w:rsidP="005817E8">
      <w:pPr>
        <w:pStyle w:val="Source"/>
        <w:rPr>
          <w:rFonts w:ascii="Segoe UI" w:eastAsia="Times New Roman" w:hAnsi="Segoe UI" w:cs="Segoe UI"/>
        </w:rPr>
      </w:pPr>
      <w:r>
        <w:rPr>
          <w:noProof/>
        </w:rPr>
        <w:drawing>
          <wp:inline distT="0" distB="0" distL="0" distR="0" wp14:anchorId="7C04B4B9" wp14:editId="13F9D97E">
            <wp:extent cx="5706350" cy="2517866"/>
            <wp:effectExtent l="0" t="0" r="0" b="0"/>
            <wp:docPr id="1960358141" name="Picture 1960358141" descr="This is a time series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58141" name="Picture 1960358141" descr="This is a time series line chart"/>
                    <pic:cNvPicPr/>
                  </pic:nvPicPr>
                  <pic:blipFill>
                    <a:blip r:embed="rId69">
                      <a:extLst>
                        <a:ext uri="{28A0092B-C50C-407E-A947-70E740481C1C}">
                          <a14:useLocalDpi xmlns:a14="http://schemas.microsoft.com/office/drawing/2010/main" val="0"/>
                        </a:ext>
                      </a:extLst>
                    </a:blip>
                    <a:stretch>
                      <a:fillRect/>
                    </a:stretch>
                  </pic:blipFill>
                  <pic:spPr>
                    <a:xfrm>
                      <a:off x="0" y="0"/>
                      <a:ext cx="5706350" cy="2517866"/>
                    </a:xfrm>
                    <a:prstGeom prst="rect">
                      <a:avLst/>
                    </a:prstGeom>
                  </pic:spPr>
                </pic:pic>
              </a:graphicData>
            </a:graphic>
          </wp:inline>
        </w:drawing>
      </w:r>
      <w:r w:rsidR="006F10F2" w:rsidRPr="005817E8">
        <w:rPr>
          <w:rFonts w:eastAsia="Times New Roman" w:cs="Arial"/>
        </w:rPr>
        <w:t>Source: Jobs and Skills Australia,</w:t>
      </w:r>
      <w:r w:rsidR="006F10F2" w:rsidRPr="005817E8">
        <w:rPr>
          <w:rFonts w:eastAsia="Times New Roman" w:cs="Arial"/>
          <w:i/>
        </w:rPr>
        <w:t xml:space="preserve"> Recruitment Experiences and Outlook Survey</w:t>
      </w:r>
      <w:r w:rsidR="006F10F2" w:rsidRPr="005817E8">
        <w:rPr>
          <w:rFonts w:eastAsia="Times New Roman" w:cs="Arial"/>
        </w:rPr>
        <w:t>, 2024 </w:t>
      </w:r>
    </w:p>
    <w:p w14:paraId="29A1B8CC" w14:textId="1A5D063E" w:rsidR="006F10F2" w:rsidRPr="00150241" w:rsidRDefault="006F10F2" w:rsidP="004F0CB1">
      <w:pPr>
        <w:pStyle w:val="Caption"/>
      </w:pPr>
      <w:r w:rsidRPr="00150241">
        <w:t xml:space="preserve">Figure </w:t>
      </w:r>
      <w:r w:rsidR="543DC61A" w:rsidRPr="00150241">
        <w:t>2</w:t>
      </w:r>
      <w:r w:rsidR="005817E8">
        <w:t>5</w:t>
      </w:r>
      <w:r w:rsidRPr="00150241">
        <w:t xml:space="preserve">: Recruitment </w:t>
      </w:r>
      <w:r w:rsidRPr="004F0CB1">
        <w:t>difficulty</w:t>
      </w:r>
      <w:r w:rsidRPr="00150241">
        <w:t xml:space="preserve"> rates, Rest of state areas, by skill level of occupation  </w:t>
      </w:r>
    </w:p>
    <w:p w14:paraId="3C3B23CE" w14:textId="236B53B3" w:rsidR="006F10F2" w:rsidRPr="000C2891" w:rsidRDefault="5F33E5DD" w:rsidP="006F10F2">
      <w:pPr>
        <w:textAlignment w:val="baseline"/>
        <w:rPr>
          <w:rFonts w:ascii="Segoe UI" w:eastAsia="Times New Roman" w:hAnsi="Segoe UI" w:cs="Segoe UI"/>
          <w:sz w:val="18"/>
          <w:szCs w:val="18"/>
        </w:rPr>
      </w:pPr>
      <w:r>
        <w:rPr>
          <w:noProof/>
        </w:rPr>
        <w:drawing>
          <wp:inline distT="0" distB="0" distL="0" distR="0" wp14:anchorId="7D6D4805" wp14:editId="49C4C0B9">
            <wp:extent cx="5677260" cy="2507456"/>
            <wp:effectExtent l="0" t="0" r="0" b="0"/>
            <wp:docPr id="1513914711" name="Picture 151391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5677260" cy="2507456"/>
                    </a:xfrm>
                    <a:prstGeom prst="rect">
                      <a:avLst/>
                    </a:prstGeom>
                  </pic:spPr>
                </pic:pic>
              </a:graphicData>
            </a:graphic>
          </wp:inline>
        </w:drawing>
      </w:r>
      <w:r w:rsidR="006F10F2" w:rsidRPr="000C2891">
        <w:rPr>
          <w:rFonts w:eastAsia="Times New Roman" w:cs="Arial"/>
        </w:rPr>
        <w:t> </w:t>
      </w:r>
    </w:p>
    <w:p w14:paraId="38E98073" w14:textId="5C30B528" w:rsidR="00E97830" w:rsidRPr="005817E8" w:rsidRDefault="006F10F2" w:rsidP="005817E8">
      <w:pPr>
        <w:pStyle w:val="Source"/>
        <w:rPr>
          <w:rFonts w:eastAsia="Times New Roman" w:cs="Arial"/>
        </w:rPr>
      </w:pPr>
      <w:r w:rsidRPr="005817E8">
        <w:rPr>
          <w:rFonts w:asciiTheme="minorHAnsi" w:hAnsiTheme="minorHAnsi" w:cstheme="minorHAnsi"/>
        </w:rPr>
        <w:t>Source: Jobs and Skills Australia,</w:t>
      </w:r>
      <w:r w:rsidRPr="005817E8">
        <w:rPr>
          <w:rFonts w:eastAsia="Times New Roman" w:cs="Arial"/>
          <w:i/>
        </w:rPr>
        <w:t xml:space="preserve"> Recruitment Experiences and Outlook Survey</w:t>
      </w:r>
      <w:r w:rsidRPr="005817E8">
        <w:rPr>
          <w:rFonts w:eastAsia="Times New Roman" w:cs="Arial"/>
        </w:rPr>
        <w:t>, 2024 </w:t>
      </w:r>
    </w:p>
    <w:p w14:paraId="27B8A384" w14:textId="4044664C" w:rsidR="74EE74A6" w:rsidRPr="00424860" w:rsidRDefault="74EE74A6" w:rsidP="648A9DD5">
      <w:pPr>
        <w:pStyle w:val="Heading3"/>
        <w:rPr>
          <w:rFonts w:asciiTheme="majorHAnsi" w:hAnsiTheme="majorHAnsi" w:cstheme="majorHAnsi"/>
          <w:b w:val="0"/>
          <w:i/>
        </w:rPr>
      </w:pPr>
      <w:r w:rsidRPr="00424860">
        <w:rPr>
          <w:rFonts w:asciiTheme="majorHAnsi" w:hAnsiTheme="majorHAnsi" w:cstheme="majorHAnsi"/>
        </w:rPr>
        <w:t>Vacancy fill rates are lower outside of capital city areas</w:t>
      </w:r>
      <w:r w:rsidRPr="00424860">
        <w:rPr>
          <w:rFonts w:asciiTheme="majorHAnsi" w:hAnsiTheme="majorHAnsi" w:cstheme="majorHAnsi"/>
          <w:b w:val="0"/>
          <w:i/>
          <w:iCs/>
        </w:rPr>
        <w:t xml:space="preserve">  </w:t>
      </w:r>
    </w:p>
    <w:p w14:paraId="3BCEB63D" w14:textId="77777777" w:rsidR="00376D86" w:rsidRPr="00D630AA" w:rsidRDefault="74EE74A6" w:rsidP="00424860">
      <w:r w:rsidRPr="00D630AA">
        <w:t xml:space="preserve">Despite the </w:t>
      </w:r>
      <w:bookmarkStart w:id="48" w:name="_Hlk177120315"/>
      <w:r w:rsidRPr="00D630AA">
        <w:t xml:space="preserve">recent fall in both the number of internet vacancies and recruitment difficulty, data from JSA’s Survey of Employers who have Recently Advertised </w:t>
      </w:r>
      <w:r w:rsidR="7EC43820" w:rsidRPr="00D630AA">
        <w:t>(SERA)</w:t>
      </w:r>
      <w:r w:rsidR="00F256E9" w:rsidRPr="00D630AA">
        <w:rPr>
          <w:rStyle w:val="FootnoteReference"/>
          <w:rFonts w:eastAsia="Arial"/>
        </w:rPr>
        <w:footnoteReference w:id="36"/>
      </w:r>
      <w:r w:rsidRPr="00D630AA">
        <w:t xml:space="preserve"> show that employers are still experiencing challenges finding suitably skilled workers to fill vacant positions</w:t>
      </w:r>
      <w:r w:rsidR="009D29B5" w:rsidRPr="00D630AA">
        <w:t xml:space="preserve">, particularly </w:t>
      </w:r>
      <w:r w:rsidR="00376D86" w:rsidRPr="00D630AA">
        <w:t>outside o</w:t>
      </w:r>
      <w:bookmarkEnd w:id="48"/>
      <w:r w:rsidR="00376D86" w:rsidRPr="00D630AA">
        <w:t>f capital cities</w:t>
      </w:r>
      <w:r w:rsidRPr="00D630AA">
        <w:t xml:space="preserve">. </w:t>
      </w:r>
    </w:p>
    <w:p w14:paraId="36224A6D" w14:textId="42B5D314" w:rsidR="74EE74A6" w:rsidRPr="00D630AA" w:rsidRDefault="74EE74A6" w:rsidP="00424860">
      <w:r w:rsidRPr="00D630AA">
        <w:t xml:space="preserve">In </w:t>
      </w:r>
      <w:r w:rsidR="00424860">
        <w:t xml:space="preserve">the </w:t>
      </w:r>
      <w:r w:rsidR="005E319D" w:rsidRPr="00D630AA">
        <w:t>June</w:t>
      </w:r>
      <w:r w:rsidRPr="00D630AA">
        <w:t xml:space="preserve"> quarter 2024, </w:t>
      </w:r>
      <w:r w:rsidR="00264A66" w:rsidRPr="00D630AA">
        <w:t>t</w:t>
      </w:r>
      <w:r w:rsidR="00264A66" w:rsidRPr="00D630AA">
        <w:rPr>
          <w:rFonts w:asciiTheme="minorHAnsi" w:eastAsiaTheme="minorEastAsia" w:hAnsiTheme="minorHAnsi"/>
        </w:rPr>
        <w:t>he vacancy fill rate</w:t>
      </w:r>
      <w:r w:rsidR="00264A66" w:rsidRPr="00D630AA">
        <w:rPr>
          <w:rStyle w:val="FootnoteReference"/>
          <w:rFonts w:eastAsia="Arial"/>
        </w:rPr>
        <w:footnoteReference w:id="37"/>
      </w:r>
      <w:r w:rsidRPr="00D630AA">
        <w:t xml:space="preserve"> for re</w:t>
      </w:r>
      <w:r w:rsidR="00634EAD" w:rsidRPr="00D630AA">
        <w:t>st of state areas</w:t>
      </w:r>
      <w:r w:rsidRPr="00D630AA">
        <w:t xml:space="preserve"> was </w:t>
      </w:r>
      <w:r w:rsidR="0064737E" w:rsidRPr="00D630AA">
        <w:t xml:space="preserve">significantly </w:t>
      </w:r>
      <w:r w:rsidRPr="00D630AA">
        <w:t>lower than for capital cities (</w:t>
      </w:r>
      <w:r w:rsidR="005C7571" w:rsidRPr="00D630AA">
        <w:t>61</w:t>
      </w:r>
      <w:r w:rsidRPr="00D630AA">
        <w:t>.</w:t>
      </w:r>
      <w:r w:rsidR="005C7571" w:rsidRPr="00D630AA">
        <w:t>3</w:t>
      </w:r>
      <w:r w:rsidRPr="00D630AA">
        <w:t>% and 6</w:t>
      </w:r>
      <w:r w:rsidR="005C7571" w:rsidRPr="00D630AA">
        <w:t>8</w:t>
      </w:r>
      <w:r w:rsidRPr="00D630AA">
        <w:t>.</w:t>
      </w:r>
      <w:r w:rsidR="005C7571" w:rsidRPr="00D630AA">
        <w:t>0</w:t>
      </w:r>
      <w:r w:rsidRPr="00D630AA">
        <w:t>% respectively)</w:t>
      </w:r>
      <w:r w:rsidR="00383FE4" w:rsidRPr="00D630AA">
        <w:t xml:space="preserve"> </w:t>
      </w:r>
      <w:r w:rsidR="00B10469" w:rsidRPr="00D630AA">
        <w:t>(Figure</w:t>
      </w:r>
      <w:r w:rsidR="005C7571" w:rsidRPr="00D630AA">
        <w:t>s</w:t>
      </w:r>
      <w:r w:rsidR="005D2439" w:rsidRPr="00D630AA">
        <w:t> </w:t>
      </w:r>
      <w:r w:rsidR="00B10469" w:rsidRPr="00D630AA">
        <w:t>2</w:t>
      </w:r>
      <w:r w:rsidR="00424860">
        <w:t>6</w:t>
      </w:r>
      <w:r w:rsidR="005C7571" w:rsidRPr="00D630AA">
        <w:t xml:space="preserve"> and 2</w:t>
      </w:r>
      <w:r w:rsidR="00424860">
        <w:t>7</w:t>
      </w:r>
      <w:r w:rsidR="00B10469" w:rsidRPr="00D630AA">
        <w:t>)</w:t>
      </w:r>
      <w:r w:rsidRPr="00D630AA">
        <w:t>. The average difference in fill rates between re</w:t>
      </w:r>
      <w:r w:rsidR="00277C51">
        <w:t>st of state areas</w:t>
      </w:r>
      <w:r w:rsidRPr="00D630AA">
        <w:t xml:space="preserve"> and capital cities has widened over time from 1.</w:t>
      </w:r>
      <w:r w:rsidR="00D630AA" w:rsidRPr="00D630AA">
        <w:t>1</w:t>
      </w:r>
      <w:r w:rsidRPr="00D630AA">
        <w:t xml:space="preserve"> percentage points in </w:t>
      </w:r>
      <w:r w:rsidR="00D630AA" w:rsidRPr="00D630AA">
        <w:t>June</w:t>
      </w:r>
      <w:r w:rsidRPr="00D630AA">
        <w:t xml:space="preserve"> 2022 to </w:t>
      </w:r>
      <w:r w:rsidR="00D630AA" w:rsidRPr="00D630AA">
        <w:t>6.7</w:t>
      </w:r>
      <w:r w:rsidRPr="00D630AA">
        <w:t xml:space="preserve"> percentage points in </w:t>
      </w:r>
      <w:r w:rsidR="00D630AA" w:rsidRPr="00D630AA">
        <w:t>June</w:t>
      </w:r>
      <w:r w:rsidRPr="00D630AA">
        <w:t xml:space="preserve"> 2024, indicating skill shortages in regional areas have become more pronounced. </w:t>
      </w:r>
    </w:p>
    <w:p w14:paraId="0F4113AD" w14:textId="1F97EBB2" w:rsidR="648A9DD5" w:rsidRPr="00D630AA" w:rsidRDefault="74EE74A6" w:rsidP="00424860">
      <w:r w:rsidRPr="00D630AA">
        <w:t>While total applicants, qualified applicants and suitable applicants all have increased across both re</w:t>
      </w:r>
      <w:r w:rsidR="00751FAF" w:rsidRPr="00D630AA">
        <w:t>st of state areas</w:t>
      </w:r>
      <w:r w:rsidRPr="00D630AA">
        <w:t xml:space="preserve"> and capital cities, the level and growth were larger in capital cities</w:t>
      </w:r>
      <w:r w:rsidR="00AD5EB6" w:rsidRPr="00D630AA">
        <w:t>.</w:t>
      </w:r>
    </w:p>
    <w:p w14:paraId="3BC05850" w14:textId="3F960142" w:rsidR="00C84578" w:rsidRDefault="00C84578" w:rsidP="00150241">
      <w:pPr>
        <w:pStyle w:val="Caption"/>
        <w:rPr>
          <w:rFonts w:eastAsia="Arial" w:cs="Arial"/>
          <w:b w:val="0"/>
        </w:rPr>
      </w:pPr>
      <w:bookmarkStart w:id="49" w:name="_Ref173248603"/>
      <w:bookmarkStart w:id="50" w:name="_Ref167704239"/>
      <w:r w:rsidRPr="00424860">
        <w:rPr>
          <w:rFonts w:asciiTheme="minorHAnsi" w:hAnsiTheme="minorHAnsi" w:cstheme="minorHAnsi"/>
          <w:szCs w:val="20"/>
        </w:rPr>
        <w:t xml:space="preserve">Figure </w:t>
      </w:r>
      <w:bookmarkEnd w:id="49"/>
      <w:bookmarkEnd w:id="50"/>
      <w:r w:rsidRPr="00424860">
        <w:rPr>
          <w:rFonts w:asciiTheme="minorHAnsi" w:hAnsiTheme="minorHAnsi" w:cstheme="minorHAnsi"/>
          <w:szCs w:val="20"/>
        </w:rPr>
        <w:t>2</w:t>
      </w:r>
      <w:r w:rsidR="00424860" w:rsidRPr="00424860">
        <w:rPr>
          <w:rFonts w:asciiTheme="minorHAnsi" w:hAnsiTheme="minorHAnsi" w:cstheme="minorHAnsi"/>
          <w:szCs w:val="20"/>
        </w:rPr>
        <w:t>6</w:t>
      </w:r>
      <w:r w:rsidRPr="00424860">
        <w:rPr>
          <w:rFonts w:asciiTheme="minorHAnsi" w:hAnsiTheme="minorHAnsi" w:cstheme="minorHAnsi"/>
          <w:szCs w:val="20"/>
        </w:rPr>
        <w:t>:  Fill rate (%) and total applicants, qualified, and suitable applicants per vacancy (no.) by capital cit</w:t>
      </w:r>
      <w:r w:rsidR="005C7571" w:rsidRPr="00424860">
        <w:rPr>
          <w:rFonts w:asciiTheme="minorHAnsi" w:hAnsiTheme="minorHAnsi" w:cstheme="minorHAnsi"/>
          <w:szCs w:val="20"/>
        </w:rPr>
        <w:t>ies</w:t>
      </w:r>
    </w:p>
    <w:p w14:paraId="7C31CF3A" w14:textId="1C87FF5D" w:rsidR="00C84578" w:rsidRPr="00424860" w:rsidRDefault="00F5789A" w:rsidP="00424860">
      <w:pPr>
        <w:outlineLvl w:val="3"/>
        <w:rPr>
          <w:rFonts w:eastAsia="Arial"/>
        </w:rPr>
      </w:pPr>
      <w:r w:rsidRPr="00985E39">
        <w:rPr>
          <w:rFonts w:eastAsia="Arial" w:cs="Arial"/>
          <w:noProof/>
        </w:rPr>
        <w:drawing>
          <wp:inline distT="0" distB="0" distL="0" distR="0" wp14:anchorId="04D809AE" wp14:editId="26AABE0C">
            <wp:extent cx="5730875" cy="2729552"/>
            <wp:effectExtent l="0" t="0" r="3175" b="0"/>
            <wp:docPr id="322586038" name="Chart 1" descr="Figure 3:  Fill rate (%) and suitability gap (right axis), total applicants, qualified, and suitable applicants per vacancy (no.) (left axis), by metro areas. ">
              <a:extLst xmlns:a="http://schemas.openxmlformats.org/drawingml/2006/main">
                <a:ext uri="{FF2B5EF4-FFF2-40B4-BE49-F238E27FC236}">
                  <a16:creationId xmlns:a16="http://schemas.microsoft.com/office/drawing/2014/main" id="{7DA80257-4A7D-4351-A93F-A03F897C6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bookmarkStart w:id="51" w:name="_Ref173249781"/>
      <w:r w:rsidR="00C84578" w:rsidRPr="00424860">
        <w:rPr>
          <w:rFonts w:asciiTheme="minorHAnsi" w:hAnsiTheme="minorHAnsi" w:cstheme="minorHAnsi"/>
          <w:b/>
          <w:bCs/>
          <w:sz w:val="20"/>
          <w:szCs w:val="20"/>
        </w:rPr>
        <w:t xml:space="preserve">Figure </w:t>
      </w:r>
      <w:bookmarkEnd w:id="51"/>
      <w:r w:rsidR="00C84578" w:rsidRPr="00424860">
        <w:rPr>
          <w:rFonts w:asciiTheme="minorHAnsi" w:hAnsiTheme="minorHAnsi" w:cstheme="minorHAnsi"/>
          <w:b/>
          <w:bCs/>
          <w:sz w:val="20"/>
          <w:szCs w:val="20"/>
        </w:rPr>
        <w:t>2</w:t>
      </w:r>
      <w:r w:rsidR="00424860" w:rsidRPr="00424860">
        <w:rPr>
          <w:rFonts w:asciiTheme="minorHAnsi" w:hAnsiTheme="minorHAnsi" w:cstheme="minorHAnsi"/>
          <w:b/>
          <w:bCs/>
          <w:sz w:val="20"/>
          <w:szCs w:val="20"/>
        </w:rPr>
        <w:t>7</w:t>
      </w:r>
      <w:r w:rsidR="00C84578" w:rsidRPr="00424860">
        <w:rPr>
          <w:rFonts w:asciiTheme="minorHAnsi" w:hAnsiTheme="minorHAnsi" w:cstheme="minorHAnsi"/>
          <w:b/>
          <w:bCs/>
          <w:sz w:val="20"/>
          <w:szCs w:val="20"/>
        </w:rPr>
        <w:t>: Fill rate (%) and total applicants, qualified, and suitable applicants per vacancy (no.) by re</w:t>
      </w:r>
      <w:r w:rsidR="005E319D" w:rsidRPr="00424860">
        <w:rPr>
          <w:rFonts w:asciiTheme="minorHAnsi" w:hAnsiTheme="minorHAnsi" w:cstheme="minorHAnsi"/>
          <w:b/>
          <w:bCs/>
          <w:sz w:val="20"/>
          <w:szCs w:val="20"/>
        </w:rPr>
        <w:t>st of state</w:t>
      </w:r>
    </w:p>
    <w:p w14:paraId="1DE7E7A6" w14:textId="77777777" w:rsidR="00C84578" w:rsidRDefault="00C84578" w:rsidP="00C84578">
      <w:pPr>
        <w:keepNext/>
        <w:rPr>
          <w:rFonts w:cs="Arial"/>
          <w:b/>
          <w:i/>
          <w:sz w:val="20"/>
          <w:szCs w:val="20"/>
          <w:highlight w:val="yellow"/>
        </w:rPr>
      </w:pPr>
      <w:r w:rsidRPr="00985E39">
        <w:rPr>
          <w:rFonts w:eastAsia="Arial" w:cs="Arial"/>
          <w:b/>
          <w:bCs/>
          <w:noProof/>
          <w:sz w:val="18"/>
          <w:szCs w:val="18"/>
        </w:rPr>
        <w:drawing>
          <wp:inline distT="0" distB="0" distL="0" distR="0" wp14:anchorId="18277A18" wp14:editId="485FF233">
            <wp:extent cx="5730875" cy="3595370"/>
            <wp:effectExtent l="0" t="0" r="3175" b="5080"/>
            <wp:docPr id="2106453106" name="Chart 1" descr="Figure 4:  Fill rate (%) and suitability gap (right axis), total applicants, qualified, and suitable applicants per vacancy (no.) (left axis), by regional areas">
              <a:extLst xmlns:a="http://schemas.openxmlformats.org/drawingml/2006/main">
                <a:ext uri="{FF2B5EF4-FFF2-40B4-BE49-F238E27FC236}">
                  <a16:creationId xmlns:a16="http://schemas.microsoft.com/office/drawing/2014/main" id="{A4F721BB-97AB-4B63-AAD7-58F7E2E8AF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155D850" w14:textId="77777777" w:rsidR="005D5F95" w:rsidRPr="00424860" w:rsidRDefault="005D5F95" w:rsidP="00424860">
      <w:pPr>
        <w:pStyle w:val="Source"/>
        <w:rPr>
          <w:rFonts w:eastAsia="Arial" w:cs="Arial"/>
        </w:rPr>
      </w:pPr>
      <w:r w:rsidRPr="00424860">
        <w:rPr>
          <w:rFonts w:asciiTheme="minorHAnsi" w:hAnsiTheme="minorHAnsi" w:cstheme="minorHAnsi"/>
        </w:rPr>
        <w:t xml:space="preserve">Source: Jobs and Skills </w:t>
      </w:r>
      <w:r w:rsidRPr="00424860">
        <w:rPr>
          <w:rFonts w:eastAsia="Arial" w:cs="Arial"/>
        </w:rPr>
        <w:t xml:space="preserve">Australia, </w:t>
      </w:r>
      <w:r w:rsidRPr="000B449A">
        <w:rPr>
          <w:rFonts w:eastAsia="Arial" w:cs="Arial"/>
        </w:rPr>
        <w:t>Survey of Employers who Recently Advertised</w:t>
      </w:r>
    </w:p>
    <w:p w14:paraId="197D6343" w14:textId="0ECB1EF3" w:rsidR="74EE74A6" w:rsidRPr="00424860" w:rsidRDefault="74EE74A6" w:rsidP="648A9DD5">
      <w:pPr>
        <w:pStyle w:val="Heading3"/>
        <w:rPr>
          <w:rFonts w:asciiTheme="majorHAnsi" w:hAnsiTheme="majorHAnsi" w:cstheme="majorHAnsi"/>
        </w:rPr>
      </w:pPr>
      <w:r w:rsidRPr="00424860">
        <w:rPr>
          <w:rFonts w:asciiTheme="majorHAnsi" w:hAnsiTheme="majorHAnsi" w:cstheme="majorHAnsi"/>
        </w:rPr>
        <w:t>Vacancy fill rates are lowest for technicians and trades occupations</w:t>
      </w:r>
    </w:p>
    <w:p w14:paraId="0172C530" w14:textId="4D25AE19" w:rsidR="719793E8" w:rsidRPr="0089188F" w:rsidRDefault="15F0BF6E" w:rsidP="00424860">
      <w:r w:rsidRPr="0089188F">
        <w:t>Nationally, b</w:t>
      </w:r>
      <w:r w:rsidR="719793E8" w:rsidRPr="0089188F">
        <w:t xml:space="preserve">etween </w:t>
      </w:r>
      <w:r w:rsidR="00100EE7" w:rsidRPr="0089188F">
        <w:t>June</w:t>
      </w:r>
      <w:r w:rsidR="719793E8" w:rsidRPr="0089188F">
        <w:t xml:space="preserve"> quarter 202</w:t>
      </w:r>
      <w:r w:rsidR="00100EE7" w:rsidRPr="0089188F">
        <w:t>4</w:t>
      </w:r>
      <w:r w:rsidR="719793E8" w:rsidRPr="0089188F">
        <w:t xml:space="preserve"> and March quarter 2024, the fill rate increased for all the major occupation groups except for Sales Workers and Labourers, where the fill rates for th</w:t>
      </w:r>
      <w:r w:rsidR="5FE94D8C" w:rsidRPr="0089188F">
        <w:t>ese</w:t>
      </w:r>
      <w:r w:rsidR="719793E8" w:rsidRPr="0089188F">
        <w:t xml:space="preserve"> group</w:t>
      </w:r>
      <w:r w:rsidR="27A79FFC" w:rsidRPr="0089188F">
        <w:t>s</w:t>
      </w:r>
      <w:r w:rsidR="719793E8" w:rsidRPr="0089188F">
        <w:t xml:space="preserve"> fell</w:t>
      </w:r>
      <w:r w:rsidR="00704175" w:rsidRPr="0089188F">
        <w:t xml:space="preserve"> (</w:t>
      </w:r>
      <w:r w:rsidR="0099404E">
        <w:t>Table 1</w:t>
      </w:r>
      <w:r w:rsidR="00704175" w:rsidRPr="0089188F">
        <w:t>)</w:t>
      </w:r>
      <w:r w:rsidR="719793E8" w:rsidRPr="0089188F">
        <w:t>.</w:t>
      </w:r>
    </w:p>
    <w:p w14:paraId="71483B08" w14:textId="56491CE4" w:rsidR="00B10469" w:rsidRPr="00424860" w:rsidRDefault="00A675F9" w:rsidP="00150241">
      <w:pPr>
        <w:pStyle w:val="Caption"/>
        <w:rPr>
          <w:rFonts w:eastAsia="Times New Roman" w:cs="Arial"/>
          <w:szCs w:val="20"/>
        </w:rPr>
      </w:pPr>
      <w:r w:rsidRPr="00424860">
        <w:rPr>
          <w:rFonts w:asciiTheme="minorHAnsi" w:hAnsiTheme="minorHAnsi" w:cstheme="minorHAnsi"/>
          <w:szCs w:val="20"/>
        </w:rPr>
        <w:t>Table 1</w:t>
      </w:r>
      <w:r w:rsidR="00B10469" w:rsidRPr="00424860">
        <w:rPr>
          <w:rFonts w:eastAsia="Times New Roman" w:cs="Arial"/>
          <w:szCs w:val="20"/>
        </w:rPr>
        <w:t xml:space="preserve">: Fill rate (%) by </w:t>
      </w:r>
      <w:r w:rsidR="00916D94" w:rsidRPr="00424860">
        <w:rPr>
          <w:rFonts w:eastAsia="Times New Roman" w:cs="Arial"/>
          <w:szCs w:val="20"/>
        </w:rPr>
        <w:t>Occupation</w:t>
      </w:r>
      <w:r w:rsidR="00B10469" w:rsidRPr="00424860">
        <w:rPr>
          <w:rFonts w:eastAsia="Times New Roman" w:cs="Arial"/>
          <w:szCs w:val="20"/>
        </w:rPr>
        <w:t xml:space="preserve"> major group</w:t>
      </w:r>
      <w:r w:rsidR="00916D94" w:rsidRPr="00424860">
        <w:rPr>
          <w:rFonts w:eastAsia="Times New Roman" w:cs="Arial"/>
          <w:szCs w:val="20"/>
        </w:rPr>
        <w:t xml:space="preserve"> (ANZSCO)</w:t>
      </w:r>
    </w:p>
    <w:tbl>
      <w:tblPr>
        <w:tblStyle w:val="JSATable1"/>
        <w:tblW w:w="0" w:type="auto"/>
        <w:tblLook w:val="0020" w:firstRow="1" w:lastRow="0" w:firstColumn="0" w:lastColumn="0" w:noHBand="0" w:noVBand="0"/>
      </w:tblPr>
      <w:tblGrid>
        <w:gridCol w:w="3380"/>
        <w:gridCol w:w="1615"/>
        <w:gridCol w:w="2027"/>
        <w:gridCol w:w="2004"/>
      </w:tblGrid>
      <w:tr w:rsidR="00100EE7" w:rsidRPr="00100EE7" w14:paraId="7E98D9FB" w14:textId="77777777">
        <w:trPr>
          <w:cnfStyle w:val="100000000000" w:firstRow="1" w:lastRow="0" w:firstColumn="0" w:lastColumn="0" w:oddVBand="0" w:evenVBand="0" w:oddHBand="0" w:evenHBand="0" w:firstRowFirstColumn="0" w:firstRowLastColumn="0" w:lastRowFirstColumn="0" w:lastRowLastColumn="0"/>
          <w:trHeight w:val="454"/>
        </w:trPr>
        <w:tc>
          <w:tcPr>
            <w:tcW w:w="0" w:type="auto"/>
          </w:tcPr>
          <w:p w14:paraId="67991998" w14:textId="0196DE43" w:rsidR="00100EE7" w:rsidRPr="00424860" w:rsidRDefault="00424860" w:rsidP="00100EE7">
            <w:pPr>
              <w:rPr>
                <w:rFonts w:eastAsia="Arial" w:cs="Arial"/>
              </w:rPr>
            </w:pPr>
            <w:r>
              <w:rPr>
                <w:rFonts w:eastAsia="Arial" w:cs="Arial"/>
              </w:rPr>
              <w:t>Occupation m</w:t>
            </w:r>
            <w:r w:rsidR="00100EE7" w:rsidRPr="00424860">
              <w:rPr>
                <w:rFonts w:eastAsia="Arial" w:cs="Arial"/>
              </w:rPr>
              <w:t xml:space="preserve">ajor group </w:t>
            </w:r>
          </w:p>
          <w:p w14:paraId="7777BBF9" w14:textId="77777777" w:rsidR="00100EE7" w:rsidRPr="00424860" w:rsidRDefault="00100EE7" w:rsidP="00100EE7">
            <w:pPr>
              <w:rPr>
                <w:rFonts w:eastAsia="Arial" w:cs="Arial"/>
              </w:rPr>
            </w:pPr>
          </w:p>
        </w:tc>
        <w:tc>
          <w:tcPr>
            <w:tcW w:w="0" w:type="auto"/>
          </w:tcPr>
          <w:p w14:paraId="477344E7" w14:textId="77777777" w:rsidR="00100EE7" w:rsidRPr="00424860" w:rsidRDefault="00100EE7" w:rsidP="004F0CB1">
            <w:pPr>
              <w:jc w:val="center"/>
            </w:pPr>
            <w:r w:rsidRPr="00424860">
              <w:t>June quarter 2024</w:t>
            </w:r>
          </w:p>
        </w:tc>
        <w:tc>
          <w:tcPr>
            <w:tcW w:w="0" w:type="auto"/>
          </w:tcPr>
          <w:p w14:paraId="2C273F17" w14:textId="77777777" w:rsidR="00100EE7" w:rsidRPr="00424860" w:rsidRDefault="00100EE7" w:rsidP="004F0CB1">
            <w:pPr>
              <w:jc w:val="center"/>
            </w:pPr>
            <w:r w:rsidRPr="00424860">
              <w:t>Change over the quarter</w:t>
            </w:r>
          </w:p>
        </w:tc>
        <w:tc>
          <w:tcPr>
            <w:tcW w:w="0" w:type="auto"/>
          </w:tcPr>
          <w:p w14:paraId="78AC21C7" w14:textId="77777777" w:rsidR="00100EE7" w:rsidRPr="00424860" w:rsidRDefault="00100EE7" w:rsidP="004F0CB1">
            <w:pPr>
              <w:jc w:val="center"/>
            </w:pPr>
            <w:r w:rsidRPr="00424860">
              <w:t>Change over 12 months</w:t>
            </w:r>
          </w:p>
        </w:tc>
      </w:tr>
      <w:tr w:rsidR="00100EE7" w:rsidRPr="00100EE7" w14:paraId="3261100E" w14:textId="77777777">
        <w:trPr>
          <w:trHeight w:val="454"/>
        </w:trPr>
        <w:tc>
          <w:tcPr>
            <w:tcW w:w="0" w:type="auto"/>
            <w:vAlign w:val="center"/>
          </w:tcPr>
          <w:p w14:paraId="48EF7AC7" w14:textId="77777777" w:rsidR="00100EE7" w:rsidRPr="00424860" w:rsidRDefault="00100EE7" w:rsidP="00100EE7">
            <w:pPr>
              <w:rPr>
                <w:rFonts w:eastAsia="Arial" w:cs="Arial"/>
              </w:rPr>
            </w:pPr>
            <w:r w:rsidRPr="00424860">
              <w:rPr>
                <w:rFonts w:eastAsia="Arial" w:cs="Arial"/>
              </w:rPr>
              <w:t>Managers</w:t>
            </w:r>
          </w:p>
        </w:tc>
        <w:tc>
          <w:tcPr>
            <w:tcW w:w="0" w:type="auto"/>
          </w:tcPr>
          <w:p w14:paraId="2646033B" w14:textId="77777777" w:rsidR="00100EE7" w:rsidRPr="00424860" w:rsidRDefault="00100EE7" w:rsidP="004F0CB1">
            <w:pPr>
              <w:jc w:val="center"/>
            </w:pPr>
            <w:r w:rsidRPr="00424860">
              <w:t>81.9%</w:t>
            </w:r>
          </w:p>
        </w:tc>
        <w:tc>
          <w:tcPr>
            <w:tcW w:w="0" w:type="auto"/>
          </w:tcPr>
          <w:p w14:paraId="66F6A73A" w14:textId="77777777" w:rsidR="00100EE7" w:rsidRPr="00424860" w:rsidRDefault="00100EE7" w:rsidP="004F0CB1">
            <w:pPr>
              <w:jc w:val="center"/>
            </w:pPr>
            <w:r w:rsidRPr="00424860">
              <w:t>↑2.4%</w:t>
            </w:r>
          </w:p>
        </w:tc>
        <w:tc>
          <w:tcPr>
            <w:tcW w:w="0" w:type="auto"/>
          </w:tcPr>
          <w:p w14:paraId="1F7A5023" w14:textId="77777777" w:rsidR="00100EE7" w:rsidRPr="00424860" w:rsidRDefault="00100EE7" w:rsidP="004F0CB1">
            <w:pPr>
              <w:jc w:val="center"/>
            </w:pPr>
            <w:r w:rsidRPr="00424860">
              <w:t>↑5.0%</w:t>
            </w:r>
          </w:p>
        </w:tc>
      </w:tr>
      <w:tr w:rsidR="00100EE7" w:rsidRPr="00100EE7" w14:paraId="7EFB520E" w14:textId="77777777">
        <w:trPr>
          <w:cnfStyle w:val="000000010000" w:firstRow="0" w:lastRow="0" w:firstColumn="0" w:lastColumn="0" w:oddVBand="0" w:evenVBand="0" w:oddHBand="0" w:evenHBand="1" w:firstRowFirstColumn="0" w:firstRowLastColumn="0" w:lastRowFirstColumn="0" w:lastRowLastColumn="0"/>
          <w:trHeight w:val="454"/>
        </w:trPr>
        <w:tc>
          <w:tcPr>
            <w:tcW w:w="0" w:type="auto"/>
            <w:vAlign w:val="center"/>
          </w:tcPr>
          <w:p w14:paraId="50B1AB8C" w14:textId="77777777" w:rsidR="00100EE7" w:rsidRPr="00424860" w:rsidRDefault="00100EE7" w:rsidP="00100EE7">
            <w:pPr>
              <w:rPr>
                <w:rFonts w:eastAsia="Arial" w:cs="Arial"/>
              </w:rPr>
            </w:pPr>
            <w:r w:rsidRPr="00424860">
              <w:rPr>
                <w:rFonts w:eastAsia="Arial" w:cs="Arial"/>
              </w:rPr>
              <w:t>Professionals</w:t>
            </w:r>
          </w:p>
        </w:tc>
        <w:tc>
          <w:tcPr>
            <w:tcW w:w="0" w:type="auto"/>
          </w:tcPr>
          <w:p w14:paraId="4B0EF81E" w14:textId="77777777" w:rsidR="00100EE7" w:rsidRPr="00424860" w:rsidRDefault="00100EE7" w:rsidP="004F0CB1">
            <w:pPr>
              <w:jc w:val="center"/>
            </w:pPr>
            <w:r w:rsidRPr="00424860">
              <w:t>64.9%</w:t>
            </w:r>
          </w:p>
        </w:tc>
        <w:tc>
          <w:tcPr>
            <w:tcW w:w="0" w:type="auto"/>
          </w:tcPr>
          <w:p w14:paraId="18518412" w14:textId="77777777" w:rsidR="00100EE7" w:rsidRPr="00424860" w:rsidRDefault="00100EE7" w:rsidP="004F0CB1">
            <w:pPr>
              <w:jc w:val="center"/>
            </w:pPr>
            <w:r w:rsidRPr="00424860">
              <w:t>↑1.1%</w:t>
            </w:r>
          </w:p>
        </w:tc>
        <w:tc>
          <w:tcPr>
            <w:tcW w:w="0" w:type="auto"/>
          </w:tcPr>
          <w:p w14:paraId="0A4472F8" w14:textId="77777777" w:rsidR="00100EE7" w:rsidRPr="00424860" w:rsidRDefault="00100EE7" w:rsidP="004F0CB1">
            <w:pPr>
              <w:jc w:val="center"/>
            </w:pPr>
            <w:r w:rsidRPr="00424860">
              <w:t>↑3.4%</w:t>
            </w:r>
          </w:p>
        </w:tc>
      </w:tr>
      <w:tr w:rsidR="00100EE7" w:rsidRPr="00100EE7" w14:paraId="4A4DA67A" w14:textId="77777777">
        <w:trPr>
          <w:trHeight w:val="454"/>
        </w:trPr>
        <w:tc>
          <w:tcPr>
            <w:tcW w:w="0" w:type="auto"/>
            <w:vAlign w:val="center"/>
          </w:tcPr>
          <w:p w14:paraId="0A87EB9C" w14:textId="77777777" w:rsidR="00100EE7" w:rsidRPr="00424860" w:rsidRDefault="00100EE7" w:rsidP="00100EE7">
            <w:pPr>
              <w:rPr>
                <w:rFonts w:eastAsia="Arial" w:cs="Arial"/>
              </w:rPr>
            </w:pPr>
            <w:r w:rsidRPr="00424860">
              <w:rPr>
                <w:rFonts w:eastAsia="Arial" w:cs="Arial"/>
              </w:rPr>
              <w:t>Technicians and Trades Workers</w:t>
            </w:r>
          </w:p>
        </w:tc>
        <w:tc>
          <w:tcPr>
            <w:tcW w:w="0" w:type="auto"/>
          </w:tcPr>
          <w:p w14:paraId="1B66715A" w14:textId="77777777" w:rsidR="00100EE7" w:rsidRPr="00424860" w:rsidRDefault="00100EE7" w:rsidP="004F0CB1">
            <w:pPr>
              <w:jc w:val="center"/>
            </w:pPr>
            <w:r w:rsidRPr="00424860">
              <w:t>51.9%</w:t>
            </w:r>
          </w:p>
        </w:tc>
        <w:tc>
          <w:tcPr>
            <w:tcW w:w="0" w:type="auto"/>
          </w:tcPr>
          <w:p w14:paraId="44174D95" w14:textId="77777777" w:rsidR="00100EE7" w:rsidRPr="00424860" w:rsidRDefault="00100EE7" w:rsidP="004F0CB1">
            <w:pPr>
              <w:jc w:val="center"/>
            </w:pPr>
            <w:r w:rsidRPr="00424860">
              <w:t>↑2.2%</w:t>
            </w:r>
          </w:p>
        </w:tc>
        <w:tc>
          <w:tcPr>
            <w:tcW w:w="0" w:type="auto"/>
          </w:tcPr>
          <w:p w14:paraId="4D081655" w14:textId="77777777" w:rsidR="00100EE7" w:rsidRPr="00424860" w:rsidRDefault="00100EE7" w:rsidP="004F0CB1">
            <w:pPr>
              <w:jc w:val="center"/>
            </w:pPr>
            <w:r w:rsidRPr="00424860">
              <w:t>↑4.1%</w:t>
            </w:r>
          </w:p>
        </w:tc>
      </w:tr>
      <w:tr w:rsidR="00100EE7" w:rsidRPr="00100EE7" w14:paraId="7421B42C" w14:textId="77777777">
        <w:trPr>
          <w:cnfStyle w:val="000000010000" w:firstRow="0" w:lastRow="0" w:firstColumn="0" w:lastColumn="0" w:oddVBand="0" w:evenVBand="0" w:oddHBand="0" w:evenHBand="1" w:firstRowFirstColumn="0" w:firstRowLastColumn="0" w:lastRowFirstColumn="0" w:lastRowLastColumn="0"/>
          <w:trHeight w:val="454"/>
        </w:trPr>
        <w:tc>
          <w:tcPr>
            <w:tcW w:w="0" w:type="auto"/>
            <w:vAlign w:val="center"/>
          </w:tcPr>
          <w:p w14:paraId="1FF869DE" w14:textId="77777777" w:rsidR="00100EE7" w:rsidRPr="00424860" w:rsidRDefault="00100EE7" w:rsidP="00100EE7">
            <w:pPr>
              <w:rPr>
                <w:rFonts w:eastAsia="Arial" w:cs="Arial"/>
              </w:rPr>
            </w:pPr>
            <w:r w:rsidRPr="00424860">
              <w:rPr>
                <w:rFonts w:eastAsia="Arial" w:cs="Arial"/>
              </w:rPr>
              <w:t>Community and Personal Service Workers</w:t>
            </w:r>
          </w:p>
        </w:tc>
        <w:tc>
          <w:tcPr>
            <w:tcW w:w="0" w:type="auto"/>
          </w:tcPr>
          <w:p w14:paraId="1802316F" w14:textId="5D65F9E8" w:rsidR="00100EE7" w:rsidRPr="00424860" w:rsidRDefault="00100EE7" w:rsidP="004F0CB1">
            <w:pPr>
              <w:jc w:val="center"/>
            </w:pPr>
            <w:r w:rsidRPr="00424860">
              <w:t>72.6%</w:t>
            </w:r>
          </w:p>
        </w:tc>
        <w:tc>
          <w:tcPr>
            <w:tcW w:w="0" w:type="auto"/>
          </w:tcPr>
          <w:p w14:paraId="272F2340" w14:textId="77777777" w:rsidR="00100EE7" w:rsidRPr="00424860" w:rsidRDefault="00100EE7" w:rsidP="004F0CB1">
            <w:pPr>
              <w:jc w:val="center"/>
            </w:pPr>
            <w:r w:rsidRPr="00424860">
              <w:t>↑1.5%</w:t>
            </w:r>
          </w:p>
        </w:tc>
        <w:tc>
          <w:tcPr>
            <w:tcW w:w="0" w:type="auto"/>
          </w:tcPr>
          <w:p w14:paraId="5668235E" w14:textId="2C31185E" w:rsidR="00100EE7" w:rsidRPr="00424860" w:rsidRDefault="00100EE7" w:rsidP="004F0CB1">
            <w:pPr>
              <w:jc w:val="center"/>
            </w:pPr>
            <w:r w:rsidRPr="00424860">
              <w:t>↑6.5%</w:t>
            </w:r>
          </w:p>
        </w:tc>
      </w:tr>
      <w:tr w:rsidR="00100EE7" w:rsidRPr="00100EE7" w14:paraId="2101F92B" w14:textId="77777777">
        <w:trPr>
          <w:trHeight w:val="454"/>
        </w:trPr>
        <w:tc>
          <w:tcPr>
            <w:tcW w:w="0" w:type="auto"/>
            <w:vAlign w:val="center"/>
          </w:tcPr>
          <w:p w14:paraId="4C09F2D2" w14:textId="77777777" w:rsidR="00100EE7" w:rsidRPr="00424860" w:rsidRDefault="00100EE7" w:rsidP="00100EE7">
            <w:pPr>
              <w:rPr>
                <w:rFonts w:eastAsia="Arial" w:cs="Arial"/>
              </w:rPr>
            </w:pPr>
            <w:r w:rsidRPr="00424860">
              <w:rPr>
                <w:rFonts w:eastAsia="Arial" w:cs="Arial"/>
              </w:rPr>
              <w:t>Clerical and Administrative Workers</w:t>
            </w:r>
          </w:p>
        </w:tc>
        <w:tc>
          <w:tcPr>
            <w:tcW w:w="0" w:type="auto"/>
          </w:tcPr>
          <w:p w14:paraId="34B53F6D" w14:textId="77777777" w:rsidR="00100EE7" w:rsidRPr="00424860" w:rsidRDefault="00100EE7" w:rsidP="004F0CB1">
            <w:pPr>
              <w:jc w:val="center"/>
            </w:pPr>
            <w:r w:rsidRPr="00424860">
              <w:t>80.8%</w:t>
            </w:r>
          </w:p>
        </w:tc>
        <w:tc>
          <w:tcPr>
            <w:tcW w:w="0" w:type="auto"/>
          </w:tcPr>
          <w:p w14:paraId="284F09F9" w14:textId="77777777" w:rsidR="00100EE7" w:rsidRPr="00424860" w:rsidRDefault="00100EE7" w:rsidP="004F0CB1">
            <w:pPr>
              <w:jc w:val="center"/>
            </w:pPr>
            <w:r w:rsidRPr="00424860">
              <w:t>↑1.5%</w:t>
            </w:r>
          </w:p>
        </w:tc>
        <w:tc>
          <w:tcPr>
            <w:tcW w:w="0" w:type="auto"/>
          </w:tcPr>
          <w:p w14:paraId="7B3E52F8" w14:textId="77777777" w:rsidR="00100EE7" w:rsidRPr="00424860" w:rsidRDefault="00100EE7" w:rsidP="004F0CB1">
            <w:pPr>
              <w:jc w:val="center"/>
            </w:pPr>
            <w:r w:rsidRPr="00424860">
              <w:t>↑5.4%</w:t>
            </w:r>
          </w:p>
        </w:tc>
      </w:tr>
      <w:tr w:rsidR="00100EE7" w:rsidRPr="00100EE7" w14:paraId="1534CC28" w14:textId="77777777">
        <w:trPr>
          <w:cnfStyle w:val="000000010000" w:firstRow="0" w:lastRow="0" w:firstColumn="0" w:lastColumn="0" w:oddVBand="0" w:evenVBand="0" w:oddHBand="0" w:evenHBand="1" w:firstRowFirstColumn="0" w:firstRowLastColumn="0" w:lastRowFirstColumn="0" w:lastRowLastColumn="0"/>
          <w:trHeight w:val="454"/>
        </w:trPr>
        <w:tc>
          <w:tcPr>
            <w:tcW w:w="0" w:type="auto"/>
            <w:vAlign w:val="center"/>
          </w:tcPr>
          <w:p w14:paraId="63C0B0E0" w14:textId="77777777" w:rsidR="00100EE7" w:rsidRPr="00424860" w:rsidRDefault="00100EE7" w:rsidP="00100EE7">
            <w:pPr>
              <w:rPr>
                <w:rFonts w:eastAsia="Arial" w:cs="Arial"/>
              </w:rPr>
            </w:pPr>
            <w:r w:rsidRPr="00424860">
              <w:rPr>
                <w:rFonts w:eastAsia="Arial" w:cs="Arial"/>
              </w:rPr>
              <w:t>Sales Workers</w:t>
            </w:r>
          </w:p>
        </w:tc>
        <w:tc>
          <w:tcPr>
            <w:tcW w:w="0" w:type="auto"/>
          </w:tcPr>
          <w:p w14:paraId="724E5B70" w14:textId="77777777" w:rsidR="00100EE7" w:rsidRPr="00424860" w:rsidRDefault="00100EE7" w:rsidP="004F0CB1">
            <w:pPr>
              <w:jc w:val="center"/>
            </w:pPr>
            <w:r w:rsidRPr="00424860">
              <w:t>69.8%</w:t>
            </w:r>
          </w:p>
        </w:tc>
        <w:tc>
          <w:tcPr>
            <w:tcW w:w="0" w:type="auto"/>
          </w:tcPr>
          <w:p w14:paraId="4316BE44" w14:textId="77777777" w:rsidR="00100EE7" w:rsidRPr="00424860" w:rsidRDefault="00100EE7" w:rsidP="004F0CB1">
            <w:pPr>
              <w:jc w:val="center"/>
            </w:pPr>
            <w:r w:rsidRPr="00424860">
              <w:t>↓-1.1%</w:t>
            </w:r>
          </w:p>
        </w:tc>
        <w:tc>
          <w:tcPr>
            <w:tcW w:w="0" w:type="auto"/>
          </w:tcPr>
          <w:p w14:paraId="5A8E03CE" w14:textId="77777777" w:rsidR="00100EE7" w:rsidRPr="00424860" w:rsidRDefault="00100EE7" w:rsidP="004F0CB1">
            <w:pPr>
              <w:jc w:val="center"/>
            </w:pPr>
            <w:r w:rsidRPr="00424860">
              <w:t>↓-1.3%</w:t>
            </w:r>
          </w:p>
        </w:tc>
      </w:tr>
      <w:tr w:rsidR="00100EE7" w:rsidRPr="00100EE7" w14:paraId="1192FB91" w14:textId="77777777">
        <w:trPr>
          <w:trHeight w:val="340"/>
        </w:trPr>
        <w:tc>
          <w:tcPr>
            <w:tcW w:w="0" w:type="auto"/>
            <w:vAlign w:val="center"/>
          </w:tcPr>
          <w:p w14:paraId="2588D79A" w14:textId="77777777" w:rsidR="00100EE7" w:rsidRPr="00424860" w:rsidRDefault="00100EE7" w:rsidP="00100EE7">
            <w:pPr>
              <w:rPr>
                <w:rFonts w:eastAsia="Arial" w:cs="Arial"/>
              </w:rPr>
            </w:pPr>
            <w:r w:rsidRPr="00424860">
              <w:rPr>
                <w:rFonts w:eastAsia="Arial" w:cs="Arial"/>
              </w:rPr>
              <w:t>Machinery Operators and Drivers</w:t>
            </w:r>
          </w:p>
        </w:tc>
        <w:tc>
          <w:tcPr>
            <w:tcW w:w="0" w:type="auto"/>
          </w:tcPr>
          <w:p w14:paraId="0DC3E3D9" w14:textId="77777777" w:rsidR="00100EE7" w:rsidRPr="00424860" w:rsidRDefault="00100EE7" w:rsidP="004F0CB1">
            <w:pPr>
              <w:jc w:val="center"/>
            </w:pPr>
            <w:r w:rsidRPr="00424860">
              <w:t>70.0%</w:t>
            </w:r>
          </w:p>
        </w:tc>
        <w:tc>
          <w:tcPr>
            <w:tcW w:w="0" w:type="auto"/>
          </w:tcPr>
          <w:p w14:paraId="2F08B873" w14:textId="77777777" w:rsidR="00100EE7" w:rsidRPr="00424860" w:rsidRDefault="00100EE7" w:rsidP="004F0CB1">
            <w:pPr>
              <w:jc w:val="center"/>
            </w:pPr>
            <w:r w:rsidRPr="00424860">
              <w:t>↑1.1%</w:t>
            </w:r>
          </w:p>
        </w:tc>
        <w:tc>
          <w:tcPr>
            <w:tcW w:w="0" w:type="auto"/>
          </w:tcPr>
          <w:p w14:paraId="7C98EB97" w14:textId="77777777" w:rsidR="00100EE7" w:rsidRPr="00424860" w:rsidRDefault="00100EE7" w:rsidP="004F0CB1">
            <w:pPr>
              <w:jc w:val="center"/>
            </w:pPr>
            <w:r w:rsidRPr="00424860">
              <w:t>↑8.0%</w:t>
            </w:r>
          </w:p>
        </w:tc>
      </w:tr>
      <w:tr w:rsidR="00100EE7" w:rsidRPr="00100EE7" w14:paraId="7E592FDF" w14:textId="77777777">
        <w:trPr>
          <w:cnfStyle w:val="000000010000" w:firstRow="0" w:lastRow="0" w:firstColumn="0" w:lastColumn="0" w:oddVBand="0" w:evenVBand="0" w:oddHBand="0" w:evenHBand="1" w:firstRowFirstColumn="0" w:firstRowLastColumn="0" w:lastRowFirstColumn="0" w:lastRowLastColumn="0"/>
          <w:trHeight w:val="454"/>
        </w:trPr>
        <w:tc>
          <w:tcPr>
            <w:tcW w:w="0" w:type="auto"/>
            <w:vAlign w:val="center"/>
          </w:tcPr>
          <w:p w14:paraId="4EC998F4" w14:textId="77777777" w:rsidR="00100EE7" w:rsidRPr="00424860" w:rsidRDefault="00100EE7" w:rsidP="00100EE7">
            <w:pPr>
              <w:rPr>
                <w:rFonts w:eastAsia="Arial" w:cs="Arial"/>
              </w:rPr>
            </w:pPr>
            <w:r w:rsidRPr="00424860">
              <w:rPr>
                <w:rFonts w:eastAsia="Arial" w:cs="Arial"/>
              </w:rPr>
              <w:t>Labourers</w:t>
            </w:r>
          </w:p>
        </w:tc>
        <w:tc>
          <w:tcPr>
            <w:tcW w:w="0" w:type="auto"/>
          </w:tcPr>
          <w:p w14:paraId="26FDBA15" w14:textId="77777777" w:rsidR="00100EE7" w:rsidRPr="00424860" w:rsidRDefault="00100EE7" w:rsidP="004F0CB1">
            <w:pPr>
              <w:jc w:val="center"/>
            </w:pPr>
            <w:r w:rsidRPr="00424860">
              <w:t>56.6%</w:t>
            </w:r>
          </w:p>
        </w:tc>
        <w:tc>
          <w:tcPr>
            <w:tcW w:w="0" w:type="auto"/>
          </w:tcPr>
          <w:p w14:paraId="6ED8919E" w14:textId="77777777" w:rsidR="00100EE7" w:rsidRPr="00424860" w:rsidRDefault="00100EE7" w:rsidP="004F0CB1">
            <w:pPr>
              <w:jc w:val="center"/>
            </w:pPr>
            <w:r w:rsidRPr="00424860">
              <w:t>↓-0.9%</w:t>
            </w:r>
          </w:p>
        </w:tc>
        <w:tc>
          <w:tcPr>
            <w:tcW w:w="0" w:type="auto"/>
          </w:tcPr>
          <w:p w14:paraId="05573A03" w14:textId="77777777" w:rsidR="00100EE7" w:rsidRPr="00424860" w:rsidRDefault="00100EE7" w:rsidP="004F0CB1">
            <w:pPr>
              <w:jc w:val="center"/>
            </w:pPr>
            <w:r w:rsidRPr="00424860">
              <w:t>↑1.6%</w:t>
            </w:r>
          </w:p>
        </w:tc>
      </w:tr>
    </w:tbl>
    <w:p w14:paraId="7B0D8987" w14:textId="73028C39" w:rsidR="00B10469" w:rsidRPr="00424860" w:rsidRDefault="00B10469" w:rsidP="00424860">
      <w:pPr>
        <w:pStyle w:val="Source"/>
        <w:rPr>
          <w:rFonts w:asciiTheme="minorHAnsi" w:hAnsiTheme="minorHAnsi" w:cstheme="minorHAnsi"/>
        </w:rPr>
      </w:pPr>
      <w:r w:rsidRPr="00424860">
        <w:rPr>
          <w:rFonts w:asciiTheme="minorHAnsi" w:hAnsiTheme="minorHAnsi" w:cstheme="minorHAnsi"/>
        </w:rPr>
        <w:t xml:space="preserve">Source: Jobs and Skills Australia, </w:t>
      </w:r>
      <w:r w:rsidR="00DC35D7" w:rsidRPr="00901A26">
        <w:rPr>
          <w:rFonts w:asciiTheme="minorHAnsi" w:hAnsiTheme="minorHAnsi" w:cstheme="minorHAnsi"/>
          <w:i/>
          <w:iCs/>
        </w:rPr>
        <w:t xml:space="preserve">Occupation Shortage </w:t>
      </w:r>
      <w:r w:rsidR="003D2130" w:rsidRPr="00901A26">
        <w:rPr>
          <w:rFonts w:asciiTheme="minorHAnsi" w:hAnsiTheme="minorHAnsi" w:cstheme="minorHAnsi"/>
          <w:i/>
          <w:iCs/>
        </w:rPr>
        <w:t>R</w:t>
      </w:r>
      <w:r w:rsidRPr="00901A26">
        <w:rPr>
          <w:rFonts w:asciiTheme="minorHAnsi" w:hAnsiTheme="minorHAnsi" w:cstheme="minorHAnsi"/>
          <w:i/>
          <w:iCs/>
        </w:rPr>
        <w:t>eport</w:t>
      </w:r>
      <w:r w:rsidRPr="00424860">
        <w:rPr>
          <w:rFonts w:asciiTheme="minorHAnsi" w:hAnsiTheme="minorHAnsi" w:cstheme="minorHAnsi"/>
        </w:rPr>
        <w:t xml:space="preserve">, </w:t>
      </w:r>
      <w:r w:rsidR="009A758C" w:rsidRPr="00424860">
        <w:rPr>
          <w:rFonts w:asciiTheme="minorHAnsi" w:hAnsiTheme="minorHAnsi" w:cstheme="minorHAnsi"/>
        </w:rPr>
        <w:t>June quarter</w:t>
      </w:r>
      <w:r w:rsidRPr="00424860">
        <w:rPr>
          <w:rFonts w:asciiTheme="minorHAnsi" w:hAnsiTheme="minorHAnsi" w:cstheme="minorHAnsi"/>
        </w:rPr>
        <w:t xml:space="preserve"> 2024 </w:t>
      </w:r>
    </w:p>
    <w:p w14:paraId="503FD194" w14:textId="0B136F2D" w:rsidR="719793E8" w:rsidRPr="00FD1272" w:rsidRDefault="7D184091" w:rsidP="00424860">
      <w:r w:rsidRPr="00FD1272">
        <w:t>Skills shortages for trade related occupations continues to be a persistent issue both nationally and regionally. Reflecting this, at the national level, the fill rates for Technician and Trade Workers</w:t>
      </w:r>
      <w:r w:rsidR="006244BA" w:rsidRPr="00FD1272">
        <w:t>,</w:t>
      </w:r>
      <w:r w:rsidRPr="00FD1272">
        <w:t xml:space="preserve"> </w:t>
      </w:r>
      <w:r w:rsidR="006244BA" w:rsidRPr="00FD1272">
        <w:t xml:space="preserve">while increasing, </w:t>
      </w:r>
      <w:r w:rsidRPr="00FD1272">
        <w:t xml:space="preserve">has remained consistently </w:t>
      </w:r>
      <w:r w:rsidR="007677FB" w:rsidRPr="00FD1272">
        <w:t>around</w:t>
      </w:r>
      <w:r w:rsidRPr="00FD1272">
        <w:t xml:space="preserve"> 50%</w:t>
      </w:r>
      <w:r w:rsidR="2BB07957" w:rsidRPr="00FD1272">
        <w:t xml:space="preserve">, </w:t>
      </w:r>
      <w:r w:rsidRPr="00FD1272">
        <w:t xml:space="preserve">the lowest of all major </w:t>
      </w:r>
      <w:r w:rsidR="3BD81ED0" w:rsidRPr="00FD1272">
        <w:t xml:space="preserve">occupation </w:t>
      </w:r>
      <w:r w:rsidRPr="00FD1272">
        <w:t>group</w:t>
      </w:r>
      <w:r w:rsidR="3CD1C164" w:rsidRPr="00FD1272">
        <w:t>s</w:t>
      </w:r>
      <w:r w:rsidRPr="00FD1272">
        <w:t xml:space="preserve">. The low fill rates for Technician and Trade Workers likely indicate </w:t>
      </w:r>
      <w:r w:rsidR="360D06D5" w:rsidRPr="00FD1272">
        <w:t xml:space="preserve">that </w:t>
      </w:r>
      <w:r w:rsidRPr="00FD1272">
        <w:t xml:space="preserve">shortages for occupations within this broad group (as seen in the </w:t>
      </w:r>
      <w:hyperlink r:id="rId73">
        <w:r w:rsidRPr="00FD1272">
          <w:rPr>
            <w:rStyle w:val="Hyperlink"/>
            <w:rFonts w:eastAsia="Arial" w:cs="Arial"/>
          </w:rPr>
          <w:t>JSA SPL</w:t>
        </w:r>
      </w:hyperlink>
      <w:r w:rsidRPr="00FD1272">
        <w:t xml:space="preserve">) are more acute. The high demand for such occupations in regional areas indicate these shortages </w:t>
      </w:r>
      <w:r w:rsidR="307EE926" w:rsidRPr="00FD1272">
        <w:t>are likely to</w:t>
      </w:r>
      <w:r w:rsidRPr="00FD1272">
        <w:t xml:space="preserve"> be worse than the national figure.</w:t>
      </w:r>
    </w:p>
    <w:p w14:paraId="228F346F" w14:textId="77777777" w:rsidR="00E31564" w:rsidRPr="00424860" w:rsidRDefault="00E31564" w:rsidP="00E31564">
      <w:pPr>
        <w:pStyle w:val="Heading3"/>
        <w:rPr>
          <w:rFonts w:asciiTheme="majorHAnsi" w:hAnsiTheme="majorHAnsi" w:cstheme="majorHAnsi"/>
        </w:rPr>
      </w:pPr>
      <w:bookmarkStart w:id="52" w:name="_Toc171937429"/>
      <w:r w:rsidRPr="00424860">
        <w:rPr>
          <w:rFonts w:asciiTheme="majorHAnsi" w:hAnsiTheme="majorHAnsi" w:cstheme="majorHAnsi"/>
        </w:rPr>
        <w:t>Location and availability/suitability of applicants continue to drive recruitment difficulty in Regional Australia</w:t>
      </w:r>
      <w:bookmarkEnd w:id="52"/>
    </w:p>
    <w:p w14:paraId="211AC68A" w14:textId="05145621" w:rsidR="0EF27FF7" w:rsidRPr="00E416DC" w:rsidRDefault="3E53FEB7" w:rsidP="00424860">
      <w:r w:rsidRPr="719B8876">
        <w:t>Reasons for recruitment difficulty tend to vary slightly between capital cities and rest of state areas. Employers in rest of state areas are more likely to note the location of the business as a contributing factor to their difficulties in recruiting staff, while employers in capital cities are more likely to note that there is a lack of suitable applicants for their vacancies</w:t>
      </w:r>
      <w:r w:rsidR="049EB535" w:rsidRPr="719B8876">
        <w:t xml:space="preserve"> (Table </w:t>
      </w:r>
      <w:r w:rsidR="00703C0B">
        <w:t>2</w:t>
      </w:r>
      <w:r w:rsidR="049EB535" w:rsidRPr="719B8876">
        <w:t>)</w:t>
      </w:r>
      <w:r w:rsidRPr="719B8876">
        <w:t>.</w:t>
      </w:r>
      <w:r w:rsidRPr="564C7786">
        <w:t xml:space="preserve"> </w:t>
      </w:r>
    </w:p>
    <w:p w14:paraId="6EF1EF65" w14:textId="77777777" w:rsidR="00CD312D" w:rsidRPr="00E54B8C" w:rsidRDefault="00CD312D">
      <w:r w:rsidRPr="00E54B8C">
        <w:br w:type="page"/>
      </w:r>
    </w:p>
    <w:p w14:paraId="05D64504" w14:textId="2C2DAA7B" w:rsidR="00E31564" w:rsidRPr="00424860" w:rsidRDefault="1E4831E3" w:rsidP="004F0CB1">
      <w:pPr>
        <w:pStyle w:val="Caption"/>
        <w:rPr>
          <w:rFonts w:ascii="Segoe UI" w:hAnsi="Segoe UI" w:cs="Segoe UI"/>
        </w:rPr>
      </w:pPr>
      <w:r w:rsidRPr="00424860">
        <w:rPr>
          <w:rFonts w:asciiTheme="minorHAnsi" w:hAnsiTheme="minorHAnsi" w:cstheme="minorHAnsi"/>
        </w:rPr>
        <w:t xml:space="preserve">Table </w:t>
      </w:r>
      <w:r w:rsidR="00A675F9" w:rsidRPr="00424860">
        <w:t>2</w:t>
      </w:r>
      <w:r w:rsidR="3E53FEB7" w:rsidRPr="00424860">
        <w:t>: Recruitment difficulty</w:t>
      </w:r>
      <w:r w:rsidR="4A4DEF31" w:rsidRPr="00424860">
        <w:t xml:space="preserve"> reasons</w:t>
      </w:r>
      <w:r w:rsidR="3E53FEB7" w:rsidRPr="00424860">
        <w:t xml:space="preserve">, by </w:t>
      </w:r>
      <w:r w:rsidR="3E53FEB7" w:rsidRPr="004F0CB1">
        <w:t>capital</w:t>
      </w:r>
      <w:r w:rsidR="3E53FEB7" w:rsidRPr="00424860">
        <w:t xml:space="preserve"> city/rest of state, 12 months to </w:t>
      </w:r>
      <w:r w:rsidR="30788DB3" w:rsidRPr="00424860">
        <w:t>July</w:t>
      </w:r>
      <w:r w:rsidR="3E53FEB7" w:rsidRPr="00424860">
        <w:t xml:space="preserve"> 2024  </w:t>
      </w:r>
    </w:p>
    <w:tbl>
      <w:tblPr>
        <w:tblStyle w:val="JSATable1"/>
        <w:tblW w:w="8789" w:type="dxa"/>
        <w:tblLayout w:type="fixed"/>
        <w:tblLook w:val="04A0" w:firstRow="1" w:lastRow="0" w:firstColumn="1" w:lastColumn="0" w:noHBand="0" w:noVBand="1"/>
        <w:tblCaption w:val="Reasons for recruitment difficulty, by capital city/rest of state, 12 months to April 2024"/>
        <w:tblDescription w:val="This table provides the reasons for recruitment difficulty nationally and by capital city and rest of state areas for the 12 months to April 2024. For all regions, employers state that a lack of suitable applicants and undesirable working conditions (hours and wages) are the main reasons for recruitment difficulty. Employers in rest of state areas also state location as being a major driver of recruitment difficulty comparatively to capital city areas."/>
      </w:tblPr>
      <w:tblGrid>
        <w:gridCol w:w="3544"/>
        <w:gridCol w:w="1701"/>
        <w:gridCol w:w="1843"/>
        <w:gridCol w:w="1701"/>
      </w:tblGrid>
      <w:tr w:rsidR="4D4C8DE1" w14:paraId="6E74A1BB" w14:textId="77777777" w:rsidTr="00CD312D">
        <w:trPr>
          <w:cnfStyle w:val="100000000000" w:firstRow="1" w:lastRow="0" w:firstColumn="0" w:lastColumn="0" w:oddVBand="0" w:evenVBand="0" w:oddHBand="0" w:evenHBand="0" w:firstRowFirstColumn="0" w:firstRowLastColumn="0" w:lastRowFirstColumn="0" w:lastRowLastColumn="0"/>
          <w:trHeight w:val="105"/>
        </w:trPr>
        <w:tc>
          <w:tcPr>
            <w:tcW w:w="3544" w:type="dxa"/>
          </w:tcPr>
          <w:p w14:paraId="5181D78A" w14:textId="735C937B" w:rsidR="4D4C8DE1" w:rsidRPr="00424860" w:rsidRDefault="209EDF8A" w:rsidP="4D4C8DE1">
            <w:pPr>
              <w:rPr>
                <w:rFonts w:eastAsia="Arial" w:cs="Arial"/>
                <w:b/>
                <w:color w:val="FFFFFF" w:themeColor="background1"/>
              </w:rPr>
            </w:pPr>
            <w:r w:rsidRPr="00424860">
              <w:rPr>
                <w:rFonts w:eastAsia="Arial" w:cs="Arial"/>
                <w:b/>
                <w:color w:val="FFFFFF" w:themeColor="background1"/>
              </w:rPr>
              <w:t xml:space="preserve">% proportion of employers with difficulty  </w:t>
            </w:r>
          </w:p>
        </w:tc>
        <w:tc>
          <w:tcPr>
            <w:tcW w:w="1701" w:type="dxa"/>
          </w:tcPr>
          <w:p w14:paraId="2BEC2543" w14:textId="5F8DCDB9" w:rsidR="4D4C8DE1" w:rsidRPr="00424860" w:rsidRDefault="209EDF8A" w:rsidP="004F0CB1">
            <w:pPr>
              <w:jc w:val="center"/>
            </w:pPr>
            <w:r w:rsidRPr="00424860">
              <w:t>Capital cities</w:t>
            </w:r>
          </w:p>
        </w:tc>
        <w:tc>
          <w:tcPr>
            <w:tcW w:w="1843" w:type="dxa"/>
          </w:tcPr>
          <w:p w14:paraId="074A6DC8" w14:textId="09706E51" w:rsidR="4D4C8DE1" w:rsidRPr="00424860" w:rsidRDefault="209EDF8A" w:rsidP="004F0CB1">
            <w:pPr>
              <w:jc w:val="center"/>
            </w:pPr>
            <w:r w:rsidRPr="00424860">
              <w:t>Rest of state areas</w:t>
            </w:r>
          </w:p>
        </w:tc>
        <w:tc>
          <w:tcPr>
            <w:tcW w:w="1701" w:type="dxa"/>
          </w:tcPr>
          <w:p w14:paraId="03C0BBA8" w14:textId="4018E43A" w:rsidR="4D4C8DE1" w:rsidRPr="00424860" w:rsidRDefault="209EDF8A" w:rsidP="004F0CB1">
            <w:pPr>
              <w:jc w:val="center"/>
            </w:pPr>
            <w:r w:rsidRPr="00424860">
              <w:t>Australia</w:t>
            </w:r>
          </w:p>
        </w:tc>
      </w:tr>
      <w:tr w:rsidR="215AF755" w14:paraId="7F8ABF77" w14:textId="77777777" w:rsidTr="00CD312D">
        <w:trPr>
          <w:trHeight w:val="105"/>
        </w:trPr>
        <w:tc>
          <w:tcPr>
            <w:tcW w:w="3544" w:type="dxa"/>
          </w:tcPr>
          <w:p w14:paraId="3CCEA87D" w14:textId="0120BA5C" w:rsidR="215AF755" w:rsidRPr="00424860" w:rsidRDefault="6770AFEE" w:rsidP="564C7786">
            <w:pPr>
              <w:rPr>
                <w:rFonts w:eastAsia="Arial" w:cs="Arial"/>
                <w:color w:val="000000" w:themeColor="text1"/>
              </w:rPr>
            </w:pPr>
            <w:r w:rsidRPr="00424860">
              <w:rPr>
                <w:rFonts w:eastAsia="Arial" w:cs="Arial"/>
                <w:color w:val="000000" w:themeColor="text1"/>
              </w:rPr>
              <w:t xml:space="preserve">Lack of suitable applicants </w:t>
            </w:r>
          </w:p>
        </w:tc>
        <w:tc>
          <w:tcPr>
            <w:tcW w:w="1701" w:type="dxa"/>
          </w:tcPr>
          <w:p w14:paraId="0696E50A" w14:textId="55087E41" w:rsidR="0D206279" w:rsidRPr="00CD312D" w:rsidRDefault="0D206279" w:rsidP="004F0CB1">
            <w:pPr>
              <w:jc w:val="center"/>
            </w:pPr>
            <w:r w:rsidRPr="00CD312D">
              <w:t>39%</w:t>
            </w:r>
          </w:p>
        </w:tc>
        <w:tc>
          <w:tcPr>
            <w:tcW w:w="1843" w:type="dxa"/>
          </w:tcPr>
          <w:p w14:paraId="695243DB" w14:textId="0D376E62" w:rsidR="536B93A5" w:rsidRPr="00CD312D" w:rsidRDefault="536B93A5" w:rsidP="004F0CB1">
            <w:pPr>
              <w:jc w:val="center"/>
            </w:pPr>
            <w:r w:rsidRPr="00CD312D">
              <w:t>29%</w:t>
            </w:r>
          </w:p>
        </w:tc>
        <w:tc>
          <w:tcPr>
            <w:tcW w:w="1701" w:type="dxa"/>
          </w:tcPr>
          <w:p w14:paraId="11262F41" w14:textId="6B66717D" w:rsidR="536B93A5" w:rsidRPr="00424860" w:rsidRDefault="536B93A5" w:rsidP="004F0CB1">
            <w:pPr>
              <w:jc w:val="center"/>
            </w:pPr>
            <w:r w:rsidRPr="00424860">
              <w:t>35%</w:t>
            </w:r>
          </w:p>
        </w:tc>
      </w:tr>
      <w:tr w:rsidR="215AF755" w14:paraId="21ED29AF" w14:textId="77777777" w:rsidTr="00CD312D">
        <w:trPr>
          <w:cnfStyle w:val="000000010000" w:firstRow="0" w:lastRow="0" w:firstColumn="0" w:lastColumn="0" w:oddVBand="0" w:evenVBand="0" w:oddHBand="0" w:evenHBand="1" w:firstRowFirstColumn="0" w:firstRowLastColumn="0" w:lastRowFirstColumn="0" w:lastRowLastColumn="0"/>
          <w:trHeight w:val="90"/>
        </w:trPr>
        <w:tc>
          <w:tcPr>
            <w:tcW w:w="3544" w:type="dxa"/>
          </w:tcPr>
          <w:p w14:paraId="22C00FA5" w14:textId="5A5E6B66" w:rsidR="215AF755" w:rsidRPr="00424860" w:rsidRDefault="6770AFEE" w:rsidP="564C7786">
            <w:pPr>
              <w:rPr>
                <w:rFonts w:eastAsia="Arial" w:cs="Arial"/>
              </w:rPr>
            </w:pPr>
            <w:r w:rsidRPr="00424860">
              <w:rPr>
                <w:rFonts w:eastAsia="Arial" w:cs="Arial"/>
              </w:rPr>
              <w:t xml:space="preserve">Lack of applicants </w:t>
            </w:r>
          </w:p>
        </w:tc>
        <w:tc>
          <w:tcPr>
            <w:tcW w:w="1701" w:type="dxa"/>
          </w:tcPr>
          <w:p w14:paraId="535D3187" w14:textId="61A79BC2" w:rsidR="0D206279" w:rsidRPr="00CD312D" w:rsidRDefault="0D206279" w:rsidP="004F0CB1">
            <w:pPr>
              <w:jc w:val="center"/>
            </w:pPr>
            <w:r w:rsidRPr="00CD312D">
              <w:t>15%</w:t>
            </w:r>
          </w:p>
        </w:tc>
        <w:tc>
          <w:tcPr>
            <w:tcW w:w="1843" w:type="dxa"/>
          </w:tcPr>
          <w:p w14:paraId="7D5E47C0" w14:textId="1D327D74" w:rsidR="536B93A5" w:rsidRPr="00CD312D" w:rsidRDefault="536B93A5" w:rsidP="004F0CB1">
            <w:pPr>
              <w:jc w:val="center"/>
            </w:pPr>
            <w:r w:rsidRPr="00CD312D">
              <w:t>24%</w:t>
            </w:r>
          </w:p>
        </w:tc>
        <w:tc>
          <w:tcPr>
            <w:tcW w:w="1701" w:type="dxa"/>
          </w:tcPr>
          <w:p w14:paraId="1701FB51" w14:textId="4E0B75F5" w:rsidR="536B93A5" w:rsidRPr="00424860" w:rsidRDefault="536B93A5" w:rsidP="004F0CB1">
            <w:pPr>
              <w:jc w:val="center"/>
            </w:pPr>
            <w:r w:rsidRPr="00424860">
              <w:t>18%</w:t>
            </w:r>
          </w:p>
        </w:tc>
      </w:tr>
      <w:tr w:rsidR="215AF755" w14:paraId="44183F35" w14:textId="77777777" w:rsidTr="00CD312D">
        <w:trPr>
          <w:trHeight w:val="105"/>
        </w:trPr>
        <w:tc>
          <w:tcPr>
            <w:tcW w:w="3544" w:type="dxa"/>
          </w:tcPr>
          <w:p w14:paraId="1B446A6C" w14:textId="5AE2ECE2" w:rsidR="215AF755" w:rsidRPr="00424860" w:rsidRDefault="6770AFEE" w:rsidP="564C7786">
            <w:pPr>
              <w:rPr>
                <w:rFonts w:eastAsia="Arial" w:cs="Arial"/>
                <w:color w:val="000000" w:themeColor="text1"/>
              </w:rPr>
            </w:pPr>
            <w:r w:rsidRPr="00424860">
              <w:rPr>
                <w:rFonts w:eastAsia="Arial" w:cs="Arial"/>
                <w:color w:val="000000" w:themeColor="text1"/>
              </w:rPr>
              <w:t xml:space="preserve">Undesirable working conditions/hours/wages </w:t>
            </w:r>
          </w:p>
        </w:tc>
        <w:tc>
          <w:tcPr>
            <w:tcW w:w="1701" w:type="dxa"/>
          </w:tcPr>
          <w:p w14:paraId="1336D183" w14:textId="268742C7" w:rsidR="0D206279" w:rsidRPr="00CD312D" w:rsidRDefault="0D206279" w:rsidP="004F0CB1">
            <w:pPr>
              <w:jc w:val="center"/>
            </w:pPr>
            <w:r w:rsidRPr="00CD312D">
              <w:t>23%</w:t>
            </w:r>
          </w:p>
        </w:tc>
        <w:tc>
          <w:tcPr>
            <w:tcW w:w="1843" w:type="dxa"/>
          </w:tcPr>
          <w:p w14:paraId="5BD48A8C" w14:textId="05AB2FEA" w:rsidR="536B93A5" w:rsidRPr="00CD312D" w:rsidRDefault="536B93A5" w:rsidP="004F0CB1">
            <w:pPr>
              <w:jc w:val="center"/>
            </w:pPr>
            <w:r w:rsidRPr="00CD312D">
              <w:t>22%</w:t>
            </w:r>
          </w:p>
        </w:tc>
        <w:tc>
          <w:tcPr>
            <w:tcW w:w="1701" w:type="dxa"/>
          </w:tcPr>
          <w:p w14:paraId="19602366" w14:textId="1E230B5A" w:rsidR="536B93A5" w:rsidRPr="00424860" w:rsidRDefault="536B93A5" w:rsidP="004F0CB1">
            <w:pPr>
              <w:jc w:val="center"/>
            </w:pPr>
            <w:r w:rsidRPr="00424860">
              <w:t>23%</w:t>
            </w:r>
          </w:p>
        </w:tc>
      </w:tr>
      <w:tr w:rsidR="215AF755" w14:paraId="427FDF4F" w14:textId="77777777" w:rsidTr="00CD312D">
        <w:trPr>
          <w:cnfStyle w:val="000000010000" w:firstRow="0" w:lastRow="0" w:firstColumn="0" w:lastColumn="0" w:oddVBand="0" w:evenVBand="0" w:oddHBand="0" w:evenHBand="1" w:firstRowFirstColumn="0" w:firstRowLastColumn="0" w:lastRowFirstColumn="0" w:lastRowLastColumn="0"/>
          <w:trHeight w:val="210"/>
        </w:trPr>
        <w:tc>
          <w:tcPr>
            <w:tcW w:w="3544" w:type="dxa"/>
          </w:tcPr>
          <w:p w14:paraId="41935D27" w14:textId="17990C7F" w:rsidR="215AF755" w:rsidRPr="00424860" w:rsidRDefault="6770AFEE" w:rsidP="564C7786">
            <w:pPr>
              <w:rPr>
                <w:rFonts w:eastAsia="Arial" w:cs="Arial"/>
              </w:rPr>
            </w:pPr>
            <w:r w:rsidRPr="00424860">
              <w:rPr>
                <w:rFonts w:eastAsia="Arial" w:cs="Arial"/>
              </w:rPr>
              <w:t xml:space="preserve">Location </w:t>
            </w:r>
          </w:p>
        </w:tc>
        <w:tc>
          <w:tcPr>
            <w:tcW w:w="1701" w:type="dxa"/>
          </w:tcPr>
          <w:p w14:paraId="5E8FD824" w14:textId="2DD7D1BD" w:rsidR="0D206279" w:rsidRPr="00CD312D" w:rsidRDefault="0D206279" w:rsidP="004F0CB1">
            <w:pPr>
              <w:jc w:val="center"/>
            </w:pPr>
            <w:r w:rsidRPr="00CD312D">
              <w:t>4%</w:t>
            </w:r>
          </w:p>
        </w:tc>
        <w:tc>
          <w:tcPr>
            <w:tcW w:w="1843" w:type="dxa"/>
          </w:tcPr>
          <w:p w14:paraId="29FAC0CC" w14:textId="2DB5EBDA" w:rsidR="536B93A5" w:rsidRPr="00CD312D" w:rsidRDefault="536B93A5" w:rsidP="004F0CB1">
            <w:pPr>
              <w:jc w:val="center"/>
            </w:pPr>
            <w:r w:rsidRPr="00CD312D">
              <w:t>21%</w:t>
            </w:r>
          </w:p>
        </w:tc>
        <w:tc>
          <w:tcPr>
            <w:tcW w:w="1701" w:type="dxa"/>
          </w:tcPr>
          <w:p w14:paraId="0C0BCAA3" w14:textId="225807AA" w:rsidR="536B93A5" w:rsidRPr="00424860" w:rsidRDefault="536B93A5" w:rsidP="004F0CB1">
            <w:pPr>
              <w:jc w:val="center"/>
            </w:pPr>
            <w:r w:rsidRPr="00424860">
              <w:t>11%</w:t>
            </w:r>
          </w:p>
        </w:tc>
      </w:tr>
      <w:tr w:rsidR="215AF755" w14:paraId="3A2DF379" w14:textId="77777777" w:rsidTr="00CD312D">
        <w:trPr>
          <w:trHeight w:val="210"/>
        </w:trPr>
        <w:tc>
          <w:tcPr>
            <w:tcW w:w="3544" w:type="dxa"/>
          </w:tcPr>
          <w:p w14:paraId="56D9F812" w14:textId="56C75340" w:rsidR="215AF755" w:rsidRPr="00424860" w:rsidRDefault="6770AFEE" w:rsidP="564C7786">
            <w:pPr>
              <w:rPr>
                <w:rFonts w:eastAsia="Arial" w:cs="Arial"/>
                <w:color w:val="000000" w:themeColor="text1"/>
              </w:rPr>
            </w:pPr>
            <w:r w:rsidRPr="00424860">
              <w:rPr>
                <w:rFonts w:eastAsia="Arial" w:cs="Arial"/>
                <w:color w:val="000000" w:themeColor="text1"/>
              </w:rPr>
              <w:t xml:space="preserve">Applicants lack technical skills </w:t>
            </w:r>
          </w:p>
        </w:tc>
        <w:tc>
          <w:tcPr>
            <w:tcW w:w="1701" w:type="dxa"/>
          </w:tcPr>
          <w:p w14:paraId="0A8B9D32" w14:textId="7DCEB688" w:rsidR="0D206279" w:rsidRPr="00CD312D" w:rsidRDefault="0D206279" w:rsidP="004F0CB1">
            <w:pPr>
              <w:jc w:val="center"/>
            </w:pPr>
            <w:r w:rsidRPr="00CD312D">
              <w:t>17%</w:t>
            </w:r>
          </w:p>
        </w:tc>
        <w:tc>
          <w:tcPr>
            <w:tcW w:w="1843" w:type="dxa"/>
          </w:tcPr>
          <w:p w14:paraId="37CDA85C" w14:textId="1EEAAA6C" w:rsidR="536B93A5" w:rsidRPr="00CD312D" w:rsidRDefault="536B93A5" w:rsidP="004F0CB1">
            <w:pPr>
              <w:jc w:val="center"/>
            </w:pPr>
            <w:r w:rsidRPr="00CD312D">
              <w:t>15%</w:t>
            </w:r>
          </w:p>
        </w:tc>
        <w:tc>
          <w:tcPr>
            <w:tcW w:w="1701" w:type="dxa"/>
          </w:tcPr>
          <w:p w14:paraId="3C00E431" w14:textId="3D23D753" w:rsidR="536B93A5" w:rsidRPr="00424860" w:rsidRDefault="536B93A5" w:rsidP="004F0CB1">
            <w:pPr>
              <w:jc w:val="center"/>
            </w:pPr>
            <w:r w:rsidRPr="00424860">
              <w:t>16%</w:t>
            </w:r>
          </w:p>
        </w:tc>
      </w:tr>
      <w:tr w:rsidR="215AF755" w14:paraId="4818C161" w14:textId="77777777" w:rsidTr="00CD312D">
        <w:trPr>
          <w:cnfStyle w:val="000000010000" w:firstRow="0" w:lastRow="0" w:firstColumn="0" w:lastColumn="0" w:oddVBand="0" w:evenVBand="0" w:oddHBand="0" w:evenHBand="1" w:firstRowFirstColumn="0" w:firstRowLastColumn="0" w:lastRowFirstColumn="0" w:lastRowLastColumn="0"/>
          <w:trHeight w:val="210"/>
        </w:trPr>
        <w:tc>
          <w:tcPr>
            <w:tcW w:w="3544" w:type="dxa"/>
          </w:tcPr>
          <w:p w14:paraId="0871EBD2" w14:textId="38517465" w:rsidR="215AF755" w:rsidRPr="00424860" w:rsidRDefault="6770AFEE" w:rsidP="564C7786">
            <w:pPr>
              <w:rPr>
                <w:rFonts w:eastAsia="Arial" w:cs="Arial"/>
              </w:rPr>
            </w:pPr>
            <w:r w:rsidRPr="00424860">
              <w:rPr>
                <w:rFonts w:eastAsia="Arial" w:cs="Arial"/>
              </w:rPr>
              <w:t xml:space="preserve">Applicants lack experience </w:t>
            </w:r>
          </w:p>
        </w:tc>
        <w:tc>
          <w:tcPr>
            <w:tcW w:w="1701" w:type="dxa"/>
          </w:tcPr>
          <w:p w14:paraId="162915C2" w14:textId="4FC56909" w:rsidR="0D206279" w:rsidRPr="00CD312D" w:rsidRDefault="0D206279" w:rsidP="004F0CB1">
            <w:pPr>
              <w:jc w:val="center"/>
            </w:pPr>
            <w:r w:rsidRPr="00CD312D">
              <w:t>20%</w:t>
            </w:r>
          </w:p>
        </w:tc>
        <w:tc>
          <w:tcPr>
            <w:tcW w:w="1843" w:type="dxa"/>
          </w:tcPr>
          <w:p w14:paraId="3179CF24" w14:textId="23DCF80C" w:rsidR="536B93A5" w:rsidRPr="00CD312D" w:rsidRDefault="536B93A5" w:rsidP="004F0CB1">
            <w:pPr>
              <w:jc w:val="center"/>
            </w:pPr>
            <w:r w:rsidRPr="00CD312D">
              <w:t>12%</w:t>
            </w:r>
          </w:p>
        </w:tc>
        <w:tc>
          <w:tcPr>
            <w:tcW w:w="1701" w:type="dxa"/>
          </w:tcPr>
          <w:p w14:paraId="73905516" w14:textId="42C46FE6" w:rsidR="536B93A5" w:rsidRPr="00424860" w:rsidRDefault="536B93A5" w:rsidP="004F0CB1">
            <w:pPr>
              <w:jc w:val="center"/>
            </w:pPr>
            <w:r w:rsidRPr="00424860">
              <w:t>17%</w:t>
            </w:r>
          </w:p>
        </w:tc>
      </w:tr>
      <w:tr w:rsidR="215AF755" w14:paraId="5479D64C" w14:textId="77777777" w:rsidTr="00CD312D">
        <w:trPr>
          <w:trHeight w:val="210"/>
        </w:trPr>
        <w:tc>
          <w:tcPr>
            <w:tcW w:w="3544" w:type="dxa"/>
          </w:tcPr>
          <w:p w14:paraId="2CE60A20" w14:textId="197AFA71" w:rsidR="215AF755" w:rsidRPr="00424860" w:rsidRDefault="6770AFEE" w:rsidP="564C7786">
            <w:pPr>
              <w:rPr>
                <w:rFonts w:eastAsia="Arial" w:cs="Arial"/>
                <w:color w:val="000000" w:themeColor="text1"/>
              </w:rPr>
            </w:pPr>
            <w:r w:rsidRPr="00424860">
              <w:rPr>
                <w:rFonts w:eastAsia="Arial" w:cs="Arial"/>
                <w:color w:val="000000" w:themeColor="text1"/>
              </w:rPr>
              <w:t xml:space="preserve">Applicants lack employability skills </w:t>
            </w:r>
          </w:p>
        </w:tc>
        <w:tc>
          <w:tcPr>
            <w:tcW w:w="1701" w:type="dxa"/>
          </w:tcPr>
          <w:p w14:paraId="08C9FB61" w14:textId="69D377F2" w:rsidR="0D206279" w:rsidRPr="00CD312D" w:rsidRDefault="0D206279" w:rsidP="004F0CB1">
            <w:pPr>
              <w:jc w:val="center"/>
            </w:pPr>
            <w:r w:rsidRPr="00CD312D">
              <w:t>4%</w:t>
            </w:r>
          </w:p>
        </w:tc>
        <w:tc>
          <w:tcPr>
            <w:tcW w:w="1843" w:type="dxa"/>
          </w:tcPr>
          <w:p w14:paraId="1884368F" w14:textId="4FC72923" w:rsidR="536B93A5" w:rsidRPr="00CD312D" w:rsidRDefault="536B93A5" w:rsidP="004F0CB1">
            <w:pPr>
              <w:jc w:val="center"/>
            </w:pPr>
            <w:r w:rsidRPr="00CD312D">
              <w:t>4%</w:t>
            </w:r>
          </w:p>
        </w:tc>
        <w:tc>
          <w:tcPr>
            <w:tcW w:w="1701" w:type="dxa"/>
          </w:tcPr>
          <w:p w14:paraId="0546DDCC" w14:textId="19380F97" w:rsidR="536B93A5" w:rsidRPr="00424860" w:rsidRDefault="536B93A5" w:rsidP="004F0CB1">
            <w:pPr>
              <w:jc w:val="center"/>
            </w:pPr>
            <w:r w:rsidRPr="00424860">
              <w:t>4%</w:t>
            </w:r>
          </w:p>
        </w:tc>
      </w:tr>
    </w:tbl>
    <w:p w14:paraId="338A571F" w14:textId="6C628B60" w:rsidR="00E31564" w:rsidRPr="00CD312D" w:rsidRDefault="737643FC" w:rsidP="00CD312D">
      <w:pPr>
        <w:pStyle w:val="Source"/>
        <w:rPr>
          <w:rFonts w:eastAsia="Arial" w:cs="Arial"/>
        </w:rPr>
      </w:pPr>
      <w:r w:rsidRPr="00CD312D">
        <w:rPr>
          <w:rFonts w:asciiTheme="minorHAnsi" w:hAnsiTheme="minorHAnsi" w:cstheme="minorHAnsi"/>
        </w:rPr>
        <w:t xml:space="preserve">Source: Jobs and Skills </w:t>
      </w:r>
      <w:r w:rsidRPr="00CD312D">
        <w:rPr>
          <w:rFonts w:eastAsia="Arial" w:cs="Arial"/>
        </w:rPr>
        <w:t>Australia,</w:t>
      </w:r>
      <w:r w:rsidRPr="00CD312D">
        <w:rPr>
          <w:rFonts w:eastAsia="Arial" w:cs="Arial"/>
          <w:i/>
        </w:rPr>
        <w:t xml:space="preserve"> Recruitment Experiences and Outlook Survey</w:t>
      </w:r>
      <w:r w:rsidRPr="00CD312D">
        <w:rPr>
          <w:rFonts w:eastAsia="Arial" w:cs="Arial"/>
        </w:rPr>
        <w:t xml:space="preserve">, </w:t>
      </w:r>
      <w:r w:rsidR="7B81741E" w:rsidRPr="00CD312D">
        <w:rPr>
          <w:rFonts w:eastAsia="Arial" w:cs="Arial"/>
        </w:rPr>
        <w:t>J</w:t>
      </w:r>
      <w:r w:rsidR="00667EE4" w:rsidRPr="00CD312D">
        <w:rPr>
          <w:rFonts w:eastAsia="Arial" w:cs="Arial"/>
        </w:rPr>
        <w:t>u</w:t>
      </w:r>
      <w:r w:rsidR="7B81741E" w:rsidRPr="00CD312D">
        <w:rPr>
          <w:rFonts w:eastAsia="Arial" w:cs="Arial"/>
        </w:rPr>
        <w:t xml:space="preserve">ly </w:t>
      </w:r>
      <w:r w:rsidRPr="00CD312D">
        <w:rPr>
          <w:rFonts w:eastAsia="Arial" w:cs="Arial"/>
        </w:rPr>
        <w:t>2024</w:t>
      </w:r>
    </w:p>
    <w:p w14:paraId="3495097B" w14:textId="520FD54E" w:rsidR="06850181" w:rsidRPr="00DE721B" w:rsidRDefault="5F296244" w:rsidP="004F0CB1">
      <w:pPr>
        <w:pStyle w:val="Heading3"/>
      </w:pPr>
      <w:r w:rsidRPr="6D16719F">
        <w:t xml:space="preserve">Cross-Border agreements and facilitating employment and skills mobility across state borders </w:t>
      </w:r>
    </w:p>
    <w:p w14:paraId="233FF511" w14:textId="5B4643C6" w:rsidR="1A4A07F5" w:rsidRPr="00CD312D" w:rsidRDefault="186914C7" w:rsidP="00CD312D">
      <w:r w:rsidRPr="00CD312D">
        <w:t>In September 202</w:t>
      </w:r>
      <w:r w:rsidR="60A9BCB7" w:rsidRPr="00CD312D">
        <w:t>0, t</w:t>
      </w:r>
      <w:r w:rsidR="079820DF" w:rsidRPr="00CD312D">
        <w:t xml:space="preserve">he New South Wales and Victorian governments </w:t>
      </w:r>
      <w:r w:rsidRPr="00CD312D">
        <w:t xml:space="preserve">released </w:t>
      </w:r>
      <w:r w:rsidR="079820DF" w:rsidRPr="00CD312D">
        <w:t>the Memorandum of Understanding for Cross-Border Collaboration 2019-2021</w:t>
      </w:r>
      <w:r w:rsidR="2C236AC6" w:rsidRPr="009C5C6F">
        <w:rPr>
          <w:vertAlign w:val="superscript"/>
        </w:rPr>
        <w:footnoteReference w:id="38"/>
      </w:r>
      <w:r w:rsidR="60A9BCB7" w:rsidRPr="00CD312D">
        <w:t xml:space="preserve"> which</w:t>
      </w:r>
      <w:r w:rsidR="079820DF" w:rsidRPr="00CD312D">
        <w:t xml:space="preserve"> acknowledged the importance and interdependence of border regions, such as Albury and Wodonga, and the ongoing need to work collaboratively to improve social and economic outcomes of those living within these closely aligned regions.</w:t>
      </w:r>
    </w:p>
    <w:p w14:paraId="0CD7C638" w14:textId="18FD26F9" w:rsidR="06850181" w:rsidRPr="00CD312D" w:rsidRDefault="5F296244" w:rsidP="00CD312D">
      <w:r w:rsidRPr="00CD312D">
        <w:t xml:space="preserve">Along with the development of collaborative strategies for economic development, infrastructure management, and service delivery, some key issues were addressed by the agreement. Aside from regulatory burdens, access to education and training and the recognition of skills across borders were viewed as imperative. Noted as ways to facilitating employment and skills mobility, are such measures as the recognition of accreditations issued in neighbouring jurisdictions, such as Responsible Service of Alcohol (RSA). This is being done via the development of an online bridging course for applicants and changes to Victorian RSA training to allow Victorian RSA holders to be eligible for </w:t>
      </w:r>
      <w:r w:rsidR="6C250F93" w:rsidRPr="00CD312D">
        <w:t xml:space="preserve">a NSW certificate of competency. </w:t>
      </w:r>
      <w:r w:rsidRPr="00CD312D">
        <w:t>The alignment of programs and program delivery between states’ TAFEs and training providers is an important measure that will further enhance mobility.</w:t>
      </w:r>
    </w:p>
    <w:p w14:paraId="037CDDC9" w14:textId="38926DBE" w:rsidR="2C236AC6" w:rsidRPr="00CD312D" w:rsidRDefault="5F296244" w:rsidP="00CD312D">
      <w:r w:rsidRPr="00CD312D">
        <w:t>In August 2021, some 19% of employed residents in Albury worked in Wodonga, while 28% of Wodonga’s employed residents worked in Albury</w:t>
      </w:r>
      <w:r w:rsidR="079820DF" w:rsidRPr="00CD312D">
        <w:t>.</w:t>
      </w:r>
      <w:r w:rsidR="6C250F93" w:rsidRPr="00CD312D">
        <w:t xml:space="preserve"> Some 20% of Technicians and Trades Workers living in Albury worked in Wodonga and some 22% of Technicians and Trades Workers living in Wodonga worked in Albury.</w:t>
      </w:r>
      <w:r w:rsidRPr="00CD312D">
        <w:t xml:space="preserve"> Community and Personal Service Workers, an occupation group which includes Aged and Disabled Carers, Child Carers, and Bar Attendants and Baristas, also commonly crossed the border to the neighbouring LGA to work (17% of those living in Albury and 31% of those living in Wodonga).</w:t>
      </w:r>
      <w:r w:rsidR="06850181" w:rsidRPr="00CD312D">
        <w:rPr>
          <w:vertAlign w:val="superscript"/>
        </w:rPr>
        <w:footnoteReference w:id="39"/>
      </w:r>
    </w:p>
    <w:p w14:paraId="4EF728DB" w14:textId="26F70ACF" w:rsidR="00760C39" w:rsidRPr="00310CE1" w:rsidRDefault="00D62AA4" w:rsidP="00D62AA4">
      <w:pPr>
        <w:pStyle w:val="Heading2"/>
        <w:rPr>
          <w:rFonts w:asciiTheme="majorHAnsi" w:hAnsiTheme="majorHAnsi"/>
        </w:rPr>
      </w:pPr>
      <w:bookmarkStart w:id="53" w:name="_Toc171937430"/>
      <w:bookmarkStart w:id="54" w:name="_Toc178173735"/>
      <w:r w:rsidRPr="093FE8B8">
        <w:rPr>
          <w:rFonts w:asciiTheme="majorHAnsi" w:hAnsiTheme="majorHAnsi"/>
        </w:rPr>
        <w:t>S</w:t>
      </w:r>
      <w:r w:rsidR="00760C39" w:rsidRPr="093FE8B8">
        <w:rPr>
          <w:rFonts w:asciiTheme="majorHAnsi" w:hAnsiTheme="majorHAnsi"/>
        </w:rPr>
        <w:t>upply and demand for occupations in regional Australia</w:t>
      </w:r>
      <w:bookmarkEnd w:id="53"/>
      <w:bookmarkEnd w:id="54"/>
    </w:p>
    <w:p w14:paraId="46F66D05" w14:textId="1B68108C" w:rsidR="00760C39" w:rsidRDefault="00C544F8" w:rsidP="00CD312D">
      <w:r w:rsidRPr="0C7E9F81">
        <w:t>A range of datasets can be brought</w:t>
      </w:r>
      <w:r w:rsidRPr="28D5FE8A">
        <w:t xml:space="preserve"> together to look at key common occupations and the e</w:t>
      </w:r>
      <w:r w:rsidR="00940F93" w:rsidRPr="28D5FE8A">
        <w:t>xtent that they are in shortage</w:t>
      </w:r>
      <w:r w:rsidR="008D0DC1" w:rsidRPr="28D5FE8A">
        <w:t xml:space="preserve"> </w:t>
      </w:r>
      <w:r w:rsidR="00D96F20" w:rsidRPr="28D5FE8A">
        <w:t xml:space="preserve">to provide a sense </w:t>
      </w:r>
      <w:r w:rsidR="00E93CF3" w:rsidRPr="28D5FE8A">
        <w:t>of labour demand pressures</w:t>
      </w:r>
      <w:r w:rsidR="00884C5E" w:rsidRPr="28D5FE8A">
        <w:t xml:space="preserve">. We have used the </w:t>
      </w:r>
      <w:r w:rsidR="00760C39" w:rsidRPr="28D5FE8A">
        <w:t xml:space="preserve">JSA </w:t>
      </w:r>
      <w:hyperlink r:id="rId74">
        <w:r w:rsidR="0CCF4DB8" w:rsidRPr="28D5FE8A">
          <w:rPr>
            <w:rStyle w:val="Hyperlink"/>
            <w:rFonts w:eastAsia="Arial" w:cs="Arial"/>
            <w:color w:val="013D74"/>
          </w:rPr>
          <w:t>Nowcast of Employment by Region and Occupation (NERO)</w:t>
        </w:r>
      </w:hyperlink>
      <w:r w:rsidR="00760C39" w:rsidRPr="28D5FE8A">
        <w:t xml:space="preserve"> and the</w:t>
      </w:r>
      <w:r w:rsidR="00CD312D">
        <w:t xml:space="preserve"> JSA IVI</w:t>
      </w:r>
      <w:r w:rsidR="00630868" w:rsidRPr="28D5FE8A">
        <w:t>, supplemented with the</w:t>
      </w:r>
      <w:r w:rsidR="00760C39" w:rsidRPr="28D5FE8A">
        <w:t xml:space="preserve"> findings from the JSA </w:t>
      </w:r>
      <w:r w:rsidR="00446096" w:rsidRPr="28D5FE8A">
        <w:t>SPL</w:t>
      </w:r>
      <w:r w:rsidR="00760C39" w:rsidRPr="28D5FE8A">
        <w:t xml:space="preserve"> and other data sources to provide a general overview of demand and shortage for key occupations, particularly those that have had more persistent skills shortages.</w:t>
      </w:r>
      <w:r w:rsidR="00032A48">
        <w:t xml:space="preserve"> </w:t>
      </w:r>
      <w:bookmarkStart w:id="55" w:name="_Int_b8SfQDty"/>
      <w:r w:rsidR="00032A48">
        <w:t>For the purpose of</w:t>
      </w:r>
      <w:bookmarkEnd w:id="55"/>
      <w:r w:rsidR="00032A48">
        <w:t xml:space="preserve"> the analysis below</w:t>
      </w:r>
      <w:r w:rsidR="00E328AD">
        <w:t xml:space="preserve">, ‘regional’ comprises </w:t>
      </w:r>
      <w:r w:rsidR="008A1E29">
        <w:t xml:space="preserve">an aggregate of </w:t>
      </w:r>
      <w:r w:rsidR="00E328AD">
        <w:t xml:space="preserve">all </w:t>
      </w:r>
      <w:r w:rsidR="008A1E29">
        <w:t>SA4</w:t>
      </w:r>
      <w:r w:rsidR="00E328AD">
        <w:t xml:space="preserve"> regions</w:t>
      </w:r>
      <w:r w:rsidR="0070696D">
        <w:t xml:space="preserve"> outside of </w:t>
      </w:r>
      <w:r w:rsidR="0022634E">
        <w:t>greater capital city areas</w:t>
      </w:r>
      <w:r w:rsidR="00CD312D">
        <w:t>, and as an aggregate does not show variations between regions. There is an opportunity for JA to explore this regional variation in more detail at a later stage</w:t>
      </w:r>
      <w:r w:rsidR="00E328AD">
        <w:t>.</w:t>
      </w:r>
      <w:r w:rsidR="00577B7B">
        <w:t xml:space="preserve"> It is also important to note that the </w:t>
      </w:r>
      <w:r w:rsidR="00577B7B" w:rsidRPr="34AA12DF">
        <w:t>estimated vacancy</w:t>
      </w:r>
      <w:r w:rsidR="00577B7B">
        <w:t xml:space="preserve"> and vacancy</w:t>
      </w:r>
      <w:r w:rsidR="00C41D6D" w:rsidRPr="34AA12DF">
        <w:t xml:space="preserve"> rate</w:t>
      </w:r>
      <w:r w:rsidR="00577B7B">
        <w:t xml:space="preserve"> figures presented in the tables below are likely to be underrepresented </w:t>
      </w:r>
      <w:r w:rsidR="00AD1FA3">
        <w:t>in regional areas due to a lower proportion of employers using online job</w:t>
      </w:r>
      <w:r w:rsidR="005175FD">
        <w:t>s boards for advertising vacancies (relative to capital city areas).</w:t>
      </w:r>
      <w:r w:rsidR="005175FD">
        <w:rPr>
          <w:rStyle w:val="FootnoteReference"/>
          <w:rFonts w:eastAsia="Arial" w:cs="Arial"/>
        </w:rPr>
        <w:footnoteReference w:id="40"/>
      </w:r>
    </w:p>
    <w:p w14:paraId="26645CEF" w14:textId="16BC98D6" w:rsidR="000D30E3" w:rsidRDefault="6B1F3BFC" w:rsidP="00CD312D">
      <w:pPr>
        <w:rPr>
          <w:color w:val="013D74"/>
          <w:u w:val="single"/>
          <w:vertAlign w:val="superscript"/>
        </w:rPr>
      </w:pPr>
      <w:r w:rsidRPr="28D5FE8A">
        <w:t xml:space="preserve">Table </w:t>
      </w:r>
      <w:r w:rsidR="00A675F9">
        <w:t>3</w:t>
      </w:r>
      <w:r w:rsidRPr="28D5FE8A">
        <w:t xml:space="preserve"> shows </w:t>
      </w:r>
      <w:r w:rsidR="41B51D58" w:rsidRPr="28D5FE8A">
        <w:t xml:space="preserve">that </w:t>
      </w:r>
      <w:r w:rsidRPr="28D5FE8A">
        <w:t xml:space="preserve">eight out of the top </w:t>
      </w:r>
      <w:r w:rsidR="001A14AE">
        <w:t>fifteen</w:t>
      </w:r>
      <w:r w:rsidRPr="28D5FE8A">
        <w:t xml:space="preserve"> </w:t>
      </w:r>
      <w:r w:rsidR="4711DC45" w:rsidRPr="28D5FE8A">
        <w:t>most common</w:t>
      </w:r>
      <w:r w:rsidRPr="28D5FE8A">
        <w:t xml:space="preserve"> skill level 1 occupations in regional Australia are in national shortage, and one </w:t>
      </w:r>
      <w:r w:rsidR="4B1F2703" w:rsidRPr="28D5FE8A">
        <w:t>is</w:t>
      </w:r>
      <w:r w:rsidRPr="28D5FE8A">
        <w:t xml:space="preserve"> in shortage in some states/territories. Typically, shortages for skill level 1 occupations are driven by a Long Training Gap, </w:t>
      </w:r>
      <w:r w:rsidR="4711DC45" w:rsidRPr="28D5FE8A">
        <w:t>those where there are</w:t>
      </w:r>
      <w:r w:rsidRPr="28D5FE8A">
        <w:t xml:space="preserve"> few qualified applicants per vacancy and long training pathways given the higher qualification requirements</w:t>
      </w:r>
      <w:r w:rsidR="191B5E5A" w:rsidRPr="1B512C58">
        <w:t>.</w:t>
      </w:r>
      <w:r w:rsidR="00760C39" w:rsidRPr="1B512C58">
        <w:rPr>
          <w:color w:val="013D74"/>
          <w:u w:val="single"/>
          <w:vertAlign w:val="superscript"/>
        </w:rPr>
        <w:footnoteReference w:id="41"/>
      </w:r>
    </w:p>
    <w:p w14:paraId="5B865013" w14:textId="77777777" w:rsidR="004F0CB1" w:rsidRDefault="004F0CB1">
      <w:pPr>
        <w:spacing w:after="120" w:line="276" w:lineRule="auto"/>
        <w:rPr>
          <w:rFonts w:asciiTheme="minorHAnsi" w:hAnsiTheme="minorHAnsi" w:cstheme="minorHAnsi"/>
          <w:b/>
          <w:bCs/>
          <w:sz w:val="20"/>
          <w:szCs w:val="20"/>
        </w:rPr>
      </w:pPr>
      <w:r>
        <w:rPr>
          <w:rFonts w:asciiTheme="minorHAnsi" w:hAnsiTheme="minorHAnsi" w:cstheme="minorHAnsi"/>
          <w:szCs w:val="20"/>
        </w:rPr>
        <w:br w:type="page"/>
      </w:r>
    </w:p>
    <w:p w14:paraId="54E1FEE1" w14:textId="7A85010D" w:rsidR="00760C39" w:rsidRPr="008218DB" w:rsidRDefault="1305FDEB" w:rsidP="004F0CB1">
      <w:pPr>
        <w:pStyle w:val="Caption"/>
      </w:pPr>
      <w:r w:rsidRPr="008218DB">
        <w:t xml:space="preserve">Table </w:t>
      </w:r>
      <w:r w:rsidR="00A675F9" w:rsidRPr="008218DB">
        <w:t>3</w:t>
      </w:r>
      <w:r w:rsidR="4E5C0798" w:rsidRPr="008218DB">
        <w:t>: Top</w:t>
      </w:r>
      <w:r w:rsidR="00CD312D">
        <w:t xml:space="preserve"> 8</w:t>
      </w:r>
      <w:r w:rsidR="4E5C0798" w:rsidRPr="008218DB">
        <w:t xml:space="preserve"> </w:t>
      </w:r>
      <w:r w:rsidR="4E5C0798" w:rsidRPr="004F0CB1">
        <w:t>employing</w:t>
      </w:r>
      <w:r w:rsidR="4E5C0798" w:rsidRPr="008218DB">
        <w:t xml:space="preserve"> skill level 1 occupations in regional Australia</w:t>
      </w:r>
      <w:r w:rsidR="00CD312D">
        <w:t xml:space="preserve"> in national shortage,</w:t>
      </w:r>
      <w:r w:rsidR="4E5C0798" w:rsidRPr="008218DB">
        <w:t xml:space="preserve"> female</w:t>
      </w:r>
      <w:r w:rsidR="4E5C0798" w:rsidRPr="006276E2">
        <w:rPr>
          <w:rFonts w:asciiTheme="majorHAnsi" w:hAnsiTheme="majorHAnsi" w:cstheme="majorHAnsi"/>
        </w:rPr>
        <w:t xml:space="preserve"> </w:t>
      </w:r>
      <w:r w:rsidR="4E5C0798" w:rsidRPr="008218DB">
        <w:t>employment share, IVI vacancies, and vacancy rates</w:t>
      </w:r>
    </w:p>
    <w:tbl>
      <w:tblPr>
        <w:tblStyle w:val="JSATable1"/>
        <w:tblW w:w="0" w:type="auto"/>
        <w:tblLook w:val="04A0" w:firstRow="1" w:lastRow="0" w:firstColumn="1" w:lastColumn="0" w:noHBand="0" w:noVBand="1"/>
        <w:tblCaption w:val="Top fifteen employing skill level one occupations in regional Australia by various indicators"/>
        <w:tblDescription w:val="This table shows the top 15 employing skill level one occupations in regional Australia. For each of the listed occupations, the female share of employment, the skills shortage ratings, estimated vacancies and the vacancy rates are provided."/>
      </w:tblPr>
      <w:tblGrid>
        <w:gridCol w:w="2713"/>
        <w:gridCol w:w="1468"/>
        <w:gridCol w:w="1893"/>
        <w:gridCol w:w="1559"/>
        <w:gridCol w:w="1393"/>
      </w:tblGrid>
      <w:tr w:rsidR="00CD312D" w14:paraId="5074268D" w14:textId="77777777" w:rsidTr="007B4E0D">
        <w:trPr>
          <w:cnfStyle w:val="100000000000" w:firstRow="1" w:lastRow="0" w:firstColumn="0" w:lastColumn="0" w:oddVBand="0" w:evenVBand="0" w:oddHBand="0" w:evenHBand="0" w:firstRowFirstColumn="0" w:firstRowLastColumn="0" w:lastRowFirstColumn="0" w:lastRowLastColumn="0"/>
          <w:trHeight w:val="1305"/>
        </w:trPr>
        <w:tc>
          <w:tcPr>
            <w:tcW w:w="0" w:type="auto"/>
          </w:tcPr>
          <w:p w14:paraId="349C5FCB" w14:textId="59AF12CE" w:rsidR="00CD312D" w:rsidRPr="00CD312D" w:rsidRDefault="00610E90">
            <w:pPr>
              <w:rPr>
                <w:rFonts w:asciiTheme="minorHAnsi" w:hAnsiTheme="minorHAnsi" w:cstheme="minorHAnsi"/>
              </w:rPr>
            </w:pPr>
            <w:r>
              <w:rPr>
                <w:rFonts w:asciiTheme="minorHAnsi" w:hAnsiTheme="minorHAnsi" w:cstheme="minorHAnsi"/>
              </w:rPr>
              <w:t>Occupation</w:t>
            </w:r>
          </w:p>
        </w:tc>
        <w:tc>
          <w:tcPr>
            <w:tcW w:w="0" w:type="auto"/>
          </w:tcPr>
          <w:p w14:paraId="6DC0806F" w14:textId="3D448226" w:rsidR="00CD312D" w:rsidRPr="00CD312D" w:rsidRDefault="00CD312D" w:rsidP="003D070F">
            <w:r w:rsidRPr="00CD312D">
              <w:t>Employed Persons</w:t>
            </w:r>
            <w:r w:rsidRPr="00CD312D">
              <w:br/>
              <w:t xml:space="preserve"> Regional Australia</w:t>
            </w:r>
            <w:r w:rsidRPr="00CD312D">
              <w:br/>
              <w:t xml:space="preserve"> July 202</w:t>
            </w:r>
            <w:r>
              <w:t>4</w:t>
            </w:r>
          </w:p>
        </w:tc>
        <w:tc>
          <w:tcPr>
            <w:tcW w:w="0" w:type="auto"/>
          </w:tcPr>
          <w:p w14:paraId="50D6A2E7" w14:textId="5BA3CA03" w:rsidR="00CD312D" w:rsidRPr="00CD312D" w:rsidRDefault="00CD312D" w:rsidP="003D070F">
            <w:r w:rsidRPr="00CD312D">
              <w:t>Female Employment Share</w:t>
            </w:r>
            <w:r w:rsidRPr="00CD312D">
              <w:br/>
              <w:t xml:space="preserve"> Regional Australia</w:t>
            </w:r>
            <w:r w:rsidRPr="00CD312D">
              <w:br/>
              <w:t xml:space="preserve"> August 2021 </w:t>
            </w:r>
          </w:p>
        </w:tc>
        <w:tc>
          <w:tcPr>
            <w:tcW w:w="0" w:type="auto"/>
          </w:tcPr>
          <w:p w14:paraId="2F11705E" w14:textId="77777777" w:rsidR="009E1D32" w:rsidRDefault="00CD312D" w:rsidP="003D070F">
            <w:r w:rsidRPr="00CD312D">
              <w:t>Estimated Vacancies</w:t>
            </w:r>
            <w:r w:rsidRPr="00CD312D">
              <w:br/>
              <w:t xml:space="preserve"> Regional Australia </w:t>
            </w:r>
          </w:p>
          <w:p w14:paraId="2787CA90" w14:textId="27C4417F" w:rsidR="00CD312D" w:rsidRPr="00CD312D" w:rsidRDefault="00CD312D" w:rsidP="003D070F">
            <w:r w:rsidRPr="00CD312D">
              <w:t>July 202</w:t>
            </w:r>
            <w:r>
              <w:t>4</w:t>
            </w:r>
          </w:p>
        </w:tc>
        <w:tc>
          <w:tcPr>
            <w:tcW w:w="0" w:type="auto"/>
          </w:tcPr>
          <w:p w14:paraId="5433287C" w14:textId="77777777" w:rsidR="009E1D32" w:rsidRDefault="00CD312D" w:rsidP="003D070F">
            <w:r w:rsidRPr="00CD312D">
              <w:t>Vacancy rate</w:t>
            </w:r>
            <w:r w:rsidRPr="00CD312D">
              <w:br/>
              <w:t xml:space="preserve"> Regional Australia </w:t>
            </w:r>
          </w:p>
          <w:p w14:paraId="29905E30" w14:textId="4B1087B6" w:rsidR="00CD312D" w:rsidRPr="00CD312D" w:rsidRDefault="00CD312D" w:rsidP="003D070F">
            <w:r w:rsidRPr="00CD312D">
              <w:t>July 2024</w:t>
            </w:r>
          </w:p>
        </w:tc>
      </w:tr>
      <w:tr w:rsidR="00CD312D" w14:paraId="1C01FF16" w14:textId="77777777" w:rsidTr="000C7829">
        <w:trPr>
          <w:trHeight w:val="300"/>
        </w:trPr>
        <w:tc>
          <w:tcPr>
            <w:tcW w:w="0" w:type="auto"/>
            <w:shd w:val="clear" w:color="auto" w:fill="E0D1F5"/>
            <w:vAlign w:val="center"/>
          </w:tcPr>
          <w:p w14:paraId="2DEA8DB9" w14:textId="4FE960AA"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Registered Nurses</w:t>
            </w:r>
          </w:p>
        </w:tc>
        <w:tc>
          <w:tcPr>
            <w:tcW w:w="0" w:type="auto"/>
            <w:shd w:val="clear" w:color="auto" w:fill="E0D1F5"/>
            <w:vAlign w:val="center"/>
          </w:tcPr>
          <w:p w14:paraId="5DCC57A2" w14:textId="1488B82F"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117,673</w:t>
            </w:r>
          </w:p>
        </w:tc>
        <w:tc>
          <w:tcPr>
            <w:tcW w:w="0" w:type="auto"/>
            <w:shd w:val="clear" w:color="auto" w:fill="E0D1F5"/>
            <w:vAlign w:val="center"/>
          </w:tcPr>
          <w:p w14:paraId="21D10CA4" w14:textId="415F38AB"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89%</w:t>
            </w:r>
          </w:p>
        </w:tc>
        <w:tc>
          <w:tcPr>
            <w:tcW w:w="0" w:type="auto"/>
            <w:shd w:val="clear" w:color="auto" w:fill="E0D1F5"/>
            <w:vAlign w:val="center"/>
          </w:tcPr>
          <w:p w14:paraId="220DE445" w14:textId="48E43548"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2902</w:t>
            </w:r>
          </w:p>
        </w:tc>
        <w:tc>
          <w:tcPr>
            <w:tcW w:w="0" w:type="auto"/>
            <w:shd w:val="clear" w:color="auto" w:fill="E0D1F5"/>
            <w:vAlign w:val="center"/>
          </w:tcPr>
          <w:p w14:paraId="1D07C452" w14:textId="2F65CB5B"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2.5%</w:t>
            </w:r>
          </w:p>
        </w:tc>
      </w:tr>
      <w:tr w:rsidR="00CD312D" w14:paraId="0C8A1DAE" w14:textId="77777777" w:rsidTr="000C7829">
        <w:trPr>
          <w:cnfStyle w:val="000000010000" w:firstRow="0" w:lastRow="0" w:firstColumn="0" w:lastColumn="0" w:oddVBand="0" w:evenVBand="0" w:oddHBand="0" w:evenHBand="1" w:firstRowFirstColumn="0" w:firstRowLastColumn="0" w:lastRowFirstColumn="0" w:lastRowLastColumn="0"/>
          <w:trHeight w:val="300"/>
        </w:trPr>
        <w:tc>
          <w:tcPr>
            <w:tcW w:w="0" w:type="auto"/>
            <w:shd w:val="clear" w:color="auto" w:fill="E0D1F5"/>
            <w:vAlign w:val="center"/>
          </w:tcPr>
          <w:p w14:paraId="5FBA22FB" w14:textId="7AA6BBB6"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Primary School Teachers</w:t>
            </w:r>
          </w:p>
        </w:tc>
        <w:tc>
          <w:tcPr>
            <w:tcW w:w="0" w:type="auto"/>
            <w:shd w:val="clear" w:color="auto" w:fill="E0D1F5"/>
            <w:vAlign w:val="center"/>
          </w:tcPr>
          <w:p w14:paraId="5796B628" w14:textId="6165CA65"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54,270</w:t>
            </w:r>
          </w:p>
        </w:tc>
        <w:tc>
          <w:tcPr>
            <w:tcW w:w="0" w:type="auto"/>
            <w:shd w:val="clear" w:color="auto" w:fill="E0D1F5"/>
            <w:vAlign w:val="center"/>
          </w:tcPr>
          <w:p w14:paraId="2A6F8C54" w14:textId="17844DBF"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85%</w:t>
            </w:r>
          </w:p>
        </w:tc>
        <w:tc>
          <w:tcPr>
            <w:tcW w:w="0" w:type="auto"/>
            <w:shd w:val="clear" w:color="auto" w:fill="E0D1F5"/>
            <w:vAlign w:val="center"/>
          </w:tcPr>
          <w:p w14:paraId="4756FEF8" w14:textId="2D731B4C"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169</w:t>
            </w:r>
          </w:p>
        </w:tc>
        <w:tc>
          <w:tcPr>
            <w:tcW w:w="0" w:type="auto"/>
            <w:shd w:val="clear" w:color="auto" w:fill="E0D1F5"/>
            <w:vAlign w:val="center"/>
          </w:tcPr>
          <w:p w14:paraId="1C29A803" w14:textId="550D8AE1"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0.3%</w:t>
            </w:r>
          </w:p>
        </w:tc>
      </w:tr>
      <w:tr w:rsidR="00CD312D" w14:paraId="4E026D0A" w14:textId="77777777" w:rsidTr="000C7829">
        <w:trPr>
          <w:trHeight w:val="390"/>
        </w:trPr>
        <w:tc>
          <w:tcPr>
            <w:tcW w:w="0" w:type="auto"/>
            <w:shd w:val="clear" w:color="auto" w:fill="E0D1F5"/>
            <w:vAlign w:val="center"/>
          </w:tcPr>
          <w:p w14:paraId="13DE8F21" w14:textId="314FC590"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Secondary School Teachers</w:t>
            </w:r>
          </w:p>
        </w:tc>
        <w:tc>
          <w:tcPr>
            <w:tcW w:w="0" w:type="auto"/>
            <w:shd w:val="clear" w:color="auto" w:fill="E0D1F5"/>
            <w:vAlign w:val="center"/>
          </w:tcPr>
          <w:p w14:paraId="291008D1" w14:textId="0F9809E0"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49,582</w:t>
            </w:r>
          </w:p>
        </w:tc>
        <w:tc>
          <w:tcPr>
            <w:tcW w:w="0" w:type="auto"/>
            <w:shd w:val="clear" w:color="auto" w:fill="E0D1F5"/>
            <w:vAlign w:val="center"/>
          </w:tcPr>
          <w:p w14:paraId="180C5C3C" w14:textId="379BB99E"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61%</w:t>
            </w:r>
          </w:p>
        </w:tc>
        <w:tc>
          <w:tcPr>
            <w:tcW w:w="0" w:type="auto"/>
            <w:shd w:val="clear" w:color="auto" w:fill="E0D1F5"/>
            <w:vAlign w:val="center"/>
          </w:tcPr>
          <w:p w14:paraId="2848E5A8" w14:textId="6E2439FD"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222</w:t>
            </w:r>
          </w:p>
        </w:tc>
        <w:tc>
          <w:tcPr>
            <w:tcW w:w="0" w:type="auto"/>
            <w:shd w:val="clear" w:color="auto" w:fill="E0D1F5"/>
            <w:vAlign w:val="center"/>
          </w:tcPr>
          <w:p w14:paraId="2F378043" w14:textId="2ACB3B73"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0.4%</w:t>
            </w:r>
          </w:p>
        </w:tc>
      </w:tr>
      <w:tr w:rsidR="00CD312D" w14:paraId="3B96DAF2" w14:textId="77777777" w:rsidTr="000C7829">
        <w:trPr>
          <w:cnfStyle w:val="000000010000" w:firstRow="0" w:lastRow="0" w:firstColumn="0" w:lastColumn="0" w:oddVBand="0" w:evenVBand="0" w:oddHBand="0" w:evenHBand="1" w:firstRowFirstColumn="0" w:firstRowLastColumn="0" w:lastRowFirstColumn="0" w:lastRowLastColumn="0"/>
          <w:trHeight w:val="570"/>
        </w:trPr>
        <w:tc>
          <w:tcPr>
            <w:tcW w:w="0" w:type="auto"/>
            <w:shd w:val="clear" w:color="auto" w:fill="CFE9FA"/>
            <w:vAlign w:val="center"/>
          </w:tcPr>
          <w:p w14:paraId="07D75CCB" w14:textId="71D4782E"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Construction Managers</w:t>
            </w:r>
          </w:p>
        </w:tc>
        <w:tc>
          <w:tcPr>
            <w:tcW w:w="0" w:type="auto"/>
            <w:shd w:val="clear" w:color="auto" w:fill="CFE9FA"/>
            <w:vAlign w:val="center"/>
          </w:tcPr>
          <w:p w14:paraId="20357200" w14:textId="1316F774"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41,644</w:t>
            </w:r>
          </w:p>
        </w:tc>
        <w:tc>
          <w:tcPr>
            <w:tcW w:w="0" w:type="auto"/>
            <w:shd w:val="clear" w:color="auto" w:fill="CFE9FA"/>
            <w:vAlign w:val="center"/>
          </w:tcPr>
          <w:p w14:paraId="7B37B326" w14:textId="5865EC11"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7%</w:t>
            </w:r>
          </w:p>
        </w:tc>
        <w:tc>
          <w:tcPr>
            <w:tcW w:w="0" w:type="auto"/>
            <w:shd w:val="clear" w:color="auto" w:fill="CFE9FA"/>
            <w:vAlign w:val="center"/>
          </w:tcPr>
          <w:p w14:paraId="746ACEC8" w14:textId="214DB0F6"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683</w:t>
            </w:r>
          </w:p>
        </w:tc>
        <w:tc>
          <w:tcPr>
            <w:tcW w:w="0" w:type="auto"/>
            <w:shd w:val="clear" w:color="auto" w:fill="CFE9FA"/>
            <w:vAlign w:val="center"/>
          </w:tcPr>
          <w:p w14:paraId="20AB17F7" w14:textId="12CA838E"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1.6%</w:t>
            </w:r>
          </w:p>
        </w:tc>
      </w:tr>
      <w:tr w:rsidR="00CD312D" w14:paraId="22E3AC1E" w14:textId="77777777" w:rsidTr="000C7829">
        <w:trPr>
          <w:trHeight w:val="405"/>
        </w:trPr>
        <w:tc>
          <w:tcPr>
            <w:tcW w:w="0" w:type="auto"/>
            <w:shd w:val="clear" w:color="auto" w:fill="CFE9FA"/>
            <w:vAlign w:val="center"/>
          </w:tcPr>
          <w:p w14:paraId="2A024B10" w14:textId="2FE26581" w:rsidR="00CD312D" w:rsidRPr="00CD312D" w:rsidRDefault="00CD312D" w:rsidP="6521FDC6">
            <w:pPr>
              <w:rPr>
                <w:rFonts w:asciiTheme="minorHAnsi" w:eastAsia="Aptos Narrow" w:hAnsiTheme="minorHAnsi" w:cstheme="minorHAnsi"/>
                <w:color w:val="000000" w:themeColor="text1"/>
              </w:rPr>
            </w:pPr>
            <w:r w:rsidRPr="00CD312D">
              <w:rPr>
                <w:rFonts w:asciiTheme="minorHAnsi" w:eastAsia="Aptos Narrow" w:hAnsiTheme="minorHAnsi" w:cstheme="minorHAnsi"/>
                <w:color w:val="000000" w:themeColor="text1"/>
              </w:rPr>
              <w:t>Advertising and Sales Managers</w:t>
            </w:r>
          </w:p>
        </w:tc>
        <w:tc>
          <w:tcPr>
            <w:tcW w:w="0" w:type="auto"/>
            <w:shd w:val="clear" w:color="auto" w:fill="CFE9FA"/>
            <w:vAlign w:val="center"/>
          </w:tcPr>
          <w:p w14:paraId="35066314" w14:textId="06BA93CF" w:rsidR="00CD312D" w:rsidRPr="00CD312D" w:rsidRDefault="00CD312D" w:rsidP="00C05639">
            <w:pPr>
              <w:jc w:val="right"/>
            </w:pPr>
            <w:r w:rsidRPr="00CD312D">
              <w:t>34,733</w:t>
            </w:r>
          </w:p>
        </w:tc>
        <w:tc>
          <w:tcPr>
            <w:tcW w:w="0" w:type="auto"/>
            <w:shd w:val="clear" w:color="auto" w:fill="CFE9FA"/>
            <w:vAlign w:val="center"/>
          </w:tcPr>
          <w:p w14:paraId="5113CDEE" w14:textId="613B587C" w:rsidR="00CD312D" w:rsidRPr="00CD312D" w:rsidRDefault="00CD312D" w:rsidP="00C05639">
            <w:pPr>
              <w:jc w:val="right"/>
            </w:pPr>
            <w:r w:rsidRPr="00CD312D">
              <w:t>43%</w:t>
            </w:r>
          </w:p>
        </w:tc>
        <w:tc>
          <w:tcPr>
            <w:tcW w:w="0" w:type="auto"/>
            <w:shd w:val="clear" w:color="auto" w:fill="CFE9FA"/>
            <w:vAlign w:val="center"/>
          </w:tcPr>
          <w:p w14:paraId="6C31E23E" w14:textId="49A7110D" w:rsidR="00CD312D" w:rsidRPr="00CD312D" w:rsidRDefault="00CD312D" w:rsidP="00C05639">
            <w:pPr>
              <w:jc w:val="right"/>
            </w:pPr>
            <w:r w:rsidRPr="00CD312D">
              <w:t>611</w:t>
            </w:r>
          </w:p>
        </w:tc>
        <w:tc>
          <w:tcPr>
            <w:tcW w:w="0" w:type="auto"/>
            <w:shd w:val="clear" w:color="auto" w:fill="CFE9FA"/>
            <w:vAlign w:val="center"/>
          </w:tcPr>
          <w:p w14:paraId="50C14E3F" w14:textId="4046963C" w:rsidR="00CD312D" w:rsidRPr="00CD312D" w:rsidRDefault="00CD312D" w:rsidP="00C05639">
            <w:pPr>
              <w:jc w:val="right"/>
            </w:pPr>
            <w:r w:rsidRPr="00CD312D">
              <w:t>1.8%</w:t>
            </w:r>
          </w:p>
        </w:tc>
      </w:tr>
      <w:tr w:rsidR="00CD312D" w14:paraId="3C863209" w14:textId="77777777" w:rsidTr="000C7829">
        <w:trPr>
          <w:cnfStyle w:val="000000010000" w:firstRow="0" w:lastRow="0" w:firstColumn="0" w:lastColumn="0" w:oddVBand="0" w:evenVBand="0" w:oddHBand="0" w:evenHBand="1" w:firstRowFirstColumn="0" w:firstRowLastColumn="0" w:lastRowFirstColumn="0" w:lastRowLastColumn="0"/>
          <w:trHeight w:val="420"/>
        </w:trPr>
        <w:tc>
          <w:tcPr>
            <w:tcW w:w="0" w:type="auto"/>
            <w:shd w:val="clear" w:color="auto" w:fill="E0D1F5"/>
            <w:vAlign w:val="center"/>
          </w:tcPr>
          <w:p w14:paraId="5E21FF77" w14:textId="0F59D7B7"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General Practitioners and Resident Medical Officers</w:t>
            </w:r>
          </w:p>
        </w:tc>
        <w:tc>
          <w:tcPr>
            <w:tcW w:w="0" w:type="auto"/>
            <w:shd w:val="clear" w:color="auto" w:fill="E0D1F5"/>
            <w:vAlign w:val="center"/>
          </w:tcPr>
          <w:p w14:paraId="68A6200A" w14:textId="6161D6F9"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23,525</w:t>
            </w:r>
          </w:p>
        </w:tc>
        <w:tc>
          <w:tcPr>
            <w:tcW w:w="0" w:type="auto"/>
            <w:shd w:val="clear" w:color="auto" w:fill="E0D1F5"/>
            <w:vAlign w:val="center"/>
          </w:tcPr>
          <w:p w14:paraId="25FA49C8" w14:textId="62B0D4DD"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47%</w:t>
            </w:r>
          </w:p>
        </w:tc>
        <w:tc>
          <w:tcPr>
            <w:tcW w:w="0" w:type="auto"/>
            <w:shd w:val="clear" w:color="auto" w:fill="E0D1F5"/>
            <w:vAlign w:val="center"/>
          </w:tcPr>
          <w:p w14:paraId="3267382C" w14:textId="6C49D69F"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684</w:t>
            </w:r>
          </w:p>
        </w:tc>
        <w:tc>
          <w:tcPr>
            <w:tcW w:w="0" w:type="auto"/>
            <w:shd w:val="clear" w:color="auto" w:fill="E0D1F5"/>
            <w:vAlign w:val="center"/>
          </w:tcPr>
          <w:p w14:paraId="0C7DD8FE" w14:textId="27ED29E2"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2.9%</w:t>
            </w:r>
          </w:p>
        </w:tc>
      </w:tr>
      <w:tr w:rsidR="00CD312D" w14:paraId="2156E2C7" w14:textId="77777777" w:rsidTr="000C7829">
        <w:trPr>
          <w:trHeight w:val="964"/>
        </w:trPr>
        <w:tc>
          <w:tcPr>
            <w:tcW w:w="0" w:type="auto"/>
            <w:shd w:val="clear" w:color="auto" w:fill="E0D1F5"/>
            <w:vAlign w:val="center"/>
          </w:tcPr>
          <w:p w14:paraId="2D41C954" w14:textId="74DCB0D3"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Early Childhood (Pre-primary School) Teachers</w:t>
            </w:r>
          </w:p>
        </w:tc>
        <w:tc>
          <w:tcPr>
            <w:tcW w:w="0" w:type="auto"/>
            <w:shd w:val="clear" w:color="auto" w:fill="E0D1F5"/>
            <w:vAlign w:val="center"/>
          </w:tcPr>
          <w:p w14:paraId="3791C443" w14:textId="65EF58E8"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22,544</w:t>
            </w:r>
          </w:p>
        </w:tc>
        <w:tc>
          <w:tcPr>
            <w:tcW w:w="0" w:type="auto"/>
            <w:shd w:val="clear" w:color="auto" w:fill="E0D1F5"/>
            <w:vAlign w:val="center"/>
          </w:tcPr>
          <w:p w14:paraId="1070F21A" w14:textId="21B34491"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98%</w:t>
            </w:r>
          </w:p>
        </w:tc>
        <w:tc>
          <w:tcPr>
            <w:tcW w:w="0" w:type="auto"/>
            <w:shd w:val="clear" w:color="auto" w:fill="E0D1F5"/>
            <w:vAlign w:val="center"/>
          </w:tcPr>
          <w:p w14:paraId="15BE5ED7" w14:textId="539FB2B8"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610</w:t>
            </w:r>
          </w:p>
        </w:tc>
        <w:tc>
          <w:tcPr>
            <w:tcW w:w="0" w:type="auto"/>
            <w:shd w:val="clear" w:color="auto" w:fill="E0D1F5"/>
            <w:vAlign w:val="center"/>
          </w:tcPr>
          <w:p w14:paraId="4BD90090" w14:textId="2723FE0A"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2.7%</w:t>
            </w:r>
          </w:p>
        </w:tc>
      </w:tr>
      <w:tr w:rsidR="00CD312D" w14:paraId="71AF7BEF" w14:textId="77777777" w:rsidTr="000C7829">
        <w:trPr>
          <w:cnfStyle w:val="000000010000" w:firstRow="0" w:lastRow="0" w:firstColumn="0" w:lastColumn="0" w:oddVBand="0" w:evenVBand="0" w:oddHBand="0" w:evenHBand="1" w:firstRowFirstColumn="0" w:firstRowLastColumn="0" w:lastRowFirstColumn="0" w:lastRowLastColumn="0"/>
          <w:trHeight w:val="270"/>
        </w:trPr>
        <w:tc>
          <w:tcPr>
            <w:tcW w:w="0" w:type="auto"/>
            <w:shd w:val="clear" w:color="auto" w:fill="CCEBEB"/>
            <w:vAlign w:val="center"/>
          </w:tcPr>
          <w:p w14:paraId="6CEC27E9" w14:textId="6E313E1D" w:rsidR="00CD312D" w:rsidRPr="00CD312D" w:rsidRDefault="00CD312D" w:rsidP="6521FDC6">
            <w:pPr>
              <w:rPr>
                <w:rFonts w:asciiTheme="minorHAnsi" w:hAnsiTheme="minorHAnsi" w:cstheme="minorHAnsi"/>
              </w:rPr>
            </w:pPr>
            <w:r w:rsidRPr="00CD312D">
              <w:rPr>
                <w:rFonts w:asciiTheme="minorHAnsi" w:eastAsia="Aptos Narrow" w:hAnsiTheme="minorHAnsi" w:cstheme="minorHAnsi"/>
                <w:color w:val="000000" w:themeColor="text1"/>
              </w:rPr>
              <w:t>Human Resource Professionals</w:t>
            </w:r>
          </w:p>
        </w:tc>
        <w:tc>
          <w:tcPr>
            <w:tcW w:w="0" w:type="auto"/>
            <w:shd w:val="clear" w:color="auto" w:fill="CCEBEB"/>
            <w:vAlign w:val="center"/>
          </w:tcPr>
          <w:p w14:paraId="462B9D13" w14:textId="281FE5E1"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20,670</w:t>
            </w:r>
          </w:p>
        </w:tc>
        <w:tc>
          <w:tcPr>
            <w:tcW w:w="0" w:type="auto"/>
            <w:shd w:val="clear" w:color="auto" w:fill="CCEBEB"/>
            <w:vAlign w:val="center"/>
          </w:tcPr>
          <w:p w14:paraId="29C1EA72" w14:textId="21FB9087"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76%</w:t>
            </w:r>
          </w:p>
        </w:tc>
        <w:tc>
          <w:tcPr>
            <w:tcW w:w="0" w:type="auto"/>
            <w:shd w:val="clear" w:color="auto" w:fill="CCEBEB"/>
            <w:vAlign w:val="center"/>
          </w:tcPr>
          <w:p w14:paraId="22061EEE" w14:textId="628512CF"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461</w:t>
            </w:r>
          </w:p>
        </w:tc>
        <w:tc>
          <w:tcPr>
            <w:tcW w:w="0" w:type="auto"/>
            <w:shd w:val="clear" w:color="auto" w:fill="CCEBEB"/>
            <w:vAlign w:val="center"/>
          </w:tcPr>
          <w:p w14:paraId="0962D988" w14:textId="67651E82" w:rsidR="00CD312D" w:rsidRPr="00CD312D" w:rsidRDefault="00CD312D" w:rsidP="009E1D32">
            <w:pPr>
              <w:jc w:val="right"/>
              <w:rPr>
                <w:rFonts w:asciiTheme="minorHAnsi" w:hAnsiTheme="minorHAnsi" w:cstheme="minorHAnsi"/>
              </w:rPr>
            </w:pPr>
            <w:r w:rsidRPr="00CD312D">
              <w:rPr>
                <w:rFonts w:asciiTheme="minorHAnsi" w:eastAsia="Aptos Narrow" w:hAnsiTheme="minorHAnsi" w:cstheme="minorHAnsi"/>
                <w:color w:val="000000" w:themeColor="text1"/>
              </w:rPr>
              <w:t>2.2%</w:t>
            </w:r>
          </w:p>
        </w:tc>
      </w:tr>
    </w:tbl>
    <w:p w14:paraId="55238B95" w14:textId="4C47BED7" w:rsidR="00A73DB8" w:rsidRDefault="002609D1" w:rsidP="003D070F">
      <w:r w:rsidRPr="002609D1">
        <w:rPr>
          <w:noProof/>
        </w:rPr>
        <mc:AlternateContent>
          <mc:Choice Requires="wpg">
            <w:drawing>
              <wp:inline distT="0" distB="0" distL="0" distR="0" wp14:anchorId="77711F96" wp14:editId="7F73FD86">
                <wp:extent cx="5600700" cy="289560"/>
                <wp:effectExtent l="0" t="0" r="0" b="0"/>
                <wp:docPr id="35" name="Group 34">
                  <a:extLst xmlns:a="http://schemas.openxmlformats.org/drawingml/2006/main">
                    <a:ext uri="{FF2B5EF4-FFF2-40B4-BE49-F238E27FC236}">
                      <a16:creationId xmlns:a16="http://schemas.microsoft.com/office/drawing/2014/main" id="{3EC11E67-FFB7-B16C-74B6-7675D75E3623}"/>
                    </a:ext>
                  </a:extLst>
                </wp:docPr>
                <wp:cNvGraphicFramePr/>
                <a:graphic xmlns:a="http://schemas.openxmlformats.org/drawingml/2006/main">
                  <a:graphicData uri="http://schemas.microsoft.com/office/word/2010/wordprocessingGroup">
                    <wpg:wgp>
                      <wpg:cNvGrpSpPr/>
                      <wpg:grpSpPr>
                        <a:xfrm>
                          <a:off x="0" y="0"/>
                          <a:ext cx="5600700" cy="289560"/>
                          <a:chOff x="0" y="0"/>
                          <a:chExt cx="5429250" cy="290178"/>
                        </a:xfrm>
                      </wpg:grpSpPr>
                      <wps:wsp>
                        <wps:cNvPr id="812005306" name="Rectangle 812005306">
                          <a:extLst>
                            <a:ext uri="{FF2B5EF4-FFF2-40B4-BE49-F238E27FC236}">
                              <a16:creationId xmlns:a16="http://schemas.microsoft.com/office/drawing/2014/main" id="{68CB053D-8E2C-F450-5F7A-B63B583FF335}"/>
                            </a:ext>
                          </a:extLst>
                        </wps:cNvPr>
                        <wps:cNvSpPr/>
                        <wps:spPr>
                          <a:xfrm>
                            <a:off x="0" y="32668"/>
                            <a:ext cx="514350" cy="165100"/>
                          </a:xfrm>
                          <a:prstGeom prst="rect">
                            <a:avLst/>
                          </a:prstGeom>
                          <a:solidFill>
                            <a:srgbClr val="E0D1F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5249789" name="Rectangle 65249789">
                          <a:extLst>
                            <a:ext uri="{FF2B5EF4-FFF2-40B4-BE49-F238E27FC236}">
                              <a16:creationId xmlns:a16="http://schemas.microsoft.com/office/drawing/2014/main" id="{9DDC8FCE-B49D-AC42-A6D8-0F1E30F27753}"/>
                            </a:ext>
                          </a:extLst>
                        </wps:cNvPr>
                        <wps:cNvSpPr/>
                        <wps:spPr>
                          <a:xfrm>
                            <a:off x="2882900" y="32163"/>
                            <a:ext cx="514350" cy="165100"/>
                          </a:xfrm>
                          <a:prstGeom prst="rect">
                            <a:avLst/>
                          </a:prstGeom>
                          <a:solidFill>
                            <a:srgbClr val="CCEBEB"/>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78545375" name="Rectangle 678545375">
                          <a:extLst>
                            <a:ext uri="{FF2B5EF4-FFF2-40B4-BE49-F238E27FC236}">
                              <a16:creationId xmlns:a16="http://schemas.microsoft.com/office/drawing/2014/main" id="{C4C8C268-A252-54B5-E2F3-06402CEE3599}"/>
                            </a:ext>
                          </a:extLst>
                        </wps:cNvPr>
                        <wps:cNvSpPr/>
                        <wps:spPr>
                          <a:xfrm>
                            <a:off x="1441450" y="29397"/>
                            <a:ext cx="514350" cy="165100"/>
                          </a:xfrm>
                          <a:prstGeom prst="rect">
                            <a:avLst/>
                          </a:prstGeom>
                          <a:solidFill>
                            <a:srgbClr val="FBD4E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1760570" name="Rectangle 91760570">
                          <a:extLst>
                            <a:ext uri="{FF2B5EF4-FFF2-40B4-BE49-F238E27FC236}">
                              <a16:creationId xmlns:a16="http://schemas.microsoft.com/office/drawing/2014/main" id="{A2A95DBE-89C1-221D-3D96-76038BDB99AC}"/>
                            </a:ext>
                          </a:extLst>
                        </wps:cNvPr>
                        <wps:cNvSpPr/>
                        <wps:spPr>
                          <a:xfrm>
                            <a:off x="4121150" y="25628"/>
                            <a:ext cx="514350" cy="165100"/>
                          </a:xfrm>
                          <a:prstGeom prst="rect">
                            <a:avLst/>
                          </a:prstGeom>
                          <a:solidFill>
                            <a:srgbClr val="CFE9FA"/>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25965719" name="TextBox 30">
                          <a:extLst>
                            <a:ext uri="{FF2B5EF4-FFF2-40B4-BE49-F238E27FC236}">
                              <a16:creationId xmlns:a16="http://schemas.microsoft.com/office/drawing/2014/main" id="{B6AA3BFC-D8B7-E6AC-A760-9924C01444A5}"/>
                            </a:ext>
                          </a:extLst>
                        </wps:cNvPr>
                        <wps:cNvSpPr txBox="1"/>
                        <wps:spPr>
                          <a:xfrm>
                            <a:off x="469900" y="4212"/>
                            <a:ext cx="1206500" cy="283210"/>
                          </a:xfrm>
                          <a:prstGeom prst="rect">
                            <a:avLst/>
                          </a:prstGeom>
                          <a:noFill/>
                        </wps:spPr>
                        <wps:txbx>
                          <w:txbxContent>
                            <w:p w14:paraId="7D532219"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Long Training Gap</w:t>
                              </w:r>
                            </w:p>
                          </w:txbxContent>
                        </wps:txbx>
                        <wps:bodyPr wrap="square" rtlCol="0">
                          <a:spAutoFit/>
                        </wps:bodyPr>
                      </wps:wsp>
                      <wps:wsp>
                        <wps:cNvPr id="1564128162" name="TextBox 31">
                          <a:extLst>
                            <a:ext uri="{FF2B5EF4-FFF2-40B4-BE49-F238E27FC236}">
                              <a16:creationId xmlns:a16="http://schemas.microsoft.com/office/drawing/2014/main" id="{002C83A3-A851-DE2D-5CCF-AAB953EA64BC}"/>
                            </a:ext>
                          </a:extLst>
                        </wps:cNvPr>
                        <wps:cNvSpPr txBox="1"/>
                        <wps:spPr>
                          <a:xfrm>
                            <a:off x="3327400" y="0"/>
                            <a:ext cx="850900" cy="283210"/>
                          </a:xfrm>
                          <a:prstGeom prst="rect">
                            <a:avLst/>
                          </a:prstGeom>
                          <a:noFill/>
                        </wps:spPr>
                        <wps:txbx>
                          <w:txbxContent>
                            <w:p w14:paraId="2C433EC3"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Retention Gap</w:t>
                              </w:r>
                            </w:p>
                          </w:txbxContent>
                        </wps:txbx>
                        <wps:bodyPr wrap="square" rtlCol="0">
                          <a:spAutoFit/>
                        </wps:bodyPr>
                      </wps:wsp>
                      <wps:wsp>
                        <wps:cNvPr id="860112426" name="TextBox 32">
                          <a:extLst>
                            <a:ext uri="{FF2B5EF4-FFF2-40B4-BE49-F238E27FC236}">
                              <a16:creationId xmlns:a16="http://schemas.microsoft.com/office/drawing/2014/main" id="{20EB875B-3612-C851-72DB-87819EF6056D}"/>
                            </a:ext>
                          </a:extLst>
                        </wps:cNvPr>
                        <wps:cNvSpPr txBox="1"/>
                        <wps:spPr>
                          <a:xfrm>
                            <a:off x="1895475" y="0"/>
                            <a:ext cx="1206500" cy="283210"/>
                          </a:xfrm>
                          <a:prstGeom prst="rect">
                            <a:avLst/>
                          </a:prstGeom>
                          <a:noFill/>
                        </wps:spPr>
                        <wps:txbx>
                          <w:txbxContent>
                            <w:p w14:paraId="7809DB67"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Short Training Gap</w:t>
                              </w:r>
                            </w:p>
                          </w:txbxContent>
                        </wps:txbx>
                        <wps:bodyPr wrap="square" rtlCol="0">
                          <a:spAutoFit/>
                        </wps:bodyPr>
                      </wps:wsp>
                      <wps:wsp>
                        <wps:cNvPr id="1733373113" name="TextBox 33">
                          <a:extLst>
                            <a:ext uri="{FF2B5EF4-FFF2-40B4-BE49-F238E27FC236}">
                              <a16:creationId xmlns:a16="http://schemas.microsoft.com/office/drawing/2014/main" id="{710255B9-7B1C-C892-986F-116E8B0920A4}"/>
                            </a:ext>
                          </a:extLst>
                        </wps:cNvPr>
                        <wps:cNvSpPr txBox="1"/>
                        <wps:spPr>
                          <a:xfrm>
                            <a:off x="4578350" y="6968"/>
                            <a:ext cx="850900" cy="283210"/>
                          </a:xfrm>
                          <a:prstGeom prst="rect">
                            <a:avLst/>
                          </a:prstGeom>
                          <a:noFill/>
                        </wps:spPr>
                        <wps:txbx>
                          <w:txbxContent>
                            <w:p w14:paraId="6D930522"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Suitability Gap</w:t>
                              </w:r>
                            </w:p>
                          </w:txbxContent>
                        </wps:txbx>
                        <wps:bodyPr wrap="square" rtlCol="0">
                          <a:spAutoFit/>
                        </wps:bodyPr>
                      </wps:wsp>
                    </wpg:wgp>
                  </a:graphicData>
                </a:graphic>
              </wp:inline>
            </w:drawing>
          </mc:Choice>
          <mc:Fallback>
            <w:pict>
              <v:group w14:anchorId="77711F96" id="Group 34" o:spid="_x0000_s1058" style="width:441pt;height:22.8pt;mso-position-horizontal-relative:char;mso-position-vertical-relative:line" coordsize="54292,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">
                <v:rect id="Rectangle 812005306" o:spid="_x0000_s1059" style="position:absolute;top:326;width:514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" fillcolor="#e0d1f5" stroked="f" strokeweight="1pt"/>
                <v:rect id="Rectangle 65249789" o:spid="_x0000_s1060" style="position:absolute;left:28829;top:321;width:514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" fillcolor="#ccebeb" stroked="f" strokeweight="1pt"/>
                <v:rect id="Rectangle 678545375" o:spid="_x0000_s1061" style="position:absolute;left:14414;top:293;width:514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" fillcolor="#fbd4e2" stroked="f" strokeweight="1pt"/>
                <v:rect id="Rectangle 91760570" o:spid="_x0000_s1062" style="position:absolute;left:41211;top:256;width:514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" fillcolor="#cfe9fa" stroked="f" strokeweight="1pt"/>
                <v:shape id="TextBox 30" o:spid="_x0000_s1063" type="#_x0000_t202" style="position:absolute;left:4699;top:42;width:12065;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" filled="f" stroked="f">
                  <v:textbox style="mso-fit-shape-to-text:t">
                    <w:txbxContent>
                      <w:p w14:paraId="7D532219"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Long Training Gap</w:t>
                        </w:r>
                      </w:p>
                    </w:txbxContent>
                  </v:textbox>
                </v:shape>
                <v:shape id="TextBox 31" o:spid="_x0000_s1064" type="#_x0000_t202" style="position:absolute;left:33274;width:850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" filled="f" stroked="f">
                  <v:textbox style="mso-fit-shape-to-text:t">
                    <w:txbxContent>
                      <w:p w14:paraId="2C433EC3"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Retention Gap</w:t>
                        </w:r>
                      </w:p>
                    </w:txbxContent>
                  </v:textbox>
                </v:shape>
                <v:shape id="TextBox 32" o:spid="_x0000_s1065" type="#_x0000_t202" style="position:absolute;left:18954;width:12065;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" filled="f" stroked="f">
                  <v:textbox style="mso-fit-shape-to-text:t">
                    <w:txbxContent>
                      <w:p w14:paraId="7809DB67"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Short Training Gap</w:t>
                        </w:r>
                      </w:p>
                    </w:txbxContent>
                  </v:textbox>
                </v:shape>
                <v:shape id="TextBox 33" o:spid="_x0000_s1066" type="#_x0000_t202" style="position:absolute;left:45783;top:69;width:850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" filled="f" stroked="f">
                  <v:textbox style="mso-fit-shape-to-text:t">
                    <w:txbxContent>
                      <w:p w14:paraId="6D930522" w14:textId="77777777" w:rsidR="002609D1" w:rsidRDefault="002609D1" w:rsidP="002609D1">
                        <w:pPr>
                          <w:rPr>
                            <w:rFonts w:cs="Arial"/>
                            <w:color w:val="000000" w:themeColor="text1"/>
                            <w:kern w:val="24"/>
                            <w:sz w:val="16"/>
                            <w:szCs w:val="16"/>
                          </w:rPr>
                        </w:pPr>
                        <w:r>
                          <w:rPr>
                            <w:rFonts w:cs="Arial"/>
                            <w:color w:val="000000" w:themeColor="text1"/>
                            <w:kern w:val="24"/>
                            <w:sz w:val="16"/>
                            <w:szCs w:val="16"/>
                          </w:rPr>
                          <w:t>Suitability Gap</w:t>
                        </w:r>
                      </w:p>
                    </w:txbxContent>
                  </v:textbox>
                </v:shape>
                <w10:anchorlock/>
              </v:group>
            </w:pict>
          </mc:Fallback>
        </mc:AlternateContent>
      </w:r>
    </w:p>
    <w:p w14:paraId="7337D3F3" w14:textId="77CC82CA" w:rsidR="00760C39" w:rsidRPr="00CD312D" w:rsidRDefault="4E5C0798" w:rsidP="00CD312D">
      <w:pPr>
        <w:pStyle w:val="Source"/>
        <w:rPr>
          <w:rFonts w:eastAsia="Arial" w:cs="Arial"/>
        </w:rPr>
      </w:pPr>
      <w:r w:rsidRPr="00CD312D">
        <w:rPr>
          <w:rFonts w:asciiTheme="minorHAnsi" w:hAnsiTheme="minorHAnsi" w:cstheme="minorHAnsi"/>
        </w:rPr>
        <w:t xml:space="preserve">Sources: JSA, </w:t>
      </w:r>
      <w:r w:rsidRPr="00CD312D">
        <w:rPr>
          <w:rFonts w:eastAsia="Arial" w:cs="Arial"/>
          <w:i/>
        </w:rPr>
        <w:t>Nowcast of Employment by Region and Occupatio</w:t>
      </w:r>
      <w:r w:rsidR="00F76D43" w:rsidRPr="00CD312D">
        <w:rPr>
          <w:rFonts w:eastAsia="Arial" w:cs="Arial"/>
          <w:i/>
        </w:rPr>
        <w:t>n</w:t>
      </w:r>
      <w:r w:rsidRPr="00CD312D">
        <w:rPr>
          <w:rFonts w:eastAsia="Arial" w:cs="Arial"/>
        </w:rPr>
        <w:t xml:space="preserve">, </w:t>
      </w:r>
      <w:r w:rsidR="56A99BDC" w:rsidRPr="00CD312D">
        <w:rPr>
          <w:rFonts w:eastAsia="Arial" w:cs="Arial"/>
        </w:rPr>
        <w:t>July</w:t>
      </w:r>
      <w:r w:rsidRPr="00CD312D">
        <w:rPr>
          <w:rFonts w:eastAsia="Arial" w:cs="Arial"/>
        </w:rPr>
        <w:t xml:space="preserve"> 2024; ABS, </w:t>
      </w:r>
      <w:r w:rsidRPr="00CD312D">
        <w:rPr>
          <w:rFonts w:eastAsia="Arial" w:cs="Arial"/>
          <w:i/>
        </w:rPr>
        <w:t>Census of Population and Housing</w:t>
      </w:r>
      <w:r w:rsidRPr="00CD312D">
        <w:rPr>
          <w:rFonts w:eastAsia="Arial" w:cs="Arial"/>
        </w:rPr>
        <w:t>, 2021</w:t>
      </w:r>
      <w:r w:rsidR="00925D49" w:rsidRPr="00CD312D">
        <w:rPr>
          <w:rFonts w:eastAsia="Arial" w:cs="Arial"/>
        </w:rPr>
        <w:t>, Tablebuilder</w:t>
      </w:r>
      <w:r w:rsidRPr="00CD312D">
        <w:rPr>
          <w:rFonts w:eastAsia="Arial" w:cs="Arial"/>
        </w:rPr>
        <w:t xml:space="preserve">; JSA, </w:t>
      </w:r>
      <w:r w:rsidRPr="00CD312D">
        <w:rPr>
          <w:rFonts w:eastAsia="Arial" w:cs="Arial"/>
          <w:i/>
        </w:rPr>
        <w:t>Skills Priority List</w:t>
      </w:r>
      <w:r w:rsidRPr="00CD312D">
        <w:rPr>
          <w:rFonts w:eastAsia="Arial" w:cs="Arial"/>
        </w:rPr>
        <w:t xml:space="preserve">, 2023; JSA, </w:t>
      </w:r>
      <w:r w:rsidRPr="00CD312D">
        <w:rPr>
          <w:rFonts w:eastAsia="Arial" w:cs="Arial"/>
          <w:i/>
        </w:rPr>
        <w:t>Internet Vacancy Index</w:t>
      </w:r>
      <w:r w:rsidRPr="00CD312D">
        <w:rPr>
          <w:rFonts w:eastAsia="Arial" w:cs="Arial"/>
        </w:rPr>
        <w:t xml:space="preserve">, </w:t>
      </w:r>
      <w:r w:rsidR="00232D25" w:rsidRPr="00CD312D">
        <w:rPr>
          <w:rFonts w:eastAsia="Arial" w:cs="Arial"/>
        </w:rPr>
        <w:t>3</w:t>
      </w:r>
      <w:r w:rsidRPr="00CD312D">
        <w:rPr>
          <w:rFonts w:eastAsia="Arial" w:cs="Arial"/>
        </w:rPr>
        <w:t xml:space="preserve">-month averages, </w:t>
      </w:r>
      <w:r w:rsidR="42106D36" w:rsidRPr="00CD312D">
        <w:rPr>
          <w:rFonts w:eastAsia="Arial" w:cs="Arial"/>
        </w:rPr>
        <w:t>Ju</w:t>
      </w:r>
      <w:r w:rsidRPr="00CD312D">
        <w:rPr>
          <w:rFonts w:eastAsia="Arial" w:cs="Arial"/>
        </w:rPr>
        <w:t>l</w:t>
      </w:r>
      <w:r w:rsidR="42106D36" w:rsidRPr="00CD312D">
        <w:rPr>
          <w:rFonts w:eastAsia="Arial" w:cs="Arial"/>
        </w:rPr>
        <w:t>y</w:t>
      </w:r>
      <w:r w:rsidRPr="00CD312D">
        <w:rPr>
          <w:rFonts w:eastAsia="Arial" w:cs="Arial"/>
        </w:rPr>
        <w:t xml:space="preserve"> 2024</w:t>
      </w:r>
    </w:p>
    <w:p w14:paraId="0D0F98DB" w14:textId="0E9D5593" w:rsidR="00B33C69" w:rsidRPr="00610E90" w:rsidRDefault="00B33C69" w:rsidP="00610E90">
      <w:r w:rsidRPr="00610E90">
        <w:t>Occupations in Health Care and Social Assistance and Education and Training feature</w:t>
      </w:r>
      <w:r w:rsidR="00781027" w:rsidRPr="00610E90">
        <w:t>, with</w:t>
      </w:r>
      <w:r w:rsidRPr="00610E90">
        <w:t xml:space="preserve"> Registered Nurses </w:t>
      </w:r>
      <w:r w:rsidR="00781027" w:rsidRPr="00610E90">
        <w:t>being</w:t>
      </w:r>
      <w:r w:rsidRPr="00610E90">
        <w:t xml:space="preserve"> the </w:t>
      </w:r>
      <w:r w:rsidR="00D86368" w:rsidRPr="00610E90">
        <w:t>most common</w:t>
      </w:r>
      <w:r w:rsidRPr="00610E90">
        <w:t xml:space="preserve"> skill level 1 occupation </w:t>
      </w:r>
      <w:r w:rsidR="00D86368" w:rsidRPr="00610E90">
        <w:t xml:space="preserve">in </w:t>
      </w:r>
      <w:r w:rsidRPr="00610E90">
        <w:t xml:space="preserve">regional Australia, with </w:t>
      </w:r>
      <w:r w:rsidR="00D86368" w:rsidRPr="00610E90">
        <w:t>employment close to 118,000</w:t>
      </w:r>
      <w:r w:rsidRPr="00610E90">
        <w:t xml:space="preserve">. Of the top </w:t>
      </w:r>
      <w:r w:rsidR="00D86368" w:rsidRPr="00610E90">
        <w:t>8</w:t>
      </w:r>
      <w:r w:rsidRPr="00610E90">
        <w:t xml:space="preserve"> employing skill level 1 occupations</w:t>
      </w:r>
      <w:r w:rsidR="00D86368" w:rsidRPr="00610E90">
        <w:t xml:space="preserve"> that are in national shortage</w:t>
      </w:r>
      <w:r w:rsidRPr="00610E90">
        <w:t xml:space="preserve">, Registered Nurses also dominate the estimated vacancies in regional Australia, having more than </w:t>
      </w:r>
      <w:r w:rsidR="00970EE3" w:rsidRPr="00610E90">
        <w:t>four</w:t>
      </w:r>
      <w:r w:rsidRPr="00610E90">
        <w:t xml:space="preserve"> times the vacancies than that of the occupation with the second highest number of vacancies, General Practitioners and </w:t>
      </w:r>
      <w:r w:rsidR="0454E805" w:rsidRPr="00610E90">
        <w:t>Construction Managers</w:t>
      </w:r>
      <w:r w:rsidRPr="00610E90">
        <w:t>.</w:t>
      </w:r>
    </w:p>
    <w:p w14:paraId="2A67BE9C" w14:textId="034F7F62" w:rsidR="00B33C69" w:rsidRPr="00610E90" w:rsidRDefault="00B33C69" w:rsidP="00610E90">
      <w:r w:rsidRPr="00610E90">
        <w:t>Among the</w:t>
      </w:r>
      <w:r w:rsidR="00D86368" w:rsidRPr="00610E90">
        <w:t xml:space="preserve">se occupations, </w:t>
      </w:r>
      <w:r w:rsidRPr="00610E90">
        <w:t>many are gender skewed, i.e. employ a high proportion of either males or females, and this may contribute to the difficulties in filling such roles and the ongoing shortages. Examples include female dominated occupations</w:t>
      </w:r>
      <w:r w:rsidR="7A1FD664" w:rsidRPr="00610E90">
        <w:t>,</w:t>
      </w:r>
      <w:r w:rsidRPr="00610E90">
        <w:t xml:space="preserve"> </w:t>
      </w:r>
      <w:r w:rsidR="5A6F0C37" w:rsidRPr="00610E90">
        <w:t>such as</w:t>
      </w:r>
      <w:r w:rsidRPr="00610E90">
        <w:t xml:space="preserve"> Registered Nurses, Primary School Teachers, and Early Childhood Teachers, and male dominated occupations</w:t>
      </w:r>
      <w:r w:rsidR="5923EC2A" w:rsidRPr="00610E90">
        <w:t>,</w:t>
      </w:r>
      <w:r w:rsidRPr="00610E90">
        <w:t xml:space="preserve"> </w:t>
      </w:r>
      <w:r w:rsidR="5E702580" w:rsidRPr="00610E90">
        <w:t>such</w:t>
      </w:r>
      <w:r w:rsidRPr="00610E90">
        <w:t xml:space="preserve"> </w:t>
      </w:r>
      <w:r w:rsidR="152BB119" w:rsidRPr="00610E90">
        <w:t xml:space="preserve">as </w:t>
      </w:r>
      <w:r w:rsidRPr="00610E90">
        <w:t>Construction Managers</w:t>
      </w:r>
      <w:r w:rsidR="000A1BD0" w:rsidRPr="00610E90">
        <w:t>.</w:t>
      </w:r>
      <w:r w:rsidRPr="00610E90">
        <w:t xml:space="preserve"> </w:t>
      </w:r>
    </w:p>
    <w:p w14:paraId="3175BE3B" w14:textId="1BD69358" w:rsidR="00B33C69" w:rsidRPr="00610E90" w:rsidRDefault="00B33C69" w:rsidP="00610E90">
      <w:pPr>
        <w:rPr>
          <w:highlight w:val="yellow"/>
        </w:rPr>
      </w:pPr>
      <w:r w:rsidRPr="00610E90">
        <w:t>In terms of the vacancy rates, occupations such as Registered Nurses have higher vacancy rates in regional Australia than in capital cities (</w:t>
      </w:r>
      <w:r w:rsidR="4C2344D6" w:rsidRPr="00610E90">
        <w:t>2.5</w:t>
      </w:r>
      <w:r w:rsidRPr="00610E90">
        <w:t xml:space="preserve">% to </w:t>
      </w:r>
      <w:r w:rsidR="020395AC" w:rsidRPr="00610E90">
        <w:t>1.</w:t>
      </w:r>
      <w:r w:rsidR="5D476C99" w:rsidRPr="00610E90">
        <w:t>8</w:t>
      </w:r>
      <w:r w:rsidRPr="00610E90">
        <w:t>% respectively).</w:t>
      </w:r>
      <w:r w:rsidRPr="00610E90" w:rsidDel="00B33C69">
        <w:t xml:space="preserve"> On the other hand, </w:t>
      </w:r>
      <w:r w:rsidRPr="00610E90">
        <w:t>Construction Managers</w:t>
      </w:r>
      <w:r w:rsidRPr="00610E90" w:rsidDel="00B33C69">
        <w:t xml:space="preserve"> have a higher vacancy rate in capital cities than in regional Australia </w:t>
      </w:r>
      <w:r w:rsidRPr="00610E90">
        <w:t>(</w:t>
      </w:r>
      <w:r w:rsidRPr="00610E90" w:rsidDel="00B33C69">
        <w:t>3.</w:t>
      </w:r>
      <w:r w:rsidRPr="00610E90" w:rsidDel="6B618D24">
        <w:t>3</w:t>
      </w:r>
      <w:r w:rsidRPr="00610E90">
        <w:t xml:space="preserve">% and </w:t>
      </w:r>
      <w:r w:rsidRPr="00610E90" w:rsidDel="00B33C69">
        <w:t>1.</w:t>
      </w:r>
      <w:r w:rsidRPr="00610E90" w:rsidDel="06AB663C">
        <w:t>6</w:t>
      </w:r>
      <w:r w:rsidRPr="00610E90">
        <w:t xml:space="preserve">% respectively). </w:t>
      </w:r>
    </w:p>
    <w:p w14:paraId="5742F471" w14:textId="39D02399" w:rsidR="00EB0508" w:rsidRPr="00610E90" w:rsidRDefault="00927C2E" w:rsidP="00610E90">
      <w:r w:rsidRPr="00610E90">
        <w:t>When looking at</w:t>
      </w:r>
      <w:r w:rsidR="00EB0508" w:rsidRPr="00610E90">
        <w:t xml:space="preserve"> skill level 2</w:t>
      </w:r>
      <w:r w:rsidR="007D1B04">
        <w:t>–</w:t>
      </w:r>
      <w:r w:rsidR="00EB0508" w:rsidRPr="00610E90">
        <w:t xml:space="preserve">4 occupations </w:t>
      </w:r>
      <w:r w:rsidRPr="00610E90">
        <w:t>(</w:t>
      </w:r>
      <w:r w:rsidR="039B8592" w:rsidRPr="00610E90">
        <w:t xml:space="preserve">Table </w:t>
      </w:r>
      <w:r w:rsidR="00A675F9" w:rsidRPr="00610E90">
        <w:t>4</w:t>
      </w:r>
      <w:r w:rsidRPr="00610E90">
        <w:t xml:space="preserve">) </w:t>
      </w:r>
      <w:r w:rsidR="00EB0508" w:rsidRPr="00610E90">
        <w:t xml:space="preserve">that are </w:t>
      </w:r>
      <w:r w:rsidR="00610E90" w:rsidRPr="00610E90">
        <w:t xml:space="preserve">common in regional Australia and in national shortage, </w:t>
      </w:r>
      <w:r w:rsidRPr="00610E90">
        <w:t>t</w:t>
      </w:r>
      <w:r w:rsidR="00EB0508" w:rsidRPr="00610E90">
        <w:t xml:space="preserve">he top </w:t>
      </w:r>
      <w:r w:rsidR="00610E90" w:rsidRPr="00610E90">
        <w:t xml:space="preserve">three </w:t>
      </w:r>
      <w:r w:rsidR="00EB0508" w:rsidRPr="00610E90">
        <w:t xml:space="preserve">are Aged and Disabled Carers, Truck Drivers, </w:t>
      </w:r>
      <w:r w:rsidR="00610E90" w:rsidRPr="00610E90">
        <w:t xml:space="preserve">and </w:t>
      </w:r>
      <w:r w:rsidR="00EB0508" w:rsidRPr="00610E90">
        <w:t>Electricians</w:t>
      </w:r>
      <w:r w:rsidR="00610E90" w:rsidRPr="00610E90">
        <w:t>, and all are gender skewed occupations</w:t>
      </w:r>
      <w:r w:rsidR="700A5234" w:rsidRPr="00610E90">
        <w:t>.</w:t>
      </w:r>
      <w:r w:rsidR="00CB18F8" w:rsidRPr="00610E90">
        <w:t xml:space="preserve"> </w:t>
      </w:r>
    </w:p>
    <w:p w14:paraId="411A6EC7" w14:textId="6C127ED1" w:rsidR="00EB0508" w:rsidRPr="00610E90" w:rsidRDefault="3CDD02CD" w:rsidP="00610E90">
      <w:r w:rsidRPr="00610E90">
        <w:t>Aged and Disabled Carers</w:t>
      </w:r>
      <w:r w:rsidR="416E5DF5" w:rsidRPr="00610E90">
        <w:t>, Child Carers</w:t>
      </w:r>
      <w:r w:rsidRPr="00610E90">
        <w:t xml:space="preserve"> and Motor Mechanics </w:t>
      </w:r>
      <w:r w:rsidR="00A01C24" w:rsidRPr="00610E90">
        <w:t>all</w:t>
      </w:r>
      <w:r w:rsidRPr="00610E90">
        <w:t xml:space="preserve"> have high numbers of vacancies. Shortages for Motor Mechanics are considered to be driven by a Long Training gap, while those for Aged and Disabled Carers and Child Carers are driven by a Retention Gap (defined as below </w:t>
      </w:r>
      <w:r w:rsidR="5FDC7478" w:rsidRPr="00610E90">
        <w:t xml:space="preserve">average </w:t>
      </w:r>
      <w:r w:rsidRPr="00610E90">
        <w:t>rates of retention, potentially reinforced by low numbers of new applicants per vacancy).</w:t>
      </w:r>
      <w:r w:rsidR="00C730EB" w:rsidRPr="00610E90">
        <w:rPr>
          <w:vertAlign w:val="superscript"/>
        </w:rPr>
        <w:footnoteReference w:id="42"/>
      </w:r>
    </w:p>
    <w:p w14:paraId="292575F4" w14:textId="476D9E94" w:rsidR="00C730EB" w:rsidRPr="00150241" w:rsidRDefault="3394144F" w:rsidP="00150241">
      <w:pPr>
        <w:pStyle w:val="Caption"/>
        <w:rPr>
          <w:rFonts w:eastAsia="Arial" w:cs="Arial"/>
          <w:szCs w:val="20"/>
        </w:rPr>
      </w:pPr>
      <w:r w:rsidRPr="00150241">
        <w:rPr>
          <w:rFonts w:asciiTheme="minorHAnsi" w:hAnsiTheme="minorHAnsi" w:cstheme="minorHAnsi"/>
          <w:szCs w:val="20"/>
        </w:rPr>
        <w:t xml:space="preserve">Table </w:t>
      </w:r>
      <w:r w:rsidR="00A675F9" w:rsidRPr="00150241">
        <w:rPr>
          <w:rFonts w:eastAsia="Arial" w:cs="Arial"/>
          <w:szCs w:val="20"/>
        </w:rPr>
        <w:t>4</w:t>
      </w:r>
      <w:r w:rsidR="369B91EC" w:rsidRPr="00150241">
        <w:rPr>
          <w:rFonts w:eastAsia="Arial" w:cs="Arial"/>
          <w:szCs w:val="20"/>
        </w:rPr>
        <w:t xml:space="preserve">: Top </w:t>
      </w:r>
      <w:r w:rsidR="00610E90">
        <w:rPr>
          <w:rFonts w:eastAsia="Arial" w:cs="Arial"/>
          <w:szCs w:val="20"/>
        </w:rPr>
        <w:t>8</w:t>
      </w:r>
      <w:r w:rsidR="369B91EC" w:rsidRPr="00150241">
        <w:rPr>
          <w:rFonts w:eastAsia="Arial" w:cs="Arial"/>
          <w:szCs w:val="20"/>
        </w:rPr>
        <w:t xml:space="preserve"> employing skill level 2 to 4 occupations in regional Australia </w:t>
      </w:r>
      <w:r w:rsidR="00610E90">
        <w:rPr>
          <w:rFonts w:eastAsia="Arial" w:cs="Arial"/>
          <w:szCs w:val="20"/>
        </w:rPr>
        <w:t xml:space="preserve">in national shortage, </w:t>
      </w:r>
      <w:r w:rsidR="369B91EC" w:rsidRPr="00150241">
        <w:rPr>
          <w:rFonts w:eastAsia="Arial" w:cs="Arial"/>
          <w:szCs w:val="20"/>
        </w:rPr>
        <w:t>female employment share, IVI vacancies, vacancy rates, and VET Program completions</w:t>
      </w:r>
    </w:p>
    <w:tbl>
      <w:tblPr>
        <w:tblStyle w:val="JSATable1"/>
        <w:tblW w:w="0" w:type="auto"/>
        <w:tblLook w:val="04A0" w:firstRow="1" w:lastRow="0" w:firstColumn="1" w:lastColumn="0" w:noHBand="0" w:noVBand="1"/>
        <w:tblCaption w:val="Top fifteen employing skill level one occupations in regional Australia by various indicators"/>
        <w:tblDescription w:val="This table shows the top 15 employing skill level one occupations in regional Australia. For each of the listed occupations, the female share of employment, the skills shortage ratings, estimated vacancies and the vacancy rates are provided."/>
      </w:tblPr>
      <w:tblGrid>
        <w:gridCol w:w="1454"/>
        <w:gridCol w:w="1146"/>
        <w:gridCol w:w="1209"/>
        <w:gridCol w:w="1439"/>
        <w:gridCol w:w="1232"/>
        <w:gridCol w:w="1107"/>
        <w:gridCol w:w="1439"/>
      </w:tblGrid>
      <w:tr w:rsidR="00D41091" w14:paraId="1B28CF11" w14:textId="288E7221" w:rsidTr="00D41091">
        <w:trPr>
          <w:cnfStyle w:val="100000000000" w:firstRow="1" w:lastRow="0" w:firstColumn="0" w:lastColumn="0" w:oddVBand="0" w:evenVBand="0" w:oddHBand="0" w:evenHBand="0" w:firstRowFirstColumn="0" w:firstRowLastColumn="0" w:lastRowFirstColumn="0" w:lastRowLastColumn="0"/>
          <w:trHeight w:val="1305"/>
        </w:trPr>
        <w:tc>
          <w:tcPr>
            <w:tcW w:w="1729" w:type="dxa"/>
          </w:tcPr>
          <w:p w14:paraId="4F8DEB8F" w14:textId="77777777" w:rsidR="00D41091" w:rsidRPr="00E54B8C" w:rsidRDefault="00D41091" w:rsidP="003475DB">
            <w:r w:rsidRPr="00E54B8C">
              <w:t>Occupation</w:t>
            </w:r>
          </w:p>
        </w:tc>
        <w:tc>
          <w:tcPr>
            <w:tcW w:w="1061" w:type="dxa"/>
          </w:tcPr>
          <w:p w14:paraId="52BA6FCC" w14:textId="222F0560" w:rsidR="00D41091" w:rsidRPr="00D41091" w:rsidRDefault="00D41091" w:rsidP="00E54B8C">
            <w:r w:rsidRPr="00D41091">
              <w:t>Indicative Skill Level</w:t>
            </w:r>
          </w:p>
        </w:tc>
        <w:tc>
          <w:tcPr>
            <w:tcW w:w="1240" w:type="dxa"/>
          </w:tcPr>
          <w:p w14:paraId="1292A571" w14:textId="23CB8BAF" w:rsidR="00D41091" w:rsidRPr="00D41091" w:rsidRDefault="00D41091" w:rsidP="00E54B8C">
            <w:r w:rsidRPr="00D41091">
              <w:t>Employed Persons</w:t>
            </w:r>
            <w:r w:rsidRPr="00D41091">
              <w:br/>
              <w:t xml:space="preserve"> Regional Australia</w:t>
            </w:r>
            <w:r w:rsidRPr="00D41091">
              <w:br/>
              <w:t xml:space="preserve"> July 2024</w:t>
            </w:r>
          </w:p>
        </w:tc>
        <w:tc>
          <w:tcPr>
            <w:tcW w:w="1328" w:type="dxa"/>
          </w:tcPr>
          <w:p w14:paraId="1EE1A763" w14:textId="77777777" w:rsidR="00D41091" w:rsidRPr="00D41091" w:rsidRDefault="00D41091" w:rsidP="00E54B8C">
            <w:r w:rsidRPr="00D41091">
              <w:t>Female Employment Share</w:t>
            </w:r>
            <w:r w:rsidRPr="00D41091">
              <w:br/>
              <w:t xml:space="preserve"> Regional Australia</w:t>
            </w:r>
            <w:r w:rsidRPr="00D41091">
              <w:br/>
              <w:t xml:space="preserve"> August 2021 </w:t>
            </w:r>
          </w:p>
        </w:tc>
        <w:tc>
          <w:tcPr>
            <w:tcW w:w="1185" w:type="dxa"/>
          </w:tcPr>
          <w:p w14:paraId="51DF3171" w14:textId="77777777" w:rsidR="00D41091" w:rsidRPr="00D41091" w:rsidRDefault="00D41091" w:rsidP="00E54B8C">
            <w:r w:rsidRPr="00D41091">
              <w:t>Estimated Vacancies</w:t>
            </w:r>
            <w:r w:rsidRPr="00D41091">
              <w:br/>
              <w:t xml:space="preserve"> Regional Australia </w:t>
            </w:r>
          </w:p>
          <w:p w14:paraId="7A78A9E4" w14:textId="77777777" w:rsidR="00D41091" w:rsidRPr="00D41091" w:rsidRDefault="00D41091" w:rsidP="00E54B8C">
            <w:r w:rsidRPr="00D41091">
              <w:t>July 2024</w:t>
            </w:r>
          </w:p>
        </w:tc>
        <w:tc>
          <w:tcPr>
            <w:tcW w:w="1155" w:type="dxa"/>
          </w:tcPr>
          <w:p w14:paraId="021A9AF9" w14:textId="77777777" w:rsidR="00D41091" w:rsidRPr="00D41091" w:rsidRDefault="00D41091" w:rsidP="00E54B8C">
            <w:r w:rsidRPr="00D41091">
              <w:t>Vacancy rate</w:t>
            </w:r>
            <w:r w:rsidRPr="00D41091">
              <w:br/>
              <w:t xml:space="preserve"> Regional Australia </w:t>
            </w:r>
          </w:p>
          <w:p w14:paraId="51B801C5" w14:textId="77777777" w:rsidR="00D41091" w:rsidRPr="00D41091" w:rsidRDefault="00D41091" w:rsidP="00E54B8C">
            <w:r w:rsidRPr="00D41091">
              <w:t>July 2024</w:t>
            </w:r>
          </w:p>
        </w:tc>
        <w:tc>
          <w:tcPr>
            <w:tcW w:w="1328" w:type="dxa"/>
          </w:tcPr>
          <w:p w14:paraId="7BBD35E6" w14:textId="4C432E7C" w:rsidR="00D41091" w:rsidRPr="00D41091" w:rsidRDefault="00D41091" w:rsidP="00E54B8C">
            <w:r w:rsidRPr="00610E90">
              <w:t>VET Program Completions</w:t>
            </w:r>
            <w:r w:rsidRPr="00610E90">
              <w:br/>
              <w:t xml:space="preserve"> Regional residen</w:t>
            </w:r>
            <w:r>
              <w:t>ce</w:t>
            </w:r>
            <w:r w:rsidRPr="00610E90">
              <w:br/>
              <w:t xml:space="preserve"> 2022</w:t>
            </w:r>
          </w:p>
        </w:tc>
      </w:tr>
      <w:tr w:rsidR="00D41091" w14:paraId="37BB1124" w14:textId="63F818D0" w:rsidTr="00F264FC">
        <w:trPr>
          <w:trHeight w:val="300"/>
        </w:trPr>
        <w:tc>
          <w:tcPr>
            <w:tcW w:w="1729" w:type="dxa"/>
            <w:shd w:val="clear" w:color="auto" w:fill="CCEBEB"/>
            <w:vAlign w:val="center"/>
          </w:tcPr>
          <w:p w14:paraId="079C8A42" w14:textId="2E1B25A0" w:rsidR="00D41091" w:rsidRPr="008235C3" w:rsidRDefault="00D41091" w:rsidP="00D41091">
            <w:pPr>
              <w:rPr>
                <w:rFonts w:asciiTheme="minorHAnsi" w:hAnsiTheme="minorHAnsi" w:cstheme="minorHAnsi"/>
                <w:sz w:val="20"/>
                <w:szCs w:val="20"/>
              </w:rPr>
            </w:pPr>
            <w:r w:rsidRPr="008235C3">
              <w:rPr>
                <w:rFonts w:asciiTheme="minorHAnsi" w:eastAsia="Arial" w:hAnsiTheme="minorHAnsi" w:cstheme="minorHAnsi"/>
                <w:color w:val="000000" w:themeColor="text1"/>
                <w:sz w:val="20"/>
                <w:szCs w:val="20"/>
              </w:rPr>
              <w:t>Aged and Disabled Carers</w:t>
            </w:r>
          </w:p>
        </w:tc>
        <w:tc>
          <w:tcPr>
            <w:tcW w:w="1061" w:type="dxa"/>
            <w:shd w:val="clear" w:color="auto" w:fill="CCEBEB"/>
            <w:vAlign w:val="center"/>
          </w:tcPr>
          <w:p w14:paraId="3789D0C3" w14:textId="1CE7836E" w:rsidR="00D41091" w:rsidRPr="008235C3" w:rsidRDefault="00D41091" w:rsidP="00461385">
            <w:pPr>
              <w:jc w:val="center"/>
              <w:rPr>
                <w:rFonts w:eastAsia="Aptos Narrow"/>
                <w:sz w:val="20"/>
                <w:szCs w:val="20"/>
              </w:rPr>
            </w:pPr>
            <w:r w:rsidRPr="008235C3">
              <w:rPr>
                <w:sz w:val="20"/>
                <w:szCs w:val="20"/>
              </w:rPr>
              <w:t>4</w:t>
            </w:r>
          </w:p>
        </w:tc>
        <w:tc>
          <w:tcPr>
            <w:tcW w:w="1240" w:type="dxa"/>
            <w:shd w:val="clear" w:color="auto" w:fill="CCEBEB"/>
            <w:vAlign w:val="center"/>
          </w:tcPr>
          <w:p w14:paraId="1B70B99B" w14:textId="51C1ACD7"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130,189</w:t>
            </w:r>
          </w:p>
        </w:tc>
        <w:tc>
          <w:tcPr>
            <w:tcW w:w="1328" w:type="dxa"/>
            <w:shd w:val="clear" w:color="auto" w:fill="CCEBEB"/>
            <w:vAlign w:val="center"/>
          </w:tcPr>
          <w:p w14:paraId="4E8D288E" w14:textId="6350C52D" w:rsidR="00D41091" w:rsidRPr="008235C3" w:rsidRDefault="00D41091" w:rsidP="00461385">
            <w:pPr>
              <w:jc w:val="right"/>
              <w:rPr>
                <w:rFonts w:asciiTheme="minorHAnsi" w:hAnsiTheme="minorHAnsi" w:cstheme="minorHAnsi"/>
                <w:sz w:val="20"/>
                <w:szCs w:val="20"/>
              </w:rPr>
            </w:pPr>
            <w:r w:rsidRPr="008235C3">
              <w:rPr>
                <w:rFonts w:asciiTheme="minorHAnsi" w:eastAsia="Arial" w:hAnsiTheme="minorHAnsi" w:cstheme="minorHAnsi"/>
                <w:color w:val="000000" w:themeColor="text1"/>
                <w:sz w:val="20"/>
                <w:szCs w:val="20"/>
              </w:rPr>
              <w:t>78%</w:t>
            </w:r>
          </w:p>
        </w:tc>
        <w:tc>
          <w:tcPr>
            <w:tcW w:w="1185" w:type="dxa"/>
            <w:shd w:val="clear" w:color="auto" w:fill="CCEBEB"/>
            <w:vAlign w:val="center"/>
          </w:tcPr>
          <w:p w14:paraId="1859A0BC" w14:textId="7367906C"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1,424</w:t>
            </w:r>
          </w:p>
        </w:tc>
        <w:tc>
          <w:tcPr>
            <w:tcW w:w="1155" w:type="dxa"/>
            <w:shd w:val="clear" w:color="auto" w:fill="CCEBEB"/>
            <w:vAlign w:val="center"/>
          </w:tcPr>
          <w:p w14:paraId="41781B46" w14:textId="3EEC6D7B"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1.1%</w:t>
            </w:r>
          </w:p>
        </w:tc>
        <w:tc>
          <w:tcPr>
            <w:tcW w:w="1328" w:type="dxa"/>
            <w:shd w:val="clear" w:color="auto" w:fill="CCEBEB"/>
            <w:vAlign w:val="center"/>
          </w:tcPr>
          <w:p w14:paraId="3FDCCE09" w14:textId="4C2D1F7C" w:rsidR="00D41091" w:rsidRPr="008235C3" w:rsidRDefault="00D41091" w:rsidP="00461385">
            <w:pPr>
              <w:jc w:val="right"/>
              <w:rPr>
                <w:sz w:val="20"/>
                <w:szCs w:val="20"/>
              </w:rPr>
            </w:pPr>
            <w:r w:rsidRPr="008235C3">
              <w:rPr>
                <w:sz w:val="20"/>
                <w:szCs w:val="20"/>
              </w:rPr>
              <w:t>2,05</w:t>
            </w:r>
            <w:r w:rsidR="00435914" w:rsidRPr="008235C3">
              <w:rPr>
                <w:sz w:val="20"/>
                <w:szCs w:val="20"/>
              </w:rPr>
              <w:t>0</w:t>
            </w:r>
          </w:p>
        </w:tc>
      </w:tr>
      <w:tr w:rsidR="00D41091" w14:paraId="752F296D" w14:textId="5587F3A0" w:rsidTr="00B662F7">
        <w:trPr>
          <w:cnfStyle w:val="000000010000" w:firstRow="0" w:lastRow="0" w:firstColumn="0" w:lastColumn="0" w:oddVBand="0" w:evenVBand="0" w:oddHBand="0" w:evenHBand="1" w:firstRowFirstColumn="0" w:firstRowLastColumn="0" w:lastRowFirstColumn="0" w:lastRowLastColumn="0"/>
          <w:trHeight w:val="300"/>
        </w:trPr>
        <w:tc>
          <w:tcPr>
            <w:tcW w:w="1729" w:type="dxa"/>
            <w:shd w:val="clear" w:color="auto" w:fill="FBDCE7" w:themeFill="accent4" w:themeFillTint="33"/>
            <w:vAlign w:val="center"/>
          </w:tcPr>
          <w:p w14:paraId="1E8D5B36" w14:textId="627F300F" w:rsidR="00D41091" w:rsidRPr="008235C3" w:rsidRDefault="00D41091" w:rsidP="00D41091">
            <w:pPr>
              <w:rPr>
                <w:sz w:val="20"/>
                <w:szCs w:val="20"/>
              </w:rPr>
            </w:pPr>
            <w:r w:rsidRPr="008235C3">
              <w:rPr>
                <w:sz w:val="20"/>
                <w:szCs w:val="20"/>
              </w:rPr>
              <w:t>Truck Drivers</w:t>
            </w:r>
          </w:p>
        </w:tc>
        <w:tc>
          <w:tcPr>
            <w:tcW w:w="1061" w:type="dxa"/>
            <w:shd w:val="clear" w:color="auto" w:fill="FBDCE7" w:themeFill="accent4" w:themeFillTint="33"/>
            <w:vAlign w:val="center"/>
          </w:tcPr>
          <w:p w14:paraId="261D927E" w14:textId="78A9CB3B" w:rsidR="00D41091" w:rsidRPr="008235C3" w:rsidRDefault="00D41091" w:rsidP="00461385">
            <w:pPr>
              <w:jc w:val="center"/>
              <w:rPr>
                <w:sz w:val="20"/>
                <w:szCs w:val="20"/>
              </w:rPr>
            </w:pPr>
            <w:r w:rsidRPr="008235C3">
              <w:rPr>
                <w:sz w:val="20"/>
                <w:szCs w:val="20"/>
              </w:rPr>
              <w:t>4</w:t>
            </w:r>
          </w:p>
        </w:tc>
        <w:tc>
          <w:tcPr>
            <w:tcW w:w="1240" w:type="dxa"/>
            <w:shd w:val="clear" w:color="auto" w:fill="FBDCE7" w:themeFill="accent4" w:themeFillTint="33"/>
            <w:vAlign w:val="center"/>
          </w:tcPr>
          <w:p w14:paraId="2FF0E4E2" w14:textId="0E10A2C7"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78,416</w:t>
            </w:r>
          </w:p>
        </w:tc>
        <w:tc>
          <w:tcPr>
            <w:tcW w:w="1328" w:type="dxa"/>
            <w:shd w:val="clear" w:color="auto" w:fill="FBDCE7" w:themeFill="accent4" w:themeFillTint="33"/>
            <w:vAlign w:val="center"/>
          </w:tcPr>
          <w:p w14:paraId="478989C4" w14:textId="2CA948BC" w:rsidR="00D41091" w:rsidRPr="008235C3" w:rsidRDefault="00D41091" w:rsidP="00461385">
            <w:pPr>
              <w:jc w:val="right"/>
              <w:rPr>
                <w:rFonts w:asciiTheme="minorHAnsi" w:hAnsiTheme="minorHAnsi" w:cstheme="minorHAnsi"/>
                <w:sz w:val="20"/>
                <w:szCs w:val="20"/>
              </w:rPr>
            </w:pPr>
            <w:r w:rsidRPr="008235C3">
              <w:rPr>
                <w:rFonts w:asciiTheme="minorHAnsi" w:eastAsia="Arial" w:hAnsiTheme="minorHAnsi" w:cstheme="minorHAnsi"/>
                <w:color w:val="000000" w:themeColor="text1"/>
                <w:sz w:val="20"/>
                <w:szCs w:val="20"/>
              </w:rPr>
              <w:t>6%</w:t>
            </w:r>
          </w:p>
        </w:tc>
        <w:tc>
          <w:tcPr>
            <w:tcW w:w="1185" w:type="dxa"/>
            <w:shd w:val="clear" w:color="auto" w:fill="FBDCE7" w:themeFill="accent4" w:themeFillTint="33"/>
            <w:vAlign w:val="center"/>
          </w:tcPr>
          <w:p w14:paraId="027711FA" w14:textId="671C8308"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1,000</w:t>
            </w:r>
          </w:p>
        </w:tc>
        <w:tc>
          <w:tcPr>
            <w:tcW w:w="1155" w:type="dxa"/>
            <w:shd w:val="clear" w:color="auto" w:fill="FBDCE7" w:themeFill="accent4" w:themeFillTint="33"/>
            <w:vAlign w:val="center"/>
          </w:tcPr>
          <w:p w14:paraId="2CF95B45" w14:textId="0F30D8D6"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1.3%</w:t>
            </w:r>
          </w:p>
        </w:tc>
        <w:tc>
          <w:tcPr>
            <w:tcW w:w="1328" w:type="dxa"/>
            <w:shd w:val="clear" w:color="auto" w:fill="FBDCE7" w:themeFill="accent4" w:themeFillTint="33"/>
            <w:vAlign w:val="center"/>
          </w:tcPr>
          <w:p w14:paraId="5B9A24B4" w14:textId="611B792D" w:rsidR="00D41091" w:rsidRPr="008235C3" w:rsidRDefault="00D41091" w:rsidP="00461385">
            <w:pPr>
              <w:jc w:val="right"/>
              <w:rPr>
                <w:sz w:val="20"/>
                <w:szCs w:val="20"/>
              </w:rPr>
            </w:pPr>
            <w:r w:rsidRPr="008235C3">
              <w:rPr>
                <w:sz w:val="20"/>
                <w:szCs w:val="20"/>
              </w:rPr>
              <w:t>42</w:t>
            </w:r>
            <w:r w:rsidR="00435914" w:rsidRPr="008235C3">
              <w:rPr>
                <w:sz w:val="20"/>
                <w:szCs w:val="20"/>
              </w:rPr>
              <w:t>5</w:t>
            </w:r>
          </w:p>
        </w:tc>
      </w:tr>
      <w:tr w:rsidR="00D41091" w14:paraId="31D98B15" w14:textId="7F9674C8" w:rsidTr="003475DB">
        <w:trPr>
          <w:trHeight w:val="390"/>
        </w:trPr>
        <w:tc>
          <w:tcPr>
            <w:tcW w:w="1729" w:type="dxa"/>
            <w:shd w:val="clear" w:color="auto" w:fill="E0D1F5"/>
            <w:vAlign w:val="center"/>
          </w:tcPr>
          <w:p w14:paraId="2D5536C1" w14:textId="44638D7C" w:rsidR="00D41091" w:rsidRPr="008235C3" w:rsidRDefault="00D41091" w:rsidP="00D41091">
            <w:pPr>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Electricians</w:t>
            </w:r>
          </w:p>
        </w:tc>
        <w:tc>
          <w:tcPr>
            <w:tcW w:w="1061" w:type="dxa"/>
            <w:shd w:val="clear" w:color="auto" w:fill="E0D1F5"/>
            <w:vAlign w:val="center"/>
          </w:tcPr>
          <w:p w14:paraId="41D38D6B" w14:textId="24E68016" w:rsidR="00D41091" w:rsidRPr="008235C3" w:rsidRDefault="00D41091" w:rsidP="00461385">
            <w:pPr>
              <w:jc w:val="center"/>
              <w:rPr>
                <w:rFonts w:eastAsia="Aptos Narrow"/>
                <w:sz w:val="20"/>
                <w:szCs w:val="20"/>
              </w:rPr>
            </w:pPr>
            <w:r w:rsidRPr="008235C3">
              <w:rPr>
                <w:sz w:val="20"/>
                <w:szCs w:val="20"/>
              </w:rPr>
              <w:t>3</w:t>
            </w:r>
          </w:p>
        </w:tc>
        <w:tc>
          <w:tcPr>
            <w:tcW w:w="1240" w:type="dxa"/>
            <w:shd w:val="clear" w:color="auto" w:fill="E0D1F5"/>
            <w:vAlign w:val="center"/>
          </w:tcPr>
          <w:p w14:paraId="39226334" w14:textId="2F416AA2"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69,254</w:t>
            </w:r>
          </w:p>
        </w:tc>
        <w:tc>
          <w:tcPr>
            <w:tcW w:w="1328" w:type="dxa"/>
            <w:shd w:val="clear" w:color="auto" w:fill="E0D1F5"/>
            <w:vAlign w:val="center"/>
          </w:tcPr>
          <w:p w14:paraId="77449A9A" w14:textId="755811A9"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3%</w:t>
            </w:r>
          </w:p>
        </w:tc>
        <w:tc>
          <w:tcPr>
            <w:tcW w:w="1185" w:type="dxa"/>
            <w:shd w:val="clear" w:color="auto" w:fill="E0D1F5"/>
            <w:vAlign w:val="center"/>
          </w:tcPr>
          <w:p w14:paraId="1DEC088C" w14:textId="4BDBB73A"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896</w:t>
            </w:r>
          </w:p>
        </w:tc>
        <w:tc>
          <w:tcPr>
            <w:tcW w:w="1155" w:type="dxa"/>
            <w:shd w:val="clear" w:color="auto" w:fill="E0D1F5"/>
            <w:vAlign w:val="center"/>
          </w:tcPr>
          <w:p w14:paraId="0310AD6B" w14:textId="5FFB325A"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1.3%</w:t>
            </w:r>
          </w:p>
        </w:tc>
        <w:tc>
          <w:tcPr>
            <w:tcW w:w="1328" w:type="dxa"/>
            <w:shd w:val="clear" w:color="auto" w:fill="E0D1F5"/>
            <w:vAlign w:val="center"/>
          </w:tcPr>
          <w:p w14:paraId="4A0B1178" w14:textId="2BCB0C85" w:rsidR="00D41091" w:rsidRPr="008235C3" w:rsidRDefault="00D41091" w:rsidP="00461385">
            <w:pPr>
              <w:jc w:val="right"/>
              <w:rPr>
                <w:sz w:val="20"/>
                <w:szCs w:val="20"/>
              </w:rPr>
            </w:pPr>
            <w:r w:rsidRPr="008235C3">
              <w:rPr>
                <w:sz w:val="20"/>
                <w:szCs w:val="20"/>
              </w:rPr>
              <w:t>3,74</w:t>
            </w:r>
            <w:r w:rsidR="00435914" w:rsidRPr="008235C3">
              <w:rPr>
                <w:sz w:val="20"/>
                <w:szCs w:val="20"/>
              </w:rPr>
              <w:t>0</w:t>
            </w:r>
          </w:p>
        </w:tc>
      </w:tr>
      <w:tr w:rsidR="00D41091" w14:paraId="29E05B7E" w14:textId="093B76F9" w:rsidTr="00B662F7">
        <w:trPr>
          <w:cnfStyle w:val="000000010000" w:firstRow="0" w:lastRow="0" w:firstColumn="0" w:lastColumn="0" w:oddVBand="0" w:evenVBand="0" w:oddHBand="0" w:evenHBand="1" w:firstRowFirstColumn="0" w:firstRowLastColumn="0" w:lastRowFirstColumn="0" w:lastRowLastColumn="0"/>
          <w:trHeight w:val="570"/>
        </w:trPr>
        <w:tc>
          <w:tcPr>
            <w:tcW w:w="1729" w:type="dxa"/>
            <w:shd w:val="clear" w:color="auto" w:fill="E0D1F5" w:themeFill="accent1" w:themeFillTint="33"/>
            <w:vAlign w:val="center"/>
          </w:tcPr>
          <w:p w14:paraId="01B97ABA" w14:textId="3A37A650" w:rsidR="00D41091" w:rsidRPr="008235C3" w:rsidRDefault="00D41091" w:rsidP="00D41091">
            <w:pPr>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Metal Fitters and Machinists</w:t>
            </w:r>
          </w:p>
        </w:tc>
        <w:tc>
          <w:tcPr>
            <w:tcW w:w="1061" w:type="dxa"/>
            <w:shd w:val="clear" w:color="auto" w:fill="E0D1F5" w:themeFill="accent1" w:themeFillTint="33"/>
            <w:vAlign w:val="center"/>
          </w:tcPr>
          <w:p w14:paraId="1C360B35" w14:textId="39CC83F7" w:rsidR="00D41091" w:rsidRPr="008235C3" w:rsidRDefault="00D41091" w:rsidP="00461385">
            <w:pPr>
              <w:jc w:val="center"/>
              <w:rPr>
                <w:rFonts w:eastAsia="Aptos Narrow"/>
                <w:sz w:val="20"/>
                <w:szCs w:val="20"/>
              </w:rPr>
            </w:pPr>
            <w:r w:rsidRPr="008235C3">
              <w:rPr>
                <w:sz w:val="20"/>
                <w:szCs w:val="20"/>
              </w:rPr>
              <w:t>3</w:t>
            </w:r>
          </w:p>
        </w:tc>
        <w:tc>
          <w:tcPr>
            <w:tcW w:w="1240" w:type="dxa"/>
            <w:shd w:val="clear" w:color="auto" w:fill="E0D1F5" w:themeFill="accent1" w:themeFillTint="33"/>
            <w:vAlign w:val="center"/>
          </w:tcPr>
          <w:p w14:paraId="43A5F0BC" w14:textId="7BA4A77C"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60,656</w:t>
            </w:r>
          </w:p>
        </w:tc>
        <w:tc>
          <w:tcPr>
            <w:tcW w:w="1328" w:type="dxa"/>
            <w:shd w:val="clear" w:color="auto" w:fill="E0D1F5" w:themeFill="accent1" w:themeFillTint="33"/>
            <w:vAlign w:val="center"/>
          </w:tcPr>
          <w:p w14:paraId="50113ADC" w14:textId="4EAA7788"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2%</w:t>
            </w:r>
          </w:p>
        </w:tc>
        <w:tc>
          <w:tcPr>
            <w:tcW w:w="1185" w:type="dxa"/>
            <w:shd w:val="clear" w:color="auto" w:fill="E0D1F5" w:themeFill="accent1" w:themeFillTint="33"/>
            <w:vAlign w:val="center"/>
          </w:tcPr>
          <w:p w14:paraId="400BDD3E" w14:textId="4711066F"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1106</w:t>
            </w:r>
          </w:p>
        </w:tc>
        <w:tc>
          <w:tcPr>
            <w:tcW w:w="1155" w:type="dxa"/>
            <w:shd w:val="clear" w:color="auto" w:fill="E0D1F5" w:themeFill="accent1" w:themeFillTint="33"/>
            <w:vAlign w:val="center"/>
          </w:tcPr>
          <w:p w14:paraId="22336CC4" w14:textId="42C791C5"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1.8%</w:t>
            </w:r>
          </w:p>
        </w:tc>
        <w:tc>
          <w:tcPr>
            <w:tcW w:w="1328" w:type="dxa"/>
            <w:shd w:val="clear" w:color="auto" w:fill="E0D1F5" w:themeFill="accent1" w:themeFillTint="33"/>
            <w:vAlign w:val="center"/>
          </w:tcPr>
          <w:p w14:paraId="494FD26C" w14:textId="377AB86B" w:rsidR="00D41091" w:rsidRPr="008235C3" w:rsidRDefault="00435914" w:rsidP="00461385">
            <w:pPr>
              <w:jc w:val="right"/>
              <w:rPr>
                <w:sz w:val="20"/>
                <w:szCs w:val="20"/>
              </w:rPr>
            </w:pPr>
            <w:r w:rsidRPr="008235C3">
              <w:rPr>
                <w:sz w:val="20"/>
                <w:szCs w:val="20"/>
              </w:rPr>
              <w:t>50</w:t>
            </w:r>
          </w:p>
        </w:tc>
      </w:tr>
      <w:tr w:rsidR="00D41091" w14:paraId="41EA71BA" w14:textId="4D648F24" w:rsidTr="00F264FC">
        <w:trPr>
          <w:trHeight w:val="405"/>
        </w:trPr>
        <w:tc>
          <w:tcPr>
            <w:tcW w:w="1729" w:type="dxa"/>
            <w:shd w:val="clear" w:color="auto" w:fill="CCEBEB"/>
            <w:vAlign w:val="center"/>
          </w:tcPr>
          <w:p w14:paraId="1F22C4C5" w14:textId="03F423DB" w:rsidR="00D41091" w:rsidRPr="008235C3" w:rsidRDefault="00D41091" w:rsidP="00D41091">
            <w:pPr>
              <w:rPr>
                <w:rFonts w:asciiTheme="minorHAnsi" w:eastAsia="Aptos Narrow" w:hAnsiTheme="minorHAnsi" w:cstheme="minorHAnsi"/>
                <w:color w:val="000000" w:themeColor="text1"/>
                <w:sz w:val="20"/>
                <w:szCs w:val="20"/>
              </w:rPr>
            </w:pPr>
            <w:r w:rsidRPr="008235C3">
              <w:rPr>
                <w:rFonts w:asciiTheme="minorHAnsi" w:eastAsia="Aptos Narrow" w:hAnsiTheme="minorHAnsi" w:cstheme="minorHAnsi"/>
                <w:color w:val="000000" w:themeColor="text1"/>
                <w:sz w:val="20"/>
                <w:szCs w:val="20"/>
              </w:rPr>
              <w:t>Child Carers</w:t>
            </w:r>
          </w:p>
        </w:tc>
        <w:tc>
          <w:tcPr>
            <w:tcW w:w="1061" w:type="dxa"/>
            <w:shd w:val="clear" w:color="auto" w:fill="CCEBEB"/>
            <w:vAlign w:val="center"/>
          </w:tcPr>
          <w:p w14:paraId="12FA237E" w14:textId="75EF6881" w:rsidR="00D41091" w:rsidRPr="008235C3" w:rsidRDefault="00D41091" w:rsidP="00461385">
            <w:pPr>
              <w:jc w:val="center"/>
              <w:rPr>
                <w:sz w:val="20"/>
                <w:szCs w:val="20"/>
              </w:rPr>
            </w:pPr>
            <w:r w:rsidRPr="008235C3">
              <w:rPr>
                <w:sz w:val="20"/>
                <w:szCs w:val="20"/>
              </w:rPr>
              <w:t>3</w:t>
            </w:r>
          </w:p>
        </w:tc>
        <w:tc>
          <w:tcPr>
            <w:tcW w:w="1240" w:type="dxa"/>
            <w:shd w:val="clear" w:color="auto" w:fill="CCEBEB"/>
            <w:vAlign w:val="center"/>
          </w:tcPr>
          <w:p w14:paraId="13E384CC" w14:textId="76BA29B1" w:rsidR="00D41091" w:rsidRPr="008235C3" w:rsidRDefault="00D41091" w:rsidP="00461385">
            <w:pPr>
              <w:jc w:val="right"/>
              <w:rPr>
                <w:sz w:val="20"/>
                <w:szCs w:val="20"/>
              </w:rPr>
            </w:pPr>
            <w:r w:rsidRPr="008235C3">
              <w:rPr>
                <w:sz w:val="20"/>
                <w:szCs w:val="20"/>
              </w:rPr>
              <w:t>58,280</w:t>
            </w:r>
          </w:p>
        </w:tc>
        <w:tc>
          <w:tcPr>
            <w:tcW w:w="1328" w:type="dxa"/>
            <w:shd w:val="clear" w:color="auto" w:fill="CCEBEB"/>
            <w:vAlign w:val="center"/>
          </w:tcPr>
          <w:p w14:paraId="1A6A47AD" w14:textId="7CB86F0C" w:rsidR="00D41091" w:rsidRPr="008235C3" w:rsidRDefault="00D41091" w:rsidP="00461385">
            <w:pPr>
              <w:jc w:val="right"/>
              <w:rPr>
                <w:sz w:val="20"/>
                <w:szCs w:val="20"/>
              </w:rPr>
            </w:pPr>
            <w:r w:rsidRPr="008235C3">
              <w:rPr>
                <w:sz w:val="20"/>
                <w:szCs w:val="20"/>
              </w:rPr>
              <w:t>96%</w:t>
            </w:r>
          </w:p>
        </w:tc>
        <w:tc>
          <w:tcPr>
            <w:tcW w:w="1185" w:type="dxa"/>
            <w:shd w:val="clear" w:color="auto" w:fill="CCEBEB"/>
            <w:vAlign w:val="center"/>
          </w:tcPr>
          <w:p w14:paraId="7A4C68D9" w14:textId="7330AC69" w:rsidR="00D41091" w:rsidRPr="008235C3" w:rsidRDefault="00D41091" w:rsidP="00461385">
            <w:pPr>
              <w:jc w:val="right"/>
              <w:rPr>
                <w:sz w:val="20"/>
                <w:szCs w:val="20"/>
              </w:rPr>
            </w:pPr>
            <w:r w:rsidRPr="008235C3">
              <w:rPr>
                <w:sz w:val="20"/>
                <w:szCs w:val="20"/>
              </w:rPr>
              <w:t>1343</w:t>
            </w:r>
          </w:p>
        </w:tc>
        <w:tc>
          <w:tcPr>
            <w:tcW w:w="1155" w:type="dxa"/>
            <w:shd w:val="clear" w:color="auto" w:fill="CCEBEB"/>
            <w:vAlign w:val="center"/>
          </w:tcPr>
          <w:p w14:paraId="605F4517" w14:textId="7D2FFBB1" w:rsidR="00D41091" w:rsidRPr="008235C3" w:rsidRDefault="00D41091" w:rsidP="00461385">
            <w:pPr>
              <w:jc w:val="right"/>
              <w:rPr>
                <w:sz w:val="20"/>
                <w:szCs w:val="20"/>
              </w:rPr>
            </w:pPr>
            <w:r w:rsidRPr="008235C3">
              <w:rPr>
                <w:sz w:val="20"/>
                <w:szCs w:val="20"/>
              </w:rPr>
              <w:t>2.3%</w:t>
            </w:r>
          </w:p>
        </w:tc>
        <w:tc>
          <w:tcPr>
            <w:tcW w:w="1328" w:type="dxa"/>
            <w:shd w:val="clear" w:color="auto" w:fill="CCEBEB"/>
            <w:vAlign w:val="center"/>
          </w:tcPr>
          <w:p w14:paraId="25D42901" w14:textId="2F36ABDC" w:rsidR="00D41091" w:rsidRPr="008235C3" w:rsidRDefault="00D41091" w:rsidP="00461385">
            <w:pPr>
              <w:jc w:val="right"/>
              <w:rPr>
                <w:sz w:val="20"/>
                <w:szCs w:val="20"/>
              </w:rPr>
            </w:pPr>
            <w:r w:rsidRPr="008235C3">
              <w:rPr>
                <w:sz w:val="20"/>
                <w:szCs w:val="20"/>
              </w:rPr>
              <w:t>13,50</w:t>
            </w:r>
            <w:r w:rsidR="00435914" w:rsidRPr="008235C3">
              <w:rPr>
                <w:sz w:val="20"/>
                <w:szCs w:val="20"/>
              </w:rPr>
              <w:t>5</w:t>
            </w:r>
          </w:p>
        </w:tc>
      </w:tr>
      <w:tr w:rsidR="00D41091" w14:paraId="069E6C74" w14:textId="7A89850F" w:rsidTr="003475DB">
        <w:trPr>
          <w:cnfStyle w:val="000000010000" w:firstRow="0" w:lastRow="0" w:firstColumn="0" w:lastColumn="0" w:oddVBand="0" w:evenVBand="0" w:oddHBand="0" w:evenHBand="1" w:firstRowFirstColumn="0" w:firstRowLastColumn="0" w:lastRowFirstColumn="0" w:lastRowLastColumn="0"/>
          <w:trHeight w:val="420"/>
        </w:trPr>
        <w:tc>
          <w:tcPr>
            <w:tcW w:w="1729" w:type="dxa"/>
            <w:shd w:val="clear" w:color="auto" w:fill="E0D1F5"/>
            <w:vAlign w:val="center"/>
          </w:tcPr>
          <w:p w14:paraId="5A19B566" w14:textId="48104566" w:rsidR="00D41091" w:rsidRPr="008235C3" w:rsidRDefault="00D41091" w:rsidP="00D41091">
            <w:pPr>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Carpenters and Joiners</w:t>
            </w:r>
          </w:p>
        </w:tc>
        <w:tc>
          <w:tcPr>
            <w:tcW w:w="1061" w:type="dxa"/>
            <w:shd w:val="clear" w:color="auto" w:fill="E0D1F5"/>
            <w:vAlign w:val="center"/>
          </w:tcPr>
          <w:p w14:paraId="78BA4F85" w14:textId="7C890B87" w:rsidR="00D41091" w:rsidRPr="008235C3" w:rsidRDefault="00D41091" w:rsidP="00461385">
            <w:pPr>
              <w:jc w:val="center"/>
              <w:rPr>
                <w:rFonts w:eastAsia="Aptos Narrow"/>
                <w:sz w:val="20"/>
                <w:szCs w:val="20"/>
              </w:rPr>
            </w:pPr>
            <w:r w:rsidRPr="008235C3">
              <w:rPr>
                <w:sz w:val="20"/>
                <w:szCs w:val="20"/>
              </w:rPr>
              <w:t>3</w:t>
            </w:r>
          </w:p>
        </w:tc>
        <w:tc>
          <w:tcPr>
            <w:tcW w:w="1240" w:type="dxa"/>
            <w:shd w:val="clear" w:color="auto" w:fill="E0D1F5"/>
            <w:vAlign w:val="center"/>
          </w:tcPr>
          <w:p w14:paraId="2750F92D" w14:textId="5EDE6FFF"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53,017</w:t>
            </w:r>
          </w:p>
        </w:tc>
        <w:tc>
          <w:tcPr>
            <w:tcW w:w="1328" w:type="dxa"/>
            <w:shd w:val="clear" w:color="auto" w:fill="E0D1F5"/>
            <w:vAlign w:val="center"/>
          </w:tcPr>
          <w:p w14:paraId="6873F522" w14:textId="4A892CF9"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w:t>
            </w:r>
          </w:p>
        </w:tc>
        <w:tc>
          <w:tcPr>
            <w:tcW w:w="1185" w:type="dxa"/>
            <w:shd w:val="clear" w:color="auto" w:fill="E0D1F5"/>
            <w:vAlign w:val="center"/>
          </w:tcPr>
          <w:p w14:paraId="439005A0" w14:textId="2D531B0D"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233</w:t>
            </w:r>
          </w:p>
        </w:tc>
        <w:tc>
          <w:tcPr>
            <w:tcW w:w="1155" w:type="dxa"/>
            <w:shd w:val="clear" w:color="auto" w:fill="E0D1F5"/>
            <w:vAlign w:val="center"/>
          </w:tcPr>
          <w:p w14:paraId="073490AA" w14:textId="34D7C04B"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0.4%</w:t>
            </w:r>
          </w:p>
        </w:tc>
        <w:tc>
          <w:tcPr>
            <w:tcW w:w="1328" w:type="dxa"/>
            <w:shd w:val="clear" w:color="auto" w:fill="E0D1F5"/>
            <w:vAlign w:val="center"/>
          </w:tcPr>
          <w:p w14:paraId="08C27FA6" w14:textId="4956CDA7" w:rsidR="00D41091" w:rsidRPr="008235C3" w:rsidRDefault="00D41091" w:rsidP="00461385">
            <w:pPr>
              <w:jc w:val="right"/>
              <w:rPr>
                <w:sz w:val="20"/>
                <w:szCs w:val="20"/>
              </w:rPr>
            </w:pPr>
            <w:r w:rsidRPr="008235C3">
              <w:rPr>
                <w:sz w:val="20"/>
                <w:szCs w:val="20"/>
              </w:rPr>
              <w:t>4,98</w:t>
            </w:r>
            <w:r w:rsidR="00435914" w:rsidRPr="008235C3">
              <w:rPr>
                <w:sz w:val="20"/>
                <w:szCs w:val="20"/>
              </w:rPr>
              <w:t>5</w:t>
            </w:r>
          </w:p>
        </w:tc>
      </w:tr>
      <w:tr w:rsidR="00D41091" w14:paraId="4514C061" w14:textId="23F668D6" w:rsidTr="00F129D0">
        <w:trPr>
          <w:trHeight w:val="684"/>
        </w:trPr>
        <w:tc>
          <w:tcPr>
            <w:tcW w:w="1729" w:type="dxa"/>
            <w:shd w:val="clear" w:color="auto" w:fill="E0D1F5"/>
            <w:vAlign w:val="center"/>
          </w:tcPr>
          <w:p w14:paraId="06B35571" w14:textId="36FF0946" w:rsidR="00D41091" w:rsidRPr="008235C3" w:rsidRDefault="00D41091" w:rsidP="00D41091">
            <w:pPr>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Motor Mechanics</w:t>
            </w:r>
          </w:p>
        </w:tc>
        <w:tc>
          <w:tcPr>
            <w:tcW w:w="1061" w:type="dxa"/>
            <w:shd w:val="clear" w:color="auto" w:fill="E0D1F5"/>
            <w:vAlign w:val="center"/>
          </w:tcPr>
          <w:p w14:paraId="4BE38615" w14:textId="308C4530" w:rsidR="00D41091" w:rsidRPr="008235C3" w:rsidRDefault="00D41091" w:rsidP="00461385">
            <w:pPr>
              <w:jc w:val="center"/>
              <w:rPr>
                <w:sz w:val="20"/>
                <w:szCs w:val="20"/>
              </w:rPr>
            </w:pPr>
            <w:r w:rsidRPr="008235C3">
              <w:rPr>
                <w:sz w:val="20"/>
                <w:szCs w:val="20"/>
              </w:rPr>
              <w:t>3</w:t>
            </w:r>
          </w:p>
        </w:tc>
        <w:tc>
          <w:tcPr>
            <w:tcW w:w="1240" w:type="dxa"/>
            <w:shd w:val="clear" w:color="auto" w:fill="E0D1F5"/>
            <w:vAlign w:val="center"/>
          </w:tcPr>
          <w:p w14:paraId="28E1857A" w14:textId="167B7DDA"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44,365</w:t>
            </w:r>
          </w:p>
        </w:tc>
        <w:tc>
          <w:tcPr>
            <w:tcW w:w="1328" w:type="dxa"/>
            <w:shd w:val="clear" w:color="auto" w:fill="E0D1F5"/>
            <w:vAlign w:val="center"/>
          </w:tcPr>
          <w:p w14:paraId="6ECA605A" w14:textId="0B8F31FD"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2%</w:t>
            </w:r>
          </w:p>
        </w:tc>
        <w:tc>
          <w:tcPr>
            <w:tcW w:w="1185" w:type="dxa"/>
            <w:shd w:val="clear" w:color="auto" w:fill="E0D1F5"/>
            <w:vAlign w:val="center"/>
          </w:tcPr>
          <w:p w14:paraId="64DF3E06" w14:textId="68419291"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1255</w:t>
            </w:r>
          </w:p>
        </w:tc>
        <w:tc>
          <w:tcPr>
            <w:tcW w:w="1155" w:type="dxa"/>
            <w:shd w:val="clear" w:color="auto" w:fill="E0D1F5"/>
            <w:vAlign w:val="center"/>
          </w:tcPr>
          <w:p w14:paraId="635B6A95" w14:textId="53F8D4FC" w:rsidR="00D41091" w:rsidRPr="008235C3" w:rsidRDefault="00D41091" w:rsidP="00461385">
            <w:pPr>
              <w:jc w:val="right"/>
              <w:rPr>
                <w:rFonts w:asciiTheme="minorHAnsi" w:hAnsiTheme="minorHAnsi" w:cstheme="minorHAnsi"/>
                <w:sz w:val="20"/>
                <w:szCs w:val="20"/>
              </w:rPr>
            </w:pPr>
            <w:r w:rsidRPr="008235C3">
              <w:rPr>
                <w:rFonts w:asciiTheme="minorHAnsi" w:eastAsia="Aptos Narrow" w:hAnsiTheme="minorHAnsi" w:cstheme="minorHAnsi"/>
                <w:color w:val="000000" w:themeColor="text1"/>
                <w:sz w:val="20"/>
                <w:szCs w:val="20"/>
              </w:rPr>
              <w:t>2.8%</w:t>
            </w:r>
          </w:p>
        </w:tc>
        <w:tc>
          <w:tcPr>
            <w:tcW w:w="1328" w:type="dxa"/>
            <w:shd w:val="clear" w:color="auto" w:fill="E0D1F5"/>
            <w:vAlign w:val="center"/>
          </w:tcPr>
          <w:p w14:paraId="3F209F47" w14:textId="45845F61" w:rsidR="00D41091" w:rsidRPr="008235C3" w:rsidRDefault="00D41091" w:rsidP="00461385">
            <w:pPr>
              <w:jc w:val="right"/>
              <w:rPr>
                <w:sz w:val="20"/>
                <w:szCs w:val="20"/>
              </w:rPr>
            </w:pPr>
            <w:r w:rsidRPr="008235C3">
              <w:rPr>
                <w:sz w:val="20"/>
                <w:szCs w:val="20"/>
              </w:rPr>
              <w:t>11,2</w:t>
            </w:r>
            <w:r w:rsidR="00435914" w:rsidRPr="008235C3">
              <w:rPr>
                <w:sz w:val="20"/>
                <w:szCs w:val="20"/>
              </w:rPr>
              <w:t>10</w:t>
            </w:r>
          </w:p>
        </w:tc>
      </w:tr>
      <w:tr w:rsidR="00D41091" w14:paraId="106A194B" w14:textId="20233E90" w:rsidTr="00F264FC">
        <w:trPr>
          <w:cnfStyle w:val="000000010000" w:firstRow="0" w:lastRow="0" w:firstColumn="0" w:lastColumn="0" w:oddVBand="0" w:evenVBand="0" w:oddHBand="0" w:evenHBand="1" w:firstRowFirstColumn="0" w:firstRowLastColumn="0" w:lastRowFirstColumn="0" w:lastRowLastColumn="0"/>
          <w:trHeight w:val="270"/>
        </w:trPr>
        <w:tc>
          <w:tcPr>
            <w:tcW w:w="1729" w:type="dxa"/>
            <w:shd w:val="clear" w:color="auto" w:fill="CCEBEB"/>
            <w:vAlign w:val="center"/>
          </w:tcPr>
          <w:p w14:paraId="48251271" w14:textId="2F3D12B6" w:rsidR="00D41091" w:rsidRPr="00BA4F66" w:rsidRDefault="009B7C03" w:rsidP="00D41091">
            <w:pPr>
              <w:rPr>
                <w:rFonts w:asciiTheme="minorHAnsi" w:eastAsia="Aptos Narrow" w:hAnsiTheme="minorHAnsi" w:cstheme="minorHAnsi"/>
                <w:color w:val="000000" w:themeColor="text1"/>
                <w:sz w:val="20"/>
                <w:szCs w:val="20"/>
              </w:rPr>
            </w:pPr>
            <w:r w:rsidRPr="00BA4F66">
              <w:rPr>
                <w:rFonts w:asciiTheme="minorHAnsi" w:eastAsia="Aptos Narrow" w:hAnsiTheme="minorHAnsi" w:cstheme="minorHAnsi"/>
                <w:color w:val="000000" w:themeColor="text1"/>
                <w:sz w:val="20"/>
                <w:szCs w:val="20"/>
              </w:rPr>
              <w:t>Drillers, Miners and Shot Firers</w:t>
            </w:r>
          </w:p>
        </w:tc>
        <w:tc>
          <w:tcPr>
            <w:tcW w:w="1061" w:type="dxa"/>
            <w:shd w:val="clear" w:color="auto" w:fill="CCEBEB"/>
          </w:tcPr>
          <w:p w14:paraId="55799A15" w14:textId="77777777" w:rsidR="00A00EA5" w:rsidRDefault="00A00EA5" w:rsidP="00626AA8">
            <w:pPr>
              <w:jc w:val="center"/>
              <w:rPr>
                <w:rFonts w:asciiTheme="minorHAnsi" w:eastAsia="Aptos Narrow" w:hAnsiTheme="minorHAnsi" w:cstheme="minorHAnsi"/>
                <w:color w:val="000000" w:themeColor="text1"/>
                <w:sz w:val="20"/>
                <w:szCs w:val="20"/>
              </w:rPr>
            </w:pPr>
          </w:p>
          <w:p w14:paraId="2C221C08" w14:textId="7024F937" w:rsidR="00D41091" w:rsidRPr="00BA4F66" w:rsidRDefault="009B7C03" w:rsidP="00626AA8">
            <w:pPr>
              <w:jc w:val="center"/>
              <w:rPr>
                <w:rFonts w:asciiTheme="minorHAnsi" w:eastAsia="Aptos Narrow" w:hAnsiTheme="minorHAnsi" w:cstheme="minorHAnsi"/>
                <w:color w:val="000000" w:themeColor="text1"/>
                <w:sz w:val="20"/>
                <w:szCs w:val="20"/>
              </w:rPr>
            </w:pPr>
            <w:r w:rsidRPr="00BA4F66">
              <w:rPr>
                <w:rFonts w:asciiTheme="minorHAnsi" w:eastAsia="Aptos Narrow" w:hAnsiTheme="minorHAnsi" w:cstheme="minorHAnsi"/>
                <w:color w:val="000000" w:themeColor="text1"/>
                <w:sz w:val="20"/>
                <w:szCs w:val="20"/>
              </w:rPr>
              <w:t>4</w:t>
            </w:r>
          </w:p>
        </w:tc>
        <w:tc>
          <w:tcPr>
            <w:tcW w:w="1240" w:type="dxa"/>
            <w:shd w:val="clear" w:color="auto" w:fill="CCEBEB"/>
            <w:vAlign w:val="center"/>
          </w:tcPr>
          <w:p w14:paraId="514164A6" w14:textId="6B711FF3" w:rsidR="00D41091" w:rsidRPr="00BA4F66" w:rsidRDefault="009B7C03" w:rsidP="00461385">
            <w:pPr>
              <w:jc w:val="right"/>
              <w:rPr>
                <w:rFonts w:asciiTheme="minorHAnsi" w:eastAsia="Aptos Narrow" w:hAnsiTheme="minorHAnsi" w:cstheme="minorHAnsi"/>
                <w:color w:val="000000" w:themeColor="text1"/>
                <w:sz w:val="20"/>
                <w:szCs w:val="20"/>
              </w:rPr>
            </w:pPr>
            <w:r w:rsidRPr="00BA4F66">
              <w:rPr>
                <w:rFonts w:asciiTheme="minorHAnsi" w:eastAsia="Aptos Narrow" w:hAnsiTheme="minorHAnsi" w:cstheme="minorHAnsi"/>
                <w:color w:val="000000" w:themeColor="text1"/>
                <w:sz w:val="20"/>
                <w:szCs w:val="20"/>
              </w:rPr>
              <w:t>42,528</w:t>
            </w:r>
          </w:p>
        </w:tc>
        <w:tc>
          <w:tcPr>
            <w:tcW w:w="1328" w:type="dxa"/>
            <w:shd w:val="clear" w:color="auto" w:fill="CCEBEB"/>
            <w:vAlign w:val="center"/>
          </w:tcPr>
          <w:p w14:paraId="54BF07D9" w14:textId="09458676" w:rsidR="00D41091" w:rsidRPr="00BA4F66" w:rsidRDefault="009B7C03" w:rsidP="00461385">
            <w:pPr>
              <w:jc w:val="right"/>
              <w:rPr>
                <w:rFonts w:asciiTheme="minorHAnsi" w:eastAsia="Aptos Narrow" w:hAnsiTheme="minorHAnsi" w:cstheme="minorHAnsi"/>
                <w:color w:val="000000" w:themeColor="text1"/>
                <w:sz w:val="20"/>
                <w:szCs w:val="20"/>
              </w:rPr>
            </w:pPr>
            <w:r w:rsidRPr="00BA4F66">
              <w:rPr>
                <w:rFonts w:asciiTheme="minorHAnsi" w:eastAsia="Aptos Narrow" w:hAnsiTheme="minorHAnsi" w:cstheme="minorHAnsi"/>
                <w:color w:val="000000" w:themeColor="text1"/>
                <w:sz w:val="20"/>
                <w:szCs w:val="20"/>
              </w:rPr>
              <w:t>11%</w:t>
            </w:r>
          </w:p>
        </w:tc>
        <w:tc>
          <w:tcPr>
            <w:tcW w:w="1185" w:type="dxa"/>
            <w:shd w:val="clear" w:color="auto" w:fill="CCEBEB"/>
            <w:vAlign w:val="center"/>
          </w:tcPr>
          <w:p w14:paraId="3F9CFDFA" w14:textId="3FBBC2BE" w:rsidR="00D41091" w:rsidRPr="00BA4F66" w:rsidRDefault="009B7C03" w:rsidP="00461385">
            <w:pPr>
              <w:jc w:val="right"/>
              <w:rPr>
                <w:rFonts w:asciiTheme="minorHAnsi" w:eastAsia="Aptos Narrow" w:hAnsiTheme="minorHAnsi" w:cstheme="minorHAnsi"/>
                <w:color w:val="000000" w:themeColor="text1"/>
                <w:sz w:val="20"/>
                <w:szCs w:val="20"/>
              </w:rPr>
            </w:pPr>
            <w:r w:rsidRPr="00BA4F66">
              <w:rPr>
                <w:rFonts w:asciiTheme="minorHAnsi" w:eastAsia="Aptos Narrow" w:hAnsiTheme="minorHAnsi" w:cstheme="minorHAnsi"/>
                <w:color w:val="000000" w:themeColor="text1"/>
                <w:sz w:val="20"/>
                <w:szCs w:val="20"/>
              </w:rPr>
              <w:t>272</w:t>
            </w:r>
          </w:p>
        </w:tc>
        <w:tc>
          <w:tcPr>
            <w:tcW w:w="1155" w:type="dxa"/>
            <w:shd w:val="clear" w:color="auto" w:fill="CCEBEB"/>
            <w:vAlign w:val="center"/>
          </w:tcPr>
          <w:p w14:paraId="04C83A1D" w14:textId="42133ACC" w:rsidR="00D41091" w:rsidRPr="00BA4F66" w:rsidRDefault="009B7C03" w:rsidP="00461385">
            <w:pPr>
              <w:jc w:val="right"/>
              <w:rPr>
                <w:rFonts w:asciiTheme="minorHAnsi" w:eastAsia="Aptos Narrow" w:hAnsiTheme="minorHAnsi" w:cstheme="minorHAnsi"/>
                <w:color w:val="000000" w:themeColor="text1"/>
                <w:sz w:val="20"/>
                <w:szCs w:val="20"/>
              </w:rPr>
            </w:pPr>
            <w:r w:rsidRPr="00BA4F66">
              <w:rPr>
                <w:rFonts w:asciiTheme="minorHAnsi" w:eastAsia="Aptos Narrow" w:hAnsiTheme="minorHAnsi" w:cstheme="minorHAnsi"/>
                <w:color w:val="000000" w:themeColor="text1"/>
                <w:sz w:val="20"/>
                <w:szCs w:val="20"/>
              </w:rPr>
              <w:t>0.6%</w:t>
            </w:r>
          </w:p>
        </w:tc>
        <w:tc>
          <w:tcPr>
            <w:tcW w:w="1328" w:type="dxa"/>
            <w:shd w:val="clear" w:color="auto" w:fill="CCEBEB"/>
          </w:tcPr>
          <w:p w14:paraId="3F95C7F6" w14:textId="77777777" w:rsidR="00A00EA5" w:rsidRDefault="00A00EA5" w:rsidP="00461385">
            <w:pPr>
              <w:jc w:val="right"/>
              <w:rPr>
                <w:sz w:val="20"/>
                <w:szCs w:val="20"/>
              </w:rPr>
            </w:pPr>
          </w:p>
          <w:p w14:paraId="0323E159" w14:textId="000E4C67" w:rsidR="00D41091" w:rsidRPr="00BA4F66" w:rsidRDefault="009B7C03" w:rsidP="00461385">
            <w:pPr>
              <w:jc w:val="right"/>
              <w:rPr>
                <w:sz w:val="20"/>
                <w:szCs w:val="20"/>
              </w:rPr>
            </w:pPr>
            <w:r w:rsidRPr="00BA4F66">
              <w:rPr>
                <w:sz w:val="20"/>
                <w:szCs w:val="20"/>
              </w:rPr>
              <w:t>1,</w:t>
            </w:r>
            <w:r w:rsidR="00EA3984" w:rsidRPr="00BA4F66">
              <w:rPr>
                <w:sz w:val="20"/>
                <w:szCs w:val="20"/>
              </w:rPr>
              <w:t>5</w:t>
            </w:r>
            <w:r w:rsidR="00925A18" w:rsidRPr="00BA4F66">
              <w:rPr>
                <w:sz w:val="20"/>
                <w:szCs w:val="20"/>
              </w:rPr>
              <w:t>70</w:t>
            </w:r>
          </w:p>
        </w:tc>
      </w:tr>
    </w:tbl>
    <w:p w14:paraId="515912E9" w14:textId="77777777" w:rsidR="00D41091" w:rsidRDefault="00D41091" w:rsidP="003D070F">
      <w:r w:rsidRPr="002609D1">
        <w:rPr>
          <w:noProof/>
        </w:rPr>
        <mc:AlternateContent>
          <mc:Choice Requires="wpg">
            <w:drawing>
              <wp:inline distT="0" distB="0" distL="0" distR="0" wp14:anchorId="20636CE3" wp14:editId="26548C08">
                <wp:extent cx="5610225" cy="289560"/>
                <wp:effectExtent l="0" t="0" r="0" b="0"/>
                <wp:docPr id="1844684421" name="Group 34"/>
                <wp:cNvGraphicFramePr/>
                <a:graphic xmlns:a="http://schemas.openxmlformats.org/drawingml/2006/main">
                  <a:graphicData uri="http://schemas.microsoft.com/office/word/2010/wordprocessingGroup">
                    <wpg:wgp>
                      <wpg:cNvGrpSpPr/>
                      <wpg:grpSpPr>
                        <a:xfrm>
                          <a:off x="0" y="0"/>
                          <a:ext cx="5610225" cy="289560"/>
                          <a:chOff x="0" y="0"/>
                          <a:chExt cx="5429250" cy="290178"/>
                        </a:xfrm>
                      </wpg:grpSpPr>
                      <wps:wsp>
                        <wps:cNvPr id="984460776" name="Rectangle 984460776"/>
                        <wps:cNvSpPr/>
                        <wps:spPr>
                          <a:xfrm>
                            <a:off x="0" y="32668"/>
                            <a:ext cx="514350" cy="165100"/>
                          </a:xfrm>
                          <a:prstGeom prst="rect">
                            <a:avLst/>
                          </a:prstGeom>
                          <a:solidFill>
                            <a:srgbClr val="E0D1F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17038014" name="Rectangle 1817038014"/>
                        <wps:cNvSpPr/>
                        <wps:spPr>
                          <a:xfrm>
                            <a:off x="2882900" y="32163"/>
                            <a:ext cx="514350" cy="165100"/>
                          </a:xfrm>
                          <a:prstGeom prst="rect">
                            <a:avLst/>
                          </a:prstGeom>
                          <a:solidFill>
                            <a:srgbClr val="CCEBEB"/>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06440156" name="Rectangle 506440156"/>
                        <wps:cNvSpPr/>
                        <wps:spPr>
                          <a:xfrm>
                            <a:off x="1441450" y="29397"/>
                            <a:ext cx="514350" cy="165100"/>
                          </a:xfrm>
                          <a:prstGeom prst="rect">
                            <a:avLst/>
                          </a:prstGeom>
                          <a:solidFill>
                            <a:srgbClr val="FBD4E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0614786" name="Rectangle 2010614786"/>
                        <wps:cNvSpPr/>
                        <wps:spPr>
                          <a:xfrm>
                            <a:off x="4121150" y="25628"/>
                            <a:ext cx="514350" cy="165100"/>
                          </a:xfrm>
                          <a:prstGeom prst="rect">
                            <a:avLst/>
                          </a:prstGeom>
                          <a:solidFill>
                            <a:srgbClr val="CFE9FA"/>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02509381" name="TextBox 30"/>
                        <wps:cNvSpPr txBox="1"/>
                        <wps:spPr>
                          <a:xfrm>
                            <a:off x="469900" y="4212"/>
                            <a:ext cx="1206500" cy="283210"/>
                          </a:xfrm>
                          <a:prstGeom prst="rect">
                            <a:avLst/>
                          </a:prstGeom>
                          <a:noFill/>
                        </wps:spPr>
                        <wps:txbx>
                          <w:txbxContent>
                            <w:p w14:paraId="4A5991C3"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Long Training Gap</w:t>
                              </w:r>
                            </w:p>
                          </w:txbxContent>
                        </wps:txbx>
                        <wps:bodyPr wrap="square" rtlCol="0">
                          <a:spAutoFit/>
                        </wps:bodyPr>
                      </wps:wsp>
                      <wps:wsp>
                        <wps:cNvPr id="651889271" name="TextBox 31"/>
                        <wps:cNvSpPr txBox="1"/>
                        <wps:spPr>
                          <a:xfrm>
                            <a:off x="3327400" y="0"/>
                            <a:ext cx="850900" cy="283210"/>
                          </a:xfrm>
                          <a:prstGeom prst="rect">
                            <a:avLst/>
                          </a:prstGeom>
                          <a:noFill/>
                        </wps:spPr>
                        <wps:txbx>
                          <w:txbxContent>
                            <w:p w14:paraId="73BAD2C9"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Retention Gap</w:t>
                              </w:r>
                            </w:p>
                          </w:txbxContent>
                        </wps:txbx>
                        <wps:bodyPr wrap="square" rtlCol="0">
                          <a:spAutoFit/>
                        </wps:bodyPr>
                      </wps:wsp>
                      <wps:wsp>
                        <wps:cNvPr id="711891419" name="TextBox 32"/>
                        <wps:cNvSpPr txBox="1"/>
                        <wps:spPr>
                          <a:xfrm>
                            <a:off x="1895475" y="0"/>
                            <a:ext cx="1206500" cy="283210"/>
                          </a:xfrm>
                          <a:prstGeom prst="rect">
                            <a:avLst/>
                          </a:prstGeom>
                          <a:noFill/>
                        </wps:spPr>
                        <wps:txbx>
                          <w:txbxContent>
                            <w:p w14:paraId="367993ED"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Short Training Gap</w:t>
                              </w:r>
                            </w:p>
                          </w:txbxContent>
                        </wps:txbx>
                        <wps:bodyPr wrap="square" rtlCol="0">
                          <a:spAutoFit/>
                        </wps:bodyPr>
                      </wps:wsp>
                      <wps:wsp>
                        <wps:cNvPr id="1641949099" name="TextBox 33"/>
                        <wps:cNvSpPr txBox="1"/>
                        <wps:spPr>
                          <a:xfrm>
                            <a:off x="4578350" y="6968"/>
                            <a:ext cx="850900" cy="283210"/>
                          </a:xfrm>
                          <a:prstGeom prst="rect">
                            <a:avLst/>
                          </a:prstGeom>
                          <a:noFill/>
                        </wps:spPr>
                        <wps:txbx>
                          <w:txbxContent>
                            <w:p w14:paraId="11971E79"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Suitability Gap</w:t>
                              </w:r>
                            </w:p>
                          </w:txbxContent>
                        </wps:txbx>
                        <wps:bodyPr wrap="square" rtlCol="0">
                          <a:spAutoFit/>
                        </wps:bodyPr>
                      </wps:wsp>
                    </wpg:wgp>
                  </a:graphicData>
                </a:graphic>
              </wp:inline>
            </w:drawing>
          </mc:Choice>
          <mc:Fallback>
            <w:pict>
              <v:group w14:anchorId="20636CE3" id="_x0000_s1067" style="width:441.75pt;height:22.8pt;mso-position-horizontal-relative:char;mso-position-vertical-relative:line" coordsize="54292,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">
                <v:rect id="Rectangle 984460776" o:spid="_x0000_s1068" style="position:absolute;top:326;width:514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" fillcolor="#e0d1f5" stroked="f" strokeweight="1pt"/>
                <v:rect id="Rectangle 1817038014" o:spid="_x0000_s1069" style="position:absolute;left:28829;top:321;width:514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" fillcolor="#ccebeb" stroked="f" strokeweight="1pt"/>
                <v:rect id="Rectangle 506440156" o:spid="_x0000_s1070" style="position:absolute;left:14414;top:293;width:514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" fillcolor="#fbd4e2" stroked="f" strokeweight="1pt"/>
                <v:rect id="Rectangle 2010614786" o:spid="_x0000_s1071" style="position:absolute;left:41211;top:256;width:514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" fillcolor="#cfe9fa" stroked="f" strokeweight="1pt"/>
                <v:shape id="TextBox 30" o:spid="_x0000_s1072" type="#_x0000_t202" style="position:absolute;left:4699;top:42;width:12065;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" filled="f" stroked="f">
                  <v:textbox style="mso-fit-shape-to-text:t">
                    <w:txbxContent>
                      <w:p w14:paraId="4A5991C3"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Long Training Gap</w:t>
                        </w:r>
                      </w:p>
                    </w:txbxContent>
                  </v:textbox>
                </v:shape>
                <v:shape id="TextBox 31" o:spid="_x0000_s1073" type="#_x0000_t202" style="position:absolute;left:33274;width:850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" filled="f" stroked="f">
                  <v:textbox style="mso-fit-shape-to-text:t">
                    <w:txbxContent>
                      <w:p w14:paraId="73BAD2C9"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Retention Gap</w:t>
                        </w:r>
                      </w:p>
                    </w:txbxContent>
                  </v:textbox>
                </v:shape>
                <v:shape id="TextBox 32" o:spid="_x0000_s1074" type="#_x0000_t202" style="position:absolute;left:18954;width:12065;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" filled="f" stroked="f">
                  <v:textbox style="mso-fit-shape-to-text:t">
                    <w:txbxContent>
                      <w:p w14:paraId="367993ED"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Short Training Gap</w:t>
                        </w:r>
                      </w:p>
                    </w:txbxContent>
                  </v:textbox>
                </v:shape>
                <v:shape id="TextBox 33" o:spid="_x0000_s1075" type="#_x0000_t202" style="position:absolute;left:45783;top:69;width:850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" filled="f" stroked="f">
                  <v:textbox style="mso-fit-shape-to-text:t">
                    <w:txbxContent>
                      <w:p w14:paraId="11971E79" w14:textId="77777777" w:rsidR="00D41091" w:rsidRDefault="00D41091" w:rsidP="00D41091">
                        <w:pPr>
                          <w:rPr>
                            <w:rFonts w:cs="Arial"/>
                            <w:color w:val="000000" w:themeColor="text1"/>
                            <w:kern w:val="24"/>
                            <w:sz w:val="16"/>
                            <w:szCs w:val="16"/>
                          </w:rPr>
                        </w:pPr>
                        <w:r>
                          <w:rPr>
                            <w:rFonts w:cs="Arial"/>
                            <w:color w:val="000000" w:themeColor="text1"/>
                            <w:kern w:val="24"/>
                            <w:sz w:val="16"/>
                            <w:szCs w:val="16"/>
                          </w:rPr>
                          <w:t>Suitability Gap</w:t>
                        </w:r>
                      </w:p>
                    </w:txbxContent>
                  </v:textbox>
                </v:shape>
                <w10:anchorlock/>
              </v:group>
            </w:pict>
          </mc:Fallback>
        </mc:AlternateContent>
      </w:r>
    </w:p>
    <w:p w14:paraId="67D06548" w14:textId="2A6327F9" w:rsidR="00B662F7" w:rsidRPr="00D86368" w:rsidRDefault="00D41091" w:rsidP="00B662F7">
      <w:pPr>
        <w:pStyle w:val="Source"/>
        <w:rPr>
          <w:rFonts w:asciiTheme="minorHAnsi" w:hAnsiTheme="minorHAnsi" w:cstheme="minorHAnsi"/>
        </w:rPr>
      </w:pPr>
      <w:r w:rsidRPr="00CD312D">
        <w:rPr>
          <w:rFonts w:asciiTheme="minorHAnsi" w:hAnsiTheme="minorHAnsi" w:cstheme="minorHAnsi"/>
        </w:rPr>
        <w:t xml:space="preserve">Sources: JSA, </w:t>
      </w:r>
      <w:r w:rsidRPr="00901A26">
        <w:rPr>
          <w:rFonts w:asciiTheme="minorHAnsi" w:hAnsiTheme="minorHAnsi" w:cstheme="minorHAnsi"/>
          <w:i/>
          <w:iCs/>
        </w:rPr>
        <w:t>Nowcast of Employment by Region and Occupation</w:t>
      </w:r>
      <w:r w:rsidRPr="00CD312D">
        <w:rPr>
          <w:rFonts w:asciiTheme="minorHAnsi" w:hAnsiTheme="minorHAnsi" w:cstheme="minorHAnsi"/>
        </w:rPr>
        <w:t xml:space="preserve">, July 2024; ABS, </w:t>
      </w:r>
      <w:r w:rsidRPr="00901A26">
        <w:rPr>
          <w:rFonts w:asciiTheme="minorHAnsi" w:hAnsiTheme="minorHAnsi" w:cstheme="minorHAnsi"/>
          <w:i/>
          <w:iCs/>
        </w:rPr>
        <w:t>Census of Population and Housing</w:t>
      </w:r>
      <w:r w:rsidRPr="00CD312D">
        <w:rPr>
          <w:rFonts w:asciiTheme="minorHAnsi" w:hAnsiTheme="minorHAnsi" w:cstheme="minorHAnsi"/>
        </w:rPr>
        <w:t xml:space="preserve">, 2021, Tablebuilder; JSA, </w:t>
      </w:r>
      <w:r w:rsidRPr="00901A26">
        <w:rPr>
          <w:rFonts w:asciiTheme="minorHAnsi" w:hAnsiTheme="minorHAnsi" w:cstheme="minorHAnsi"/>
          <w:i/>
          <w:iCs/>
        </w:rPr>
        <w:t>Skills Priority List,</w:t>
      </w:r>
      <w:r w:rsidRPr="00CD312D">
        <w:rPr>
          <w:rFonts w:asciiTheme="minorHAnsi" w:hAnsiTheme="minorHAnsi" w:cstheme="minorHAnsi"/>
        </w:rPr>
        <w:t xml:space="preserve"> 2023; JSA, </w:t>
      </w:r>
      <w:r w:rsidRPr="00901A26">
        <w:rPr>
          <w:rFonts w:asciiTheme="minorHAnsi" w:hAnsiTheme="minorHAnsi" w:cstheme="minorHAnsi"/>
          <w:i/>
          <w:iCs/>
        </w:rPr>
        <w:t>Internet Vacancy Index</w:t>
      </w:r>
      <w:r w:rsidRPr="00CD312D">
        <w:rPr>
          <w:rFonts w:asciiTheme="minorHAnsi" w:hAnsiTheme="minorHAnsi" w:cstheme="minorHAnsi"/>
        </w:rPr>
        <w:t>, 3-month averages, July 2024</w:t>
      </w:r>
      <w:r w:rsidR="00B662F7">
        <w:rPr>
          <w:rFonts w:asciiTheme="minorHAnsi" w:hAnsiTheme="minorHAnsi" w:cstheme="minorHAnsi"/>
        </w:rPr>
        <w:t xml:space="preserve">; and </w:t>
      </w:r>
      <w:r w:rsidR="00B662F7" w:rsidRPr="00D86368">
        <w:rPr>
          <w:rFonts w:asciiTheme="minorHAnsi" w:hAnsiTheme="minorHAnsi" w:cstheme="minorHAnsi"/>
        </w:rPr>
        <w:t xml:space="preserve">NCVER, </w:t>
      </w:r>
      <w:r w:rsidR="00B662F7" w:rsidRPr="00901A26">
        <w:rPr>
          <w:rFonts w:asciiTheme="minorHAnsi" w:hAnsiTheme="minorHAnsi" w:cstheme="minorHAnsi"/>
          <w:i/>
          <w:iCs/>
        </w:rPr>
        <w:t>Total VET Students and Courses,</w:t>
      </w:r>
      <w:r w:rsidR="00B662F7" w:rsidRPr="00D86368">
        <w:rPr>
          <w:rFonts w:asciiTheme="minorHAnsi" w:hAnsiTheme="minorHAnsi" w:cstheme="minorHAnsi"/>
        </w:rPr>
        <w:t xml:space="preserve"> program completions, 2022, VOCSTATS</w:t>
      </w:r>
    </w:p>
    <w:p w14:paraId="3CBA202F" w14:textId="168CCCE8" w:rsidR="006F6511" w:rsidRPr="006F6511" w:rsidRDefault="006F6511" w:rsidP="00CD693D">
      <w:pPr>
        <w:rPr>
          <w:rFonts w:eastAsia="Arial" w:cs="Arial"/>
        </w:rPr>
      </w:pPr>
      <w:r>
        <w:t xml:space="preserve">Finally, the last column </w:t>
      </w:r>
      <w:r w:rsidRPr="35CB67F0">
        <w:rPr>
          <w:rFonts w:eastAsia="Arial" w:cs="Arial"/>
        </w:rPr>
        <w:t xml:space="preserve">of table </w:t>
      </w:r>
      <w:r w:rsidR="004C2673">
        <w:rPr>
          <w:rFonts w:eastAsia="Arial" w:cs="Arial"/>
        </w:rPr>
        <w:t>4</w:t>
      </w:r>
      <w:r w:rsidRPr="35CB67F0">
        <w:rPr>
          <w:rFonts w:eastAsia="Arial" w:cs="Arial"/>
        </w:rPr>
        <w:t xml:space="preserve"> shows the number of </w:t>
      </w:r>
      <w:r w:rsidR="00592DBB">
        <w:rPr>
          <w:rFonts w:eastAsia="Arial" w:cs="Arial"/>
        </w:rPr>
        <w:t xml:space="preserve">program </w:t>
      </w:r>
      <w:r w:rsidRPr="35CB67F0">
        <w:rPr>
          <w:rFonts w:eastAsia="Arial" w:cs="Arial"/>
        </w:rPr>
        <w:t xml:space="preserve">completions </w:t>
      </w:r>
      <w:r w:rsidR="00592DBB">
        <w:rPr>
          <w:rFonts w:eastAsia="Arial" w:cs="Arial"/>
        </w:rPr>
        <w:t xml:space="preserve">outside of capital cities in 2022 for relevant VET </w:t>
      </w:r>
      <w:r w:rsidRPr="35CB67F0">
        <w:rPr>
          <w:rFonts w:eastAsia="Arial" w:cs="Arial"/>
        </w:rPr>
        <w:t xml:space="preserve">associated with these occupations. This provides a proxy for the potential regional supply of workers able to fill these occupations, noting that there may be a location mismatch between vacancies and </w:t>
      </w:r>
      <w:r w:rsidR="00592DBB">
        <w:rPr>
          <w:rFonts w:eastAsia="Arial" w:cs="Arial"/>
        </w:rPr>
        <w:t>address of VET students</w:t>
      </w:r>
      <w:r w:rsidRPr="35CB67F0">
        <w:rPr>
          <w:rFonts w:eastAsia="Arial" w:cs="Arial"/>
        </w:rPr>
        <w:t>.</w:t>
      </w:r>
    </w:p>
    <w:p w14:paraId="3A6EA885" w14:textId="77777777" w:rsidR="00A90C97" w:rsidRPr="00A341BF" w:rsidRDefault="00A90C97" w:rsidP="000B5312">
      <w:pPr>
        <w:pStyle w:val="Heading2"/>
        <w:rPr>
          <w:rFonts w:asciiTheme="majorHAnsi" w:hAnsiTheme="majorHAnsi"/>
        </w:rPr>
      </w:pPr>
      <w:bookmarkStart w:id="56" w:name="_Toc171937431"/>
      <w:bookmarkStart w:id="57" w:name="_Toc178173736"/>
      <w:r w:rsidRPr="093FE8B8">
        <w:rPr>
          <w:rFonts w:asciiTheme="majorHAnsi" w:hAnsiTheme="majorHAnsi"/>
        </w:rPr>
        <w:t>Spotlight on Health Care and Social Assistance sector occupations</w:t>
      </w:r>
      <w:bookmarkEnd w:id="56"/>
      <w:bookmarkEnd w:id="57"/>
    </w:p>
    <w:p w14:paraId="1BE6B835" w14:textId="1712FFA4" w:rsidR="00D86BAF" w:rsidRDefault="00D86BAF" w:rsidP="00CD693D">
      <w:pPr>
        <w:rPr>
          <w:rFonts w:eastAsia="Arial" w:cs="Arial"/>
          <w:highlight w:val="yellow"/>
        </w:rPr>
      </w:pPr>
      <w:r>
        <w:t xml:space="preserve">The top </w:t>
      </w:r>
      <w:r w:rsidR="423BEF4B" w:rsidRPr="49C44061">
        <w:rPr>
          <w:rFonts w:eastAsia="Arial" w:cs="Arial"/>
        </w:rPr>
        <w:t>six</w:t>
      </w:r>
      <w:r w:rsidRPr="602D4A05">
        <w:rPr>
          <w:rFonts w:eastAsia="Arial" w:cs="Arial"/>
        </w:rPr>
        <w:t xml:space="preserve"> Health Care and Social Assistance occupations in demand in regional Australia are Aged and Disabled Carers, </w:t>
      </w:r>
      <w:r w:rsidR="56C2A0D1" w:rsidRPr="602D4A05">
        <w:rPr>
          <w:rFonts w:eastAsia="Arial" w:cs="Arial"/>
        </w:rPr>
        <w:t>Registered Nurses,</w:t>
      </w:r>
      <w:r w:rsidRPr="602D4A05">
        <w:rPr>
          <w:rFonts w:eastAsia="Arial" w:cs="Arial"/>
        </w:rPr>
        <w:t xml:space="preserve"> Child Carers, Nursing Support and Personal Care Workers, </w:t>
      </w:r>
      <w:r w:rsidR="5CE2AE92" w:rsidRPr="602D4A05">
        <w:rPr>
          <w:rFonts w:eastAsia="Arial" w:cs="Arial"/>
        </w:rPr>
        <w:t>Welfare Support Workers</w:t>
      </w:r>
      <w:r w:rsidR="745F61BA" w:rsidRPr="602D4A05">
        <w:rPr>
          <w:rFonts w:eastAsia="Arial" w:cs="Arial"/>
        </w:rPr>
        <w:t xml:space="preserve">, and </w:t>
      </w:r>
      <w:r w:rsidR="745F61BA" w:rsidRPr="7AC9F45A">
        <w:rPr>
          <w:rFonts w:eastAsia="Arial" w:cs="Arial"/>
        </w:rPr>
        <w:t>General Practitioners and Resident Medical Officers</w:t>
      </w:r>
      <w:r w:rsidRPr="602D4A05">
        <w:rPr>
          <w:rFonts w:eastAsia="Arial" w:cs="Arial"/>
        </w:rPr>
        <w:t>.</w:t>
      </w:r>
      <w:r w:rsidRPr="58EC3860">
        <w:rPr>
          <w:rFonts w:eastAsia="Arial" w:cs="Arial"/>
          <w:vertAlign w:val="superscript"/>
        </w:rPr>
        <w:footnoteReference w:id="43"/>
      </w:r>
      <w:r w:rsidR="1E8BABBB" w:rsidRPr="58EC3860">
        <w:rPr>
          <w:rFonts w:eastAsia="Arial" w:cs="Arial"/>
        </w:rPr>
        <w:t xml:space="preserve"> </w:t>
      </w:r>
      <w:r w:rsidR="22EC77FA" w:rsidRPr="58EC3860">
        <w:rPr>
          <w:rFonts w:eastAsia="Arial" w:cs="Arial"/>
        </w:rPr>
        <w:t>Aside from Welfare Support Workers, t</w:t>
      </w:r>
      <w:r w:rsidRPr="665D8B29">
        <w:rPr>
          <w:rFonts w:eastAsia="Arial" w:cs="Arial"/>
        </w:rPr>
        <w:t xml:space="preserve">hese occupations are rated as being in National Shortage and therefore in shortage in both capital cities and throughout regional Australia. </w:t>
      </w:r>
    </w:p>
    <w:p w14:paraId="1CC124CE" w14:textId="295592A1" w:rsidR="00477952" w:rsidRPr="00477952" w:rsidRDefault="00477952" w:rsidP="00CD693D">
      <w:pPr>
        <w:rPr>
          <w:rFonts w:eastAsia="Arial" w:cs="Arial"/>
          <w:highlight w:val="yellow"/>
        </w:rPr>
      </w:pPr>
      <w:r w:rsidRPr="7AC9F45A">
        <w:t xml:space="preserve">Workforce supply for Registered Nurses, and General Practitioners and Resident Medical Officers in </w:t>
      </w:r>
      <w:r w:rsidRPr="7AC9F45A">
        <w:rPr>
          <w:rFonts w:eastAsia="Arial" w:cs="Arial"/>
        </w:rPr>
        <w:t>particular continue to be an issue for regional areas. Despite regional Australia accounting for a third of the population, almost half of the Nursing and Medical Practitioner vacancies are in Regional Australia.</w:t>
      </w:r>
      <w:r w:rsidRPr="7AC9F45A">
        <w:rPr>
          <w:rFonts w:eastAsia="Arial" w:cs="Arial"/>
          <w:vertAlign w:val="superscript"/>
        </w:rPr>
        <w:footnoteReference w:id="44"/>
      </w:r>
      <w:r w:rsidRPr="7AC9F45A">
        <w:rPr>
          <w:rFonts w:eastAsia="Arial" w:cs="Arial"/>
        </w:rPr>
        <w:t xml:space="preserve"> Additionally, both occupations have a Long Training Gap as a driver for shortages. </w:t>
      </w:r>
      <w:r w:rsidRPr="7FB14ADC">
        <w:rPr>
          <w:rFonts w:eastAsia="Arial" w:cs="Arial"/>
        </w:rPr>
        <w:t>Along with these supply issues, Registered Nurses and General Practitioners and Resident Medical Officers also share high vacancy rates in regional Australia (</w:t>
      </w:r>
      <w:r w:rsidR="5794A01A" w:rsidRPr="7FB14ADC">
        <w:rPr>
          <w:rFonts w:eastAsia="Arial" w:cs="Arial"/>
        </w:rPr>
        <w:t>2.5</w:t>
      </w:r>
      <w:r w:rsidRPr="7FB14ADC">
        <w:rPr>
          <w:rFonts w:eastAsia="Arial" w:cs="Arial"/>
        </w:rPr>
        <w:t xml:space="preserve">% and </w:t>
      </w:r>
      <w:r w:rsidR="5B31569F" w:rsidRPr="7FB14ADC">
        <w:rPr>
          <w:rFonts w:eastAsia="Arial" w:cs="Arial"/>
        </w:rPr>
        <w:t>2.9</w:t>
      </w:r>
      <w:r w:rsidRPr="7FB14ADC">
        <w:rPr>
          <w:rFonts w:eastAsia="Arial" w:cs="Arial"/>
        </w:rPr>
        <w:t>% respectively).</w:t>
      </w:r>
      <w:r w:rsidRPr="658A065F">
        <w:rPr>
          <w:rFonts w:eastAsia="Arial" w:cs="Arial"/>
        </w:rPr>
        <w:t xml:space="preserve"> These are </w:t>
      </w:r>
      <w:r w:rsidR="70317B1C" w:rsidRPr="658A065F">
        <w:rPr>
          <w:rFonts w:eastAsia="Arial" w:cs="Arial"/>
        </w:rPr>
        <w:t>moderately</w:t>
      </w:r>
      <w:r w:rsidRPr="658A065F">
        <w:rPr>
          <w:rFonts w:eastAsia="Arial" w:cs="Arial"/>
        </w:rPr>
        <w:t xml:space="preserve"> higher than for capital cities, where Registered Nurses and General Practitioners and Resident Medical Officers have vacancy rates of </w:t>
      </w:r>
      <w:r w:rsidR="6858DB7E" w:rsidRPr="658A065F">
        <w:rPr>
          <w:rFonts w:eastAsia="Arial" w:cs="Arial"/>
        </w:rPr>
        <w:t>1.8</w:t>
      </w:r>
      <w:r w:rsidRPr="658A065F">
        <w:rPr>
          <w:rFonts w:eastAsia="Arial" w:cs="Arial"/>
        </w:rPr>
        <w:t xml:space="preserve">% and </w:t>
      </w:r>
      <w:r w:rsidR="20F1F4D0" w:rsidRPr="658A065F" w:rsidDel="00827057">
        <w:rPr>
          <w:rFonts w:eastAsia="Arial" w:cs="Arial"/>
        </w:rPr>
        <w:t>2</w:t>
      </w:r>
      <w:r w:rsidR="20F1F4D0" w:rsidRPr="658A065F">
        <w:rPr>
          <w:rFonts w:eastAsia="Arial" w:cs="Arial"/>
        </w:rPr>
        <w:t>.8</w:t>
      </w:r>
      <w:r w:rsidRPr="658A065F">
        <w:rPr>
          <w:rFonts w:eastAsia="Arial" w:cs="Arial"/>
        </w:rPr>
        <w:t>% respectively.</w:t>
      </w:r>
    </w:p>
    <w:p w14:paraId="19F1E21F" w14:textId="2DE266FC" w:rsidR="5D049BD6" w:rsidRPr="00F5789A" w:rsidRDefault="006F6511" w:rsidP="00F5789A">
      <w:pPr>
        <w:rPr>
          <w:rFonts w:eastAsia="Arial" w:cs="Arial"/>
        </w:rPr>
      </w:pPr>
      <w:r>
        <w:t>Other regional Health Care and Social Assistance occupations with high employment and</w:t>
      </w:r>
      <w:r w:rsidR="4367821E">
        <w:t>/or</w:t>
      </w:r>
      <w:r>
        <w:t xml:space="preserve"> high vacancy rates are </w:t>
      </w:r>
      <w:r w:rsidR="00433141">
        <w:t>Audiologists</w:t>
      </w:r>
      <w:r w:rsidR="0030464F">
        <w:t xml:space="preserve"> and Speech </w:t>
      </w:r>
      <w:r w:rsidR="00A278CF">
        <w:t>Pathologists/Therapists (</w:t>
      </w:r>
      <w:r w:rsidR="0015570D">
        <w:t>vacancy</w:t>
      </w:r>
      <w:r w:rsidR="00691D8F">
        <w:t xml:space="preserve"> rate 5.1%), </w:t>
      </w:r>
      <w:r w:rsidR="71A66E1A">
        <w:t xml:space="preserve">Occupational Therapists </w:t>
      </w:r>
      <w:r>
        <w:t xml:space="preserve">(vacancy rate of </w:t>
      </w:r>
      <w:r w:rsidR="31DE73D8">
        <w:t>4.9</w:t>
      </w:r>
      <w:r w:rsidR="2C77769B" w:rsidRPr="5A357DEE">
        <w:rPr>
          <w:rFonts w:eastAsia="Arial" w:cs="Arial"/>
        </w:rPr>
        <w:t xml:space="preserve">%), </w:t>
      </w:r>
      <w:r w:rsidR="008C7F27">
        <w:rPr>
          <w:rFonts w:eastAsia="Arial" w:cs="Arial"/>
        </w:rPr>
        <w:t xml:space="preserve">and </w:t>
      </w:r>
      <w:r w:rsidR="3BDE8754" w:rsidRPr="5A357DEE">
        <w:rPr>
          <w:rFonts w:eastAsia="Arial" w:cs="Arial"/>
        </w:rPr>
        <w:t xml:space="preserve">Psychiatrists </w:t>
      </w:r>
      <w:r w:rsidRPr="5A357DEE">
        <w:rPr>
          <w:rFonts w:eastAsia="Arial" w:cs="Arial"/>
        </w:rPr>
        <w:t xml:space="preserve">(vacancy rate of </w:t>
      </w:r>
      <w:r w:rsidR="75C70CD8" w:rsidRPr="5A357DEE">
        <w:rPr>
          <w:rFonts w:eastAsia="Arial" w:cs="Arial"/>
        </w:rPr>
        <w:t>4.6</w:t>
      </w:r>
      <w:r w:rsidRPr="5A357DEE">
        <w:rPr>
          <w:rFonts w:eastAsia="Arial" w:cs="Arial"/>
        </w:rPr>
        <w:t xml:space="preserve">%), </w:t>
      </w:r>
      <w:r w:rsidR="60258850" w:rsidRPr="0962B7DA">
        <w:rPr>
          <w:rFonts w:eastAsia="Arial" w:cs="Arial"/>
        </w:rPr>
        <w:t xml:space="preserve">All </w:t>
      </w:r>
      <w:r w:rsidR="1DB091B2" w:rsidRPr="0962B7DA">
        <w:rPr>
          <w:rFonts w:eastAsia="Arial" w:cs="Arial"/>
        </w:rPr>
        <w:t xml:space="preserve">of </w:t>
      </w:r>
      <w:r w:rsidR="008C7F27">
        <w:rPr>
          <w:rFonts w:eastAsia="Arial" w:cs="Arial"/>
        </w:rPr>
        <w:t xml:space="preserve">these </w:t>
      </w:r>
      <w:r w:rsidR="60258850" w:rsidRPr="0962B7DA">
        <w:rPr>
          <w:rFonts w:eastAsia="Arial" w:cs="Arial"/>
        </w:rPr>
        <w:t>occupations</w:t>
      </w:r>
      <w:r w:rsidR="60258850" w:rsidRPr="722CCA50">
        <w:rPr>
          <w:rFonts w:eastAsia="Arial" w:cs="Arial"/>
        </w:rPr>
        <w:t xml:space="preserve"> are in national shortage</w:t>
      </w:r>
      <w:r w:rsidR="00B96BC3">
        <w:rPr>
          <w:rFonts w:eastAsia="Arial" w:cs="Arial"/>
        </w:rPr>
        <w:t xml:space="preserve"> and</w:t>
      </w:r>
      <w:r w:rsidR="00AA55FB">
        <w:rPr>
          <w:rFonts w:eastAsia="Arial" w:cs="Arial"/>
        </w:rPr>
        <w:t xml:space="preserve"> </w:t>
      </w:r>
      <w:r w:rsidRPr="1449387E">
        <w:rPr>
          <w:rFonts w:eastAsia="Arial" w:cs="Arial"/>
        </w:rPr>
        <w:t>have</w:t>
      </w:r>
      <w:r w:rsidRPr="5A357DEE">
        <w:rPr>
          <w:rFonts w:eastAsia="Arial" w:cs="Arial"/>
        </w:rPr>
        <w:t xml:space="preserve"> </w:t>
      </w:r>
      <w:r w:rsidR="00C56E27">
        <w:rPr>
          <w:rFonts w:eastAsia="Arial" w:cs="Arial"/>
        </w:rPr>
        <w:t>comparable</w:t>
      </w:r>
      <w:r w:rsidRPr="5A357DEE">
        <w:rPr>
          <w:rFonts w:eastAsia="Arial" w:cs="Arial"/>
        </w:rPr>
        <w:t xml:space="preserve"> vacancy rates than the same occupation in capital cities</w:t>
      </w:r>
      <w:r w:rsidR="00C56E27">
        <w:rPr>
          <w:rFonts w:eastAsia="Arial" w:cs="Arial"/>
        </w:rPr>
        <w:t>, with the exception</w:t>
      </w:r>
      <w:r w:rsidR="0094143A">
        <w:rPr>
          <w:rFonts w:eastAsia="Arial" w:cs="Arial"/>
        </w:rPr>
        <w:t xml:space="preserve"> of Psychiatrists</w:t>
      </w:r>
      <w:r w:rsidR="00B66429">
        <w:rPr>
          <w:rFonts w:eastAsia="Arial" w:cs="Arial"/>
        </w:rPr>
        <w:t xml:space="preserve"> </w:t>
      </w:r>
      <w:r w:rsidR="003D2C8E">
        <w:rPr>
          <w:rFonts w:eastAsia="Arial" w:cs="Arial"/>
        </w:rPr>
        <w:t xml:space="preserve">which has a higher vacancy rate in </w:t>
      </w:r>
      <w:r w:rsidR="001A0889">
        <w:rPr>
          <w:rFonts w:eastAsia="Arial" w:cs="Arial"/>
        </w:rPr>
        <w:t>regional Australia than in capital cities (4.6% and 3.0% respectively).</w:t>
      </w:r>
    </w:p>
    <w:p w14:paraId="7AA791A1" w14:textId="77777777" w:rsidR="004F0CB1" w:rsidRDefault="004F0CB1">
      <w:pPr>
        <w:spacing w:after="120" w:line="276" w:lineRule="auto"/>
        <w:rPr>
          <w:rFonts w:asciiTheme="minorHAnsi" w:hAnsiTheme="minorHAnsi" w:cstheme="minorHAnsi"/>
          <w:b/>
          <w:bCs/>
          <w:sz w:val="20"/>
          <w:szCs w:val="20"/>
        </w:rPr>
      </w:pPr>
      <w:r>
        <w:rPr>
          <w:rFonts w:asciiTheme="minorHAnsi" w:hAnsiTheme="minorHAnsi" w:cstheme="minorHAnsi"/>
          <w:szCs w:val="20"/>
        </w:rPr>
        <w:br w:type="page"/>
      </w:r>
    </w:p>
    <w:p w14:paraId="5150FB34" w14:textId="6F95C1AD" w:rsidR="00E558C4" w:rsidRPr="006276E2" w:rsidRDefault="3E788C9C" w:rsidP="00150241">
      <w:pPr>
        <w:pStyle w:val="Caption"/>
        <w:rPr>
          <w:rFonts w:asciiTheme="majorHAnsi" w:hAnsiTheme="majorHAnsi" w:cstheme="majorHAnsi"/>
          <w:szCs w:val="20"/>
        </w:rPr>
      </w:pPr>
      <w:r w:rsidRPr="008218DB">
        <w:rPr>
          <w:rFonts w:asciiTheme="minorHAnsi" w:hAnsiTheme="minorHAnsi" w:cstheme="minorHAnsi"/>
          <w:szCs w:val="20"/>
        </w:rPr>
        <w:t xml:space="preserve">Table </w:t>
      </w:r>
      <w:r w:rsidR="00BF5E7B">
        <w:rPr>
          <w:rFonts w:asciiTheme="minorHAnsi" w:hAnsiTheme="minorHAnsi" w:cstheme="minorHAnsi"/>
          <w:szCs w:val="20"/>
        </w:rPr>
        <w:t>5</w:t>
      </w:r>
      <w:r w:rsidR="0610D8AE" w:rsidRPr="008218DB">
        <w:rPr>
          <w:rFonts w:asciiTheme="minorHAnsi" w:hAnsiTheme="minorHAnsi" w:cstheme="minorHAnsi"/>
          <w:szCs w:val="20"/>
        </w:rPr>
        <w:t xml:space="preserve">: Top </w:t>
      </w:r>
      <w:r w:rsidR="001C2DD2">
        <w:rPr>
          <w:rFonts w:asciiTheme="minorHAnsi" w:hAnsiTheme="minorHAnsi" w:cstheme="minorHAnsi"/>
          <w:szCs w:val="20"/>
        </w:rPr>
        <w:t xml:space="preserve">8 </w:t>
      </w:r>
      <w:r w:rsidR="0610D8AE" w:rsidRPr="008218DB">
        <w:rPr>
          <w:rFonts w:asciiTheme="minorHAnsi" w:hAnsiTheme="minorHAnsi" w:cstheme="minorHAnsi"/>
          <w:szCs w:val="20"/>
        </w:rPr>
        <w:t xml:space="preserve">skill level </w:t>
      </w:r>
      <w:r w:rsidR="001C2DD2">
        <w:rPr>
          <w:rFonts w:asciiTheme="minorHAnsi" w:hAnsiTheme="minorHAnsi" w:cstheme="minorHAnsi"/>
          <w:szCs w:val="20"/>
        </w:rPr>
        <w:t>1</w:t>
      </w:r>
      <w:r w:rsidR="007D1B04">
        <w:rPr>
          <w:rFonts w:asciiTheme="minorHAnsi" w:hAnsiTheme="minorHAnsi" w:cstheme="minorHAnsi"/>
          <w:szCs w:val="20"/>
        </w:rPr>
        <w:t>–</w:t>
      </w:r>
      <w:r w:rsidR="0610D8AE" w:rsidRPr="008218DB">
        <w:rPr>
          <w:rFonts w:asciiTheme="minorHAnsi" w:hAnsiTheme="minorHAnsi" w:cstheme="minorHAnsi"/>
          <w:szCs w:val="20"/>
        </w:rPr>
        <w:t xml:space="preserve">4 occupations </w:t>
      </w:r>
      <w:r w:rsidR="001C2DD2">
        <w:rPr>
          <w:rFonts w:asciiTheme="minorHAnsi" w:hAnsiTheme="minorHAnsi" w:cstheme="minorHAnsi"/>
          <w:szCs w:val="20"/>
        </w:rPr>
        <w:t xml:space="preserve">in national shortage </w:t>
      </w:r>
      <w:r w:rsidR="0610D8AE" w:rsidRPr="008218DB">
        <w:rPr>
          <w:rFonts w:asciiTheme="minorHAnsi" w:hAnsiTheme="minorHAnsi" w:cstheme="minorHAnsi"/>
          <w:szCs w:val="20"/>
        </w:rPr>
        <w:t>with the highest vacancy rates in regional Australia</w:t>
      </w:r>
      <w:r w:rsidR="001C2DD2">
        <w:rPr>
          <w:rFonts w:asciiTheme="minorHAnsi" w:hAnsiTheme="minorHAnsi" w:cstheme="minorHAnsi"/>
          <w:szCs w:val="20"/>
        </w:rPr>
        <w:t xml:space="preserve">, </w:t>
      </w:r>
      <w:r w:rsidR="0610D8AE" w:rsidRPr="008218DB">
        <w:rPr>
          <w:rFonts w:asciiTheme="minorHAnsi" w:hAnsiTheme="minorHAnsi" w:cstheme="minorHAnsi"/>
          <w:szCs w:val="20"/>
        </w:rPr>
        <w:t>employment, female employment share, IVI vacancies</w:t>
      </w:r>
      <w:r w:rsidR="001C2DD2">
        <w:rPr>
          <w:rFonts w:asciiTheme="minorHAnsi" w:hAnsiTheme="minorHAnsi" w:cstheme="minorHAnsi"/>
          <w:szCs w:val="20"/>
        </w:rPr>
        <w:t xml:space="preserve"> and vacancy rate </w:t>
      </w:r>
    </w:p>
    <w:tbl>
      <w:tblPr>
        <w:tblStyle w:val="JSATable1"/>
        <w:tblW w:w="0" w:type="auto"/>
        <w:tblLook w:val="04A0" w:firstRow="1" w:lastRow="0" w:firstColumn="1" w:lastColumn="0" w:noHBand="0" w:noVBand="1"/>
        <w:tblCaption w:val="Top ten skill level two to four occupations with the highest vacancy rates in regional Australia"/>
        <w:tblDescription w:val="This table shows the top ten skill level two to four occupations with the highest vacancy rates in regional Australia. For each of the listed occupations, the female share of employment, the skills shortage ratings, estimated vacancies and the vacancy rates are provided. Vocational Education and Training program completions for each of the occupations are also provided."/>
      </w:tblPr>
      <w:tblGrid>
        <w:gridCol w:w="2129"/>
        <w:gridCol w:w="1287"/>
        <w:gridCol w:w="1312"/>
        <w:gridCol w:w="1633"/>
        <w:gridCol w:w="1396"/>
        <w:gridCol w:w="1269"/>
      </w:tblGrid>
      <w:tr w:rsidR="001C2DD2" w14:paraId="43C33563" w14:textId="77777777" w:rsidTr="00706897">
        <w:trPr>
          <w:cnfStyle w:val="100000000000" w:firstRow="1" w:lastRow="0" w:firstColumn="0" w:lastColumn="0" w:oddVBand="0" w:evenVBand="0" w:oddHBand="0" w:evenHBand="0" w:firstRowFirstColumn="0" w:firstRowLastColumn="0" w:lastRowFirstColumn="0" w:lastRowLastColumn="0"/>
          <w:trHeight w:val="1500"/>
        </w:trPr>
        <w:tc>
          <w:tcPr>
            <w:tcW w:w="0" w:type="auto"/>
          </w:tcPr>
          <w:p w14:paraId="4FA68DAD" w14:textId="3E1F51F3" w:rsidR="001C2DD2" w:rsidRPr="00022C13" w:rsidRDefault="001C2DD2" w:rsidP="001C2DD2">
            <w:pPr>
              <w:rPr>
                <w:rFonts w:asciiTheme="minorHAnsi" w:hAnsiTheme="minorHAnsi" w:cstheme="minorHAnsi"/>
              </w:rPr>
            </w:pPr>
            <w:r w:rsidRPr="00022C13">
              <w:rPr>
                <w:rFonts w:asciiTheme="minorHAnsi" w:eastAsia="Arial" w:hAnsiTheme="minorHAnsi" w:cstheme="minorHAnsi"/>
                <w:color w:val="FFFFFF" w:themeColor="background1"/>
              </w:rPr>
              <w:t>Occupation</w:t>
            </w:r>
          </w:p>
        </w:tc>
        <w:tc>
          <w:tcPr>
            <w:tcW w:w="0" w:type="auto"/>
          </w:tcPr>
          <w:p w14:paraId="2B62C10D" w14:textId="768D6399" w:rsidR="001C2DD2" w:rsidRPr="00022C13" w:rsidRDefault="001C2DD2" w:rsidP="003D070F">
            <w:r w:rsidRPr="00022C13">
              <w:t>Indicative Skill Level</w:t>
            </w:r>
            <w:r w:rsidRPr="00022C13">
              <w:br/>
              <w:t xml:space="preserve">ANZSCO </w:t>
            </w:r>
          </w:p>
        </w:tc>
        <w:tc>
          <w:tcPr>
            <w:tcW w:w="0" w:type="auto"/>
          </w:tcPr>
          <w:p w14:paraId="62769871" w14:textId="472F7240" w:rsidR="001C2DD2" w:rsidRPr="00022C13" w:rsidRDefault="001C2DD2" w:rsidP="003D070F">
            <w:r w:rsidRPr="00022C13">
              <w:t>Employed Persons</w:t>
            </w:r>
            <w:r w:rsidRPr="00022C13">
              <w:br/>
              <w:t>Regional Australia</w:t>
            </w:r>
            <w:r w:rsidRPr="00022C13">
              <w:br/>
              <w:t>July 2024</w:t>
            </w:r>
            <w:r w:rsidRPr="00022C13">
              <w:br/>
            </w:r>
          </w:p>
        </w:tc>
        <w:tc>
          <w:tcPr>
            <w:tcW w:w="0" w:type="auto"/>
          </w:tcPr>
          <w:p w14:paraId="73F726D9" w14:textId="46DC2CDE" w:rsidR="001C2DD2" w:rsidRPr="00022C13" w:rsidRDefault="001C2DD2" w:rsidP="003D070F">
            <w:r w:rsidRPr="00022C13">
              <w:t>Female Employment Share</w:t>
            </w:r>
            <w:r w:rsidRPr="00022C13">
              <w:br/>
              <w:t xml:space="preserve"> Regional Australia</w:t>
            </w:r>
            <w:r w:rsidRPr="00022C13">
              <w:br/>
              <w:t xml:space="preserve"> August 2021</w:t>
            </w:r>
          </w:p>
        </w:tc>
        <w:tc>
          <w:tcPr>
            <w:tcW w:w="0" w:type="auto"/>
          </w:tcPr>
          <w:p w14:paraId="7C0CE3A2" w14:textId="26D6DCAE" w:rsidR="001C2DD2" w:rsidRPr="00022C13" w:rsidRDefault="001C2DD2" w:rsidP="003D070F">
            <w:r w:rsidRPr="00022C13">
              <w:t>Estimated Vacancies</w:t>
            </w:r>
            <w:r w:rsidRPr="00022C13">
              <w:br/>
              <w:t>Regional Australia July</w:t>
            </w:r>
          </w:p>
        </w:tc>
        <w:tc>
          <w:tcPr>
            <w:tcW w:w="0" w:type="auto"/>
          </w:tcPr>
          <w:p w14:paraId="468916D4" w14:textId="4EE2367C" w:rsidR="001C2DD2" w:rsidRPr="00022C13" w:rsidRDefault="001C2DD2" w:rsidP="003D070F">
            <w:r w:rsidRPr="00022C13">
              <w:t>Vacancy rate</w:t>
            </w:r>
            <w:r w:rsidRPr="00022C13">
              <w:br/>
              <w:t>Regional Australia July</w:t>
            </w:r>
            <w:r w:rsidRPr="00022C13">
              <w:br/>
            </w:r>
          </w:p>
        </w:tc>
      </w:tr>
      <w:tr w:rsidR="001C2DD2" w14:paraId="3DA9356D" w14:textId="77777777" w:rsidTr="001C2DD2">
        <w:trPr>
          <w:trHeight w:val="555"/>
        </w:trPr>
        <w:tc>
          <w:tcPr>
            <w:tcW w:w="0" w:type="auto"/>
            <w:shd w:val="clear" w:color="auto" w:fill="D2E9FE" w:themeFill="accent3" w:themeFillTint="1A"/>
            <w:vAlign w:val="center"/>
          </w:tcPr>
          <w:p w14:paraId="13BA77C6" w14:textId="7ABD7F96" w:rsidR="001C2DD2" w:rsidRPr="00022C13" w:rsidRDefault="001C2DD2" w:rsidP="001C2DD2">
            <w:pPr>
              <w:rPr>
                <w:rFonts w:asciiTheme="minorHAnsi" w:eastAsia="Aptos Narrow" w:hAnsiTheme="minorHAnsi" w:cstheme="minorHAnsi"/>
                <w:color w:val="000000" w:themeColor="text1"/>
              </w:rPr>
            </w:pPr>
            <w:r w:rsidRPr="00022C13">
              <w:rPr>
                <w:rFonts w:asciiTheme="minorHAnsi" w:eastAsia="Aptos Narrow" w:hAnsiTheme="minorHAnsi" w:cstheme="minorHAnsi"/>
                <w:color w:val="000000" w:themeColor="text1"/>
              </w:rPr>
              <w:t>Mining Engineers</w:t>
            </w:r>
          </w:p>
        </w:tc>
        <w:tc>
          <w:tcPr>
            <w:tcW w:w="0" w:type="auto"/>
            <w:shd w:val="clear" w:color="auto" w:fill="D2E9FE" w:themeFill="accent3" w:themeFillTint="1A"/>
            <w:vAlign w:val="center"/>
          </w:tcPr>
          <w:p w14:paraId="7391A68A" w14:textId="73D883B9" w:rsidR="001C2DD2" w:rsidRPr="00022C13" w:rsidRDefault="001C2DD2" w:rsidP="005E37E3">
            <w:pPr>
              <w:jc w:val="center"/>
            </w:pPr>
            <w:r w:rsidRPr="00022C13">
              <w:t>1</w:t>
            </w:r>
          </w:p>
        </w:tc>
        <w:tc>
          <w:tcPr>
            <w:tcW w:w="0" w:type="auto"/>
            <w:shd w:val="clear" w:color="auto" w:fill="D2E9FE" w:themeFill="accent3" w:themeFillTint="1A"/>
            <w:vAlign w:val="center"/>
          </w:tcPr>
          <w:p w14:paraId="35AF0481" w14:textId="5EAB7C9D" w:rsidR="001C2DD2" w:rsidRPr="00022C13" w:rsidRDefault="001C2DD2" w:rsidP="005E37E3">
            <w:pPr>
              <w:jc w:val="right"/>
            </w:pPr>
            <w:r w:rsidRPr="00022C13">
              <w:t>2,743</w:t>
            </w:r>
          </w:p>
        </w:tc>
        <w:tc>
          <w:tcPr>
            <w:tcW w:w="0" w:type="auto"/>
            <w:shd w:val="clear" w:color="auto" w:fill="D2E9FE" w:themeFill="accent3" w:themeFillTint="1A"/>
            <w:vAlign w:val="center"/>
          </w:tcPr>
          <w:p w14:paraId="164C92D2" w14:textId="16913487" w:rsidR="001C2DD2" w:rsidRPr="00022C13" w:rsidRDefault="001C2DD2" w:rsidP="005E37E3">
            <w:pPr>
              <w:jc w:val="right"/>
            </w:pPr>
            <w:r w:rsidRPr="00022C13">
              <w:t>14%</w:t>
            </w:r>
          </w:p>
        </w:tc>
        <w:tc>
          <w:tcPr>
            <w:tcW w:w="0" w:type="auto"/>
            <w:shd w:val="clear" w:color="auto" w:fill="D2E9FE" w:themeFill="accent3" w:themeFillTint="1A"/>
            <w:vAlign w:val="center"/>
          </w:tcPr>
          <w:p w14:paraId="021B7F63" w14:textId="33AF38C0" w:rsidR="001C2DD2" w:rsidRPr="00022C13" w:rsidRDefault="001C2DD2" w:rsidP="005E37E3">
            <w:pPr>
              <w:jc w:val="right"/>
            </w:pPr>
            <w:r w:rsidRPr="00022C13">
              <w:t>265</w:t>
            </w:r>
          </w:p>
        </w:tc>
        <w:tc>
          <w:tcPr>
            <w:tcW w:w="0" w:type="auto"/>
            <w:shd w:val="clear" w:color="auto" w:fill="D2E9FE" w:themeFill="accent3" w:themeFillTint="1A"/>
            <w:vAlign w:val="center"/>
          </w:tcPr>
          <w:p w14:paraId="73F29E20" w14:textId="6420FBA2" w:rsidR="001C2DD2" w:rsidRPr="00022C13" w:rsidRDefault="001C2DD2" w:rsidP="005E37E3">
            <w:pPr>
              <w:jc w:val="right"/>
            </w:pPr>
            <w:r w:rsidRPr="00022C13">
              <w:t>9.7%</w:t>
            </w:r>
          </w:p>
        </w:tc>
      </w:tr>
      <w:tr w:rsidR="001C2DD2" w14:paraId="0D2AE771" w14:textId="77777777" w:rsidTr="000C7829">
        <w:trPr>
          <w:cnfStyle w:val="000000010000" w:firstRow="0" w:lastRow="0" w:firstColumn="0" w:lastColumn="0" w:oddVBand="0" w:evenVBand="0" w:oddHBand="0" w:evenHBand="1" w:firstRowFirstColumn="0" w:firstRowLastColumn="0" w:lastRowFirstColumn="0" w:lastRowLastColumn="0"/>
          <w:trHeight w:val="555"/>
        </w:trPr>
        <w:tc>
          <w:tcPr>
            <w:tcW w:w="0" w:type="auto"/>
            <w:vAlign w:val="center"/>
          </w:tcPr>
          <w:p w14:paraId="2E99ACDF" w14:textId="740B27DC" w:rsidR="001C2DD2" w:rsidRPr="00022C13" w:rsidRDefault="001C2DD2" w:rsidP="001C2DD2">
            <w:pPr>
              <w:rPr>
                <w:rFonts w:asciiTheme="minorHAnsi" w:hAnsiTheme="minorHAnsi" w:cstheme="minorHAnsi"/>
              </w:rPr>
            </w:pPr>
            <w:r w:rsidRPr="00022C13">
              <w:rPr>
                <w:rFonts w:asciiTheme="minorHAnsi" w:eastAsia="Aptos Narrow" w:hAnsiTheme="minorHAnsi" w:cstheme="minorHAnsi"/>
                <w:color w:val="000000" w:themeColor="text1"/>
              </w:rPr>
              <w:t>Sheetmetal Trades Workers</w:t>
            </w:r>
          </w:p>
        </w:tc>
        <w:tc>
          <w:tcPr>
            <w:tcW w:w="0" w:type="auto"/>
            <w:vAlign w:val="center"/>
          </w:tcPr>
          <w:p w14:paraId="36E8663E" w14:textId="19D73984" w:rsidR="001C2DD2" w:rsidRPr="00022C13" w:rsidRDefault="001C2DD2" w:rsidP="005E37E3">
            <w:pPr>
              <w:jc w:val="center"/>
              <w:rPr>
                <w:rFonts w:asciiTheme="minorHAnsi" w:hAnsiTheme="minorHAnsi" w:cstheme="minorHAnsi"/>
              </w:rPr>
            </w:pPr>
            <w:r w:rsidRPr="00022C13">
              <w:rPr>
                <w:rFonts w:asciiTheme="minorHAnsi" w:eastAsia="Aptos Narrow" w:hAnsiTheme="minorHAnsi" w:cstheme="minorHAnsi"/>
                <w:color w:val="000000" w:themeColor="text1"/>
              </w:rPr>
              <w:t>3</w:t>
            </w:r>
          </w:p>
        </w:tc>
        <w:tc>
          <w:tcPr>
            <w:tcW w:w="0" w:type="auto"/>
            <w:vAlign w:val="center"/>
          </w:tcPr>
          <w:p w14:paraId="7D85A3C0" w14:textId="045FAD5B"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1,682</w:t>
            </w:r>
          </w:p>
        </w:tc>
        <w:tc>
          <w:tcPr>
            <w:tcW w:w="0" w:type="auto"/>
            <w:vAlign w:val="center"/>
          </w:tcPr>
          <w:p w14:paraId="101D1942" w14:textId="6E964AEF"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1%</w:t>
            </w:r>
          </w:p>
        </w:tc>
        <w:tc>
          <w:tcPr>
            <w:tcW w:w="0" w:type="auto"/>
            <w:vAlign w:val="center"/>
          </w:tcPr>
          <w:p w14:paraId="73382397" w14:textId="2B6E8675" w:rsidR="001C2DD2" w:rsidRPr="007C1F99" w:rsidRDefault="001C2DD2" w:rsidP="005E37E3">
            <w:pPr>
              <w:jc w:val="right"/>
            </w:pPr>
            <w:r w:rsidRPr="00022C13">
              <w:t>114</w:t>
            </w:r>
          </w:p>
        </w:tc>
        <w:tc>
          <w:tcPr>
            <w:tcW w:w="0" w:type="auto"/>
            <w:vAlign w:val="center"/>
          </w:tcPr>
          <w:p w14:paraId="2A3EBA25" w14:textId="1EE371A4" w:rsidR="001C2DD2" w:rsidRPr="007C1F99" w:rsidRDefault="001C2DD2" w:rsidP="005E37E3">
            <w:pPr>
              <w:jc w:val="right"/>
            </w:pPr>
            <w:r w:rsidRPr="00022C13">
              <w:t>6.8%</w:t>
            </w:r>
          </w:p>
        </w:tc>
      </w:tr>
      <w:tr w:rsidR="001C2DD2" w14:paraId="6A280149" w14:textId="77777777" w:rsidTr="000C7829">
        <w:trPr>
          <w:trHeight w:val="270"/>
        </w:trPr>
        <w:tc>
          <w:tcPr>
            <w:tcW w:w="0" w:type="auto"/>
            <w:shd w:val="clear" w:color="auto" w:fill="CCEBEB"/>
            <w:vAlign w:val="center"/>
          </w:tcPr>
          <w:p w14:paraId="54406D3E" w14:textId="46FC92FF" w:rsidR="001C2DD2" w:rsidRPr="00022C13" w:rsidRDefault="001C2DD2" w:rsidP="001C2DD2">
            <w:pPr>
              <w:rPr>
                <w:rFonts w:asciiTheme="minorHAnsi" w:hAnsiTheme="minorHAnsi" w:cstheme="minorHAnsi"/>
              </w:rPr>
            </w:pPr>
            <w:r w:rsidRPr="00022C13">
              <w:rPr>
                <w:rFonts w:asciiTheme="minorHAnsi" w:eastAsia="Aptos Narrow" w:hAnsiTheme="minorHAnsi" w:cstheme="minorHAnsi"/>
                <w:color w:val="000000" w:themeColor="text1"/>
              </w:rPr>
              <w:t>Insurance Investigators, Loss Adjusters and Risk Surveyors</w:t>
            </w:r>
          </w:p>
        </w:tc>
        <w:tc>
          <w:tcPr>
            <w:tcW w:w="0" w:type="auto"/>
            <w:shd w:val="clear" w:color="auto" w:fill="CCEBEB"/>
            <w:vAlign w:val="center"/>
          </w:tcPr>
          <w:p w14:paraId="0A6FA550" w14:textId="2BE98CD1" w:rsidR="001C2DD2" w:rsidRPr="00022C13" w:rsidRDefault="001C2DD2" w:rsidP="005E37E3">
            <w:pPr>
              <w:jc w:val="center"/>
              <w:rPr>
                <w:rFonts w:asciiTheme="minorHAnsi" w:hAnsiTheme="minorHAnsi" w:cstheme="minorHAnsi"/>
              </w:rPr>
            </w:pPr>
            <w:r w:rsidRPr="00022C13">
              <w:rPr>
                <w:rFonts w:asciiTheme="minorHAnsi" w:eastAsia="Aptos Narrow" w:hAnsiTheme="minorHAnsi" w:cstheme="minorHAnsi"/>
                <w:color w:val="000000" w:themeColor="text1"/>
              </w:rPr>
              <w:t>3</w:t>
            </w:r>
          </w:p>
        </w:tc>
        <w:tc>
          <w:tcPr>
            <w:tcW w:w="0" w:type="auto"/>
            <w:shd w:val="clear" w:color="auto" w:fill="CCEBEB"/>
            <w:vAlign w:val="center"/>
          </w:tcPr>
          <w:p w14:paraId="60EE738B" w14:textId="7D59CE6C"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1,446</w:t>
            </w:r>
          </w:p>
        </w:tc>
        <w:tc>
          <w:tcPr>
            <w:tcW w:w="0" w:type="auto"/>
            <w:shd w:val="clear" w:color="auto" w:fill="CCEBEB"/>
            <w:vAlign w:val="center"/>
          </w:tcPr>
          <w:p w14:paraId="65787CD5" w14:textId="081DC0CF"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31%</w:t>
            </w:r>
          </w:p>
        </w:tc>
        <w:tc>
          <w:tcPr>
            <w:tcW w:w="0" w:type="auto"/>
            <w:shd w:val="clear" w:color="auto" w:fill="CCEBEB"/>
            <w:vAlign w:val="center"/>
          </w:tcPr>
          <w:p w14:paraId="2B29326C" w14:textId="3CBC8094"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94</w:t>
            </w:r>
          </w:p>
        </w:tc>
        <w:tc>
          <w:tcPr>
            <w:tcW w:w="0" w:type="auto"/>
            <w:shd w:val="clear" w:color="auto" w:fill="CCEBEB"/>
            <w:vAlign w:val="center"/>
          </w:tcPr>
          <w:p w14:paraId="22660923" w14:textId="36A6AFA1"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6.5%</w:t>
            </w:r>
          </w:p>
        </w:tc>
      </w:tr>
      <w:tr w:rsidR="001C2DD2" w14:paraId="003A361A" w14:textId="77777777" w:rsidTr="001C2DD2">
        <w:trPr>
          <w:cnfStyle w:val="000000010000" w:firstRow="0" w:lastRow="0" w:firstColumn="0" w:lastColumn="0" w:oddVBand="0" w:evenVBand="0" w:oddHBand="0" w:evenHBand="1" w:firstRowFirstColumn="0" w:firstRowLastColumn="0" w:lastRowFirstColumn="0" w:lastRowLastColumn="0"/>
          <w:trHeight w:val="555"/>
        </w:trPr>
        <w:tc>
          <w:tcPr>
            <w:tcW w:w="0" w:type="auto"/>
            <w:shd w:val="clear" w:color="auto" w:fill="E0D1F5" w:themeFill="accent1" w:themeFillTint="33"/>
            <w:vAlign w:val="center"/>
          </w:tcPr>
          <w:p w14:paraId="3B2047B3" w14:textId="77777777" w:rsidR="001C2DD2" w:rsidRPr="00022C13" w:rsidRDefault="001C2DD2" w:rsidP="001C2DD2">
            <w:pPr>
              <w:rPr>
                <w:rFonts w:asciiTheme="minorHAnsi" w:eastAsia="Aptos Narrow" w:hAnsiTheme="minorHAnsi" w:cstheme="minorHAnsi"/>
                <w:color w:val="000000" w:themeColor="text1"/>
              </w:rPr>
            </w:pPr>
            <w:r w:rsidRPr="00022C13">
              <w:rPr>
                <w:rFonts w:asciiTheme="minorHAnsi" w:eastAsia="Aptos Narrow" w:hAnsiTheme="minorHAnsi" w:cstheme="minorHAnsi"/>
                <w:color w:val="000000" w:themeColor="text1"/>
              </w:rPr>
              <w:t>Audiologists and Speech Pathologists/</w:t>
            </w:r>
          </w:p>
          <w:p w14:paraId="2A5D843C" w14:textId="606B6775" w:rsidR="001C2DD2" w:rsidRPr="00022C13" w:rsidRDefault="001C2DD2" w:rsidP="001C2DD2">
            <w:pPr>
              <w:rPr>
                <w:rFonts w:asciiTheme="minorHAnsi" w:eastAsia="Aptos Narrow" w:hAnsiTheme="minorHAnsi" w:cstheme="minorHAnsi"/>
                <w:color w:val="000000" w:themeColor="text1"/>
              </w:rPr>
            </w:pPr>
            <w:r w:rsidRPr="00022C13">
              <w:rPr>
                <w:rFonts w:asciiTheme="minorHAnsi" w:eastAsia="Aptos Narrow" w:hAnsiTheme="minorHAnsi" w:cstheme="minorHAnsi"/>
                <w:color w:val="000000" w:themeColor="text1"/>
              </w:rPr>
              <w:t>Therapists</w:t>
            </w:r>
          </w:p>
        </w:tc>
        <w:tc>
          <w:tcPr>
            <w:tcW w:w="0" w:type="auto"/>
            <w:shd w:val="clear" w:color="auto" w:fill="E0D1F5" w:themeFill="accent1" w:themeFillTint="33"/>
            <w:vAlign w:val="center"/>
          </w:tcPr>
          <w:p w14:paraId="60A6C5CA" w14:textId="2A5D9119" w:rsidR="001C2DD2" w:rsidRPr="00022C13" w:rsidRDefault="001C2DD2" w:rsidP="005E37E3">
            <w:pPr>
              <w:jc w:val="center"/>
            </w:pPr>
            <w:r w:rsidRPr="00022C13">
              <w:t>1</w:t>
            </w:r>
          </w:p>
        </w:tc>
        <w:tc>
          <w:tcPr>
            <w:tcW w:w="0" w:type="auto"/>
            <w:shd w:val="clear" w:color="auto" w:fill="E0D1F5" w:themeFill="accent1" w:themeFillTint="33"/>
            <w:vAlign w:val="center"/>
          </w:tcPr>
          <w:p w14:paraId="78FEC7F9" w14:textId="29E822ED" w:rsidR="001C2DD2" w:rsidRPr="00022C13" w:rsidRDefault="001C2DD2" w:rsidP="005E37E3">
            <w:pPr>
              <w:jc w:val="right"/>
            </w:pPr>
            <w:r w:rsidRPr="00022C13">
              <w:t>5,868</w:t>
            </w:r>
          </w:p>
        </w:tc>
        <w:tc>
          <w:tcPr>
            <w:tcW w:w="0" w:type="auto"/>
            <w:shd w:val="clear" w:color="auto" w:fill="E0D1F5" w:themeFill="accent1" w:themeFillTint="33"/>
            <w:vAlign w:val="center"/>
          </w:tcPr>
          <w:p w14:paraId="614A8362" w14:textId="4990A1C2" w:rsidR="001C2DD2" w:rsidRPr="00022C13" w:rsidRDefault="001C2DD2" w:rsidP="005E37E3">
            <w:pPr>
              <w:jc w:val="right"/>
            </w:pPr>
            <w:r w:rsidRPr="00022C13">
              <w:t>93%</w:t>
            </w:r>
          </w:p>
        </w:tc>
        <w:tc>
          <w:tcPr>
            <w:tcW w:w="0" w:type="auto"/>
            <w:shd w:val="clear" w:color="auto" w:fill="E0D1F5" w:themeFill="accent1" w:themeFillTint="33"/>
            <w:vAlign w:val="center"/>
          </w:tcPr>
          <w:p w14:paraId="029F1E0C" w14:textId="4C9A6A24" w:rsidR="001C2DD2" w:rsidRPr="00022C13" w:rsidRDefault="001C2DD2" w:rsidP="005E37E3">
            <w:pPr>
              <w:jc w:val="right"/>
            </w:pPr>
            <w:r w:rsidRPr="00022C13">
              <w:t>297</w:t>
            </w:r>
          </w:p>
        </w:tc>
        <w:tc>
          <w:tcPr>
            <w:tcW w:w="0" w:type="auto"/>
            <w:shd w:val="clear" w:color="auto" w:fill="E0D1F5" w:themeFill="accent1" w:themeFillTint="33"/>
            <w:vAlign w:val="center"/>
          </w:tcPr>
          <w:p w14:paraId="2D5064DD" w14:textId="5AE6B8AC" w:rsidR="001C2DD2" w:rsidRPr="00022C13" w:rsidRDefault="001C2DD2" w:rsidP="005E37E3">
            <w:pPr>
              <w:jc w:val="right"/>
            </w:pPr>
            <w:r w:rsidRPr="00022C13">
              <w:t>5.1%</w:t>
            </w:r>
          </w:p>
        </w:tc>
      </w:tr>
      <w:tr w:rsidR="001C2DD2" w14:paraId="0C42C89F" w14:textId="77777777" w:rsidTr="001C2DD2">
        <w:trPr>
          <w:trHeight w:val="555"/>
        </w:trPr>
        <w:tc>
          <w:tcPr>
            <w:tcW w:w="0" w:type="auto"/>
            <w:shd w:val="clear" w:color="auto" w:fill="E0D1F5" w:themeFill="accent1" w:themeFillTint="33"/>
            <w:vAlign w:val="center"/>
          </w:tcPr>
          <w:p w14:paraId="727F70A9" w14:textId="0E531AB0" w:rsidR="001C2DD2" w:rsidRPr="00022C13" w:rsidRDefault="001C2DD2" w:rsidP="001C2DD2">
            <w:pPr>
              <w:rPr>
                <w:rFonts w:asciiTheme="minorHAnsi" w:eastAsia="Aptos Narrow" w:hAnsiTheme="minorHAnsi" w:cstheme="minorHAnsi"/>
                <w:color w:val="000000" w:themeColor="text1"/>
              </w:rPr>
            </w:pPr>
            <w:r w:rsidRPr="00022C13">
              <w:rPr>
                <w:rFonts w:asciiTheme="minorHAnsi" w:eastAsia="Aptos Narrow" w:hAnsiTheme="minorHAnsi" w:cstheme="minorHAnsi"/>
                <w:color w:val="000000" w:themeColor="text1"/>
              </w:rPr>
              <w:t>Occupational Therapists</w:t>
            </w:r>
          </w:p>
        </w:tc>
        <w:tc>
          <w:tcPr>
            <w:tcW w:w="0" w:type="auto"/>
            <w:shd w:val="clear" w:color="auto" w:fill="E0D1F5" w:themeFill="accent1" w:themeFillTint="33"/>
            <w:vAlign w:val="center"/>
          </w:tcPr>
          <w:p w14:paraId="1E1208D8" w14:textId="2A478AAA" w:rsidR="001C2DD2" w:rsidRPr="00022C13" w:rsidRDefault="001C2DD2" w:rsidP="005E37E3">
            <w:pPr>
              <w:jc w:val="center"/>
            </w:pPr>
            <w:r w:rsidRPr="00022C13">
              <w:t>1</w:t>
            </w:r>
          </w:p>
        </w:tc>
        <w:tc>
          <w:tcPr>
            <w:tcW w:w="0" w:type="auto"/>
            <w:shd w:val="clear" w:color="auto" w:fill="E0D1F5" w:themeFill="accent1" w:themeFillTint="33"/>
            <w:vAlign w:val="center"/>
          </w:tcPr>
          <w:p w14:paraId="34EA0D47" w14:textId="788F74BE" w:rsidR="001C2DD2" w:rsidRPr="00022C13" w:rsidRDefault="001C2DD2" w:rsidP="005E37E3">
            <w:pPr>
              <w:jc w:val="right"/>
            </w:pPr>
            <w:r w:rsidRPr="00022C13">
              <w:t>9,962</w:t>
            </w:r>
          </w:p>
        </w:tc>
        <w:tc>
          <w:tcPr>
            <w:tcW w:w="0" w:type="auto"/>
            <w:shd w:val="clear" w:color="auto" w:fill="E0D1F5" w:themeFill="accent1" w:themeFillTint="33"/>
            <w:vAlign w:val="center"/>
          </w:tcPr>
          <w:p w14:paraId="120C2939" w14:textId="327E8F4A" w:rsidR="001C2DD2" w:rsidRPr="00022C13" w:rsidRDefault="001C2DD2" w:rsidP="005E37E3">
            <w:pPr>
              <w:jc w:val="right"/>
            </w:pPr>
            <w:r w:rsidRPr="00022C13">
              <w:t>92%</w:t>
            </w:r>
          </w:p>
        </w:tc>
        <w:tc>
          <w:tcPr>
            <w:tcW w:w="0" w:type="auto"/>
            <w:shd w:val="clear" w:color="auto" w:fill="E0D1F5" w:themeFill="accent1" w:themeFillTint="33"/>
            <w:vAlign w:val="center"/>
          </w:tcPr>
          <w:p w14:paraId="77962DAB" w14:textId="3C4BE3DF" w:rsidR="001C2DD2" w:rsidRPr="00022C13" w:rsidRDefault="001C2DD2" w:rsidP="005E37E3">
            <w:pPr>
              <w:jc w:val="right"/>
            </w:pPr>
            <w:r w:rsidRPr="00022C13">
              <w:t>485</w:t>
            </w:r>
          </w:p>
        </w:tc>
        <w:tc>
          <w:tcPr>
            <w:tcW w:w="0" w:type="auto"/>
            <w:shd w:val="clear" w:color="auto" w:fill="E0D1F5" w:themeFill="accent1" w:themeFillTint="33"/>
            <w:vAlign w:val="center"/>
          </w:tcPr>
          <w:p w14:paraId="576301A4" w14:textId="4671C19F" w:rsidR="001C2DD2" w:rsidRPr="00022C13" w:rsidRDefault="001C2DD2" w:rsidP="005E37E3">
            <w:pPr>
              <w:jc w:val="right"/>
            </w:pPr>
            <w:r w:rsidRPr="00022C13">
              <w:t>4.9%</w:t>
            </w:r>
          </w:p>
        </w:tc>
      </w:tr>
      <w:tr w:rsidR="001C2DD2" w14:paraId="033CD177" w14:textId="77777777" w:rsidTr="001C2DD2">
        <w:trPr>
          <w:cnfStyle w:val="000000010000" w:firstRow="0" w:lastRow="0" w:firstColumn="0" w:lastColumn="0" w:oddVBand="0" w:evenVBand="0" w:oddHBand="0" w:evenHBand="1" w:firstRowFirstColumn="0" w:firstRowLastColumn="0" w:lastRowFirstColumn="0" w:lastRowLastColumn="0"/>
          <w:trHeight w:val="555"/>
        </w:trPr>
        <w:tc>
          <w:tcPr>
            <w:tcW w:w="0" w:type="auto"/>
            <w:shd w:val="clear" w:color="auto" w:fill="E0D1F5" w:themeFill="accent1" w:themeFillTint="33"/>
            <w:vAlign w:val="center"/>
          </w:tcPr>
          <w:p w14:paraId="17FBCB77" w14:textId="21D39EEF" w:rsidR="001C2DD2" w:rsidRPr="00022C13" w:rsidRDefault="001C2DD2" w:rsidP="001C2DD2">
            <w:pPr>
              <w:rPr>
                <w:rFonts w:asciiTheme="minorHAnsi" w:eastAsia="Aptos Narrow" w:hAnsiTheme="minorHAnsi" w:cstheme="minorHAnsi"/>
                <w:color w:val="000000" w:themeColor="text1"/>
              </w:rPr>
            </w:pPr>
            <w:r w:rsidRPr="00022C13">
              <w:rPr>
                <w:rFonts w:asciiTheme="minorHAnsi" w:eastAsia="Aptos Narrow" w:hAnsiTheme="minorHAnsi" w:cstheme="minorHAnsi"/>
                <w:color w:val="000000" w:themeColor="text1"/>
              </w:rPr>
              <w:t>Psychiatrists</w:t>
            </w:r>
          </w:p>
        </w:tc>
        <w:tc>
          <w:tcPr>
            <w:tcW w:w="0" w:type="auto"/>
            <w:shd w:val="clear" w:color="auto" w:fill="E0D1F5" w:themeFill="accent1" w:themeFillTint="33"/>
            <w:vAlign w:val="center"/>
          </w:tcPr>
          <w:p w14:paraId="31B95A37" w14:textId="159F706E" w:rsidR="001C2DD2" w:rsidRPr="00022C13" w:rsidRDefault="001C2DD2" w:rsidP="005E37E3">
            <w:pPr>
              <w:jc w:val="center"/>
            </w:pPr>
            <w:r w:rsidRPr="00022C13">
              <w:t>1</w:t>
            </w:r>
          </w:p>
        </w:tc>
        <w:tc>
          <w:tcPr>
            <w:tcW w:w="0" w:type="auto"/>
            <w:shd w:val="clear" w:color="auto" w:fill="E0D1F5" w:themeFill="accent1" w:themeFillTint="33"/>
            <w:vAlign w:val="center"/>
          </w:tcPr>
          <w:p w14:paraId="2EC6BC7C" w14:textId="151DC1E9" w:rsidR="001C2DD2" w:rsidRPr="00022C13" w:rsidRDefault="001C2DD2" w:rsidP="005E37E3">
            <w:pPr>
              <w:jc w:val="right"/>
            </w:pPr>
            <w:r w:rsidRPr="00022C13">
              <w:t>791</w:t>
            </w:r>
          </w:p>
        </w:tc>
        <w:tc>
          <w:tcPr>
            <w:tcW w:w="0" w:type="auto"/>
            <w:shd w:val="clear" w:color="auto" w:fill="E0D1F5" w:themeFill="accent1" w:themeFillTint="33"/>
            <w:vAlign w:val="center"/>
          </w:tcPr>
          <w:p w14:paraId="1939A5FC" w14:textId="31A4D69F" w:rsidR="001C2DD2" w:rsidRPr="00022C13" w:rsidRDefault="001C2DD2" w:rsidP="005E37E3">
            <w:pPr>
              <w:jc w:val="right"/>
            </w:pPr>
            <w:r w:rsidRPr="00022C13">
              <w:t>45%</w:t>
            </w:r>
          </w:p>
        </w:tc>
        <w:tc>
          <w:tcPr>
            <w:tcW w:w="0" w:type="auto"/>
            <w:shd w:val="clear" w:color="auto" w:fill="E0D1F5" w:themeFill="accent1" w:themeFillTint="33"/>
            <w:vAlign w:val="center"/>
          </w:tcPr>
          <w:p w14:paraId="53A16C38" w14:textId="1BCA5679" w:rsidR="001C2DD2" w:rsidRPr="00022C13" w:rsidRDefault="001C2DD2" w:rsidP="005E37E3">
            <w:pPr>
              <w:jc w:val="right"/>
            </w:pPr>
            <w:r w:rsidRPr="00022C13">
              <w:t>36</w:t>
            </w:r>
          </w:p>
        </w:tc>
        <w:tc>
          <w:tcPr>
            <w:tcW w:w="0" w:type="auto"/>
            <w:shd w:val="clear" w:color="auto" w:fill="E0D1F5" w:themeFill="accent1" w:themeFillTint="33"/>
            <w:vAlign w:val="center"/>
          </w:tcPr>
          <w:p w14:paraId="72C1789B" w14:textId="3C642916" w:rsidR="001C2DD2" w:rsidRPr="00022C13" w:rsidRDefault="001C2DD2" w:rsidP="005E37E3">
            <w:pPr>
              <w:jc w:val="right"/>
            </w:pPr>
            <w:r w:rsidRPr="00022C13">
              <w:t>4.6%</w:t>
            </w:r>
          </w:p>
        </w:tc>
      </w:tr>
      <w:tr w:rsidR="001C2DD2" w14:paraId="41FEF3B4" w14:textId="77777777" w:rsidTr="000C7829">
        <w:trPr>
          <w:trHeight w:val="555"/>
        </w:trPr>
        <w:tc>
          <w:tcPr>
            <w:tcW w:w="0" w:type="auto"/>
            <w:shd w:val="clear" w:color="auto" w:fill="CCEBEB"/>
            <w:vAlign w:val="center"/>
          </w:tcPr>
          <w:p w14:paraId="050669FC" w14:textId="0EFAC878" w:rsidR="001C2DD2" w:rsidRPr="00022C13" w:rsidRDefault="001C2DD2" w:rsidP="001C2DD2">
            <w:pPr>
              <w:rPr>
                <w:rFonts w:asciiTheme="minorHAnsi" w:hAnsiTheme="minorHAnsi" w:cstheme="minorHAnsi"/>
              </w:rPr>
            </w:pPr>
            <w:r w:rsidRPr="00022C13">
              <w:rPr>
                <w:rFonts w:asciiTheme="minorHAnsi" w:eastAsia="Aptos Narrow" w:hAnsiTheme="minorHAnsi" w:cstheme="minorHAnsi"/>
                <w:color w:val="000000" w:themeColor="text1"/>
              </w:rPr>
              <w:t>Enrolled and Mothercraft Nurses</w:t>
            </w:r>
          </w:p>
        </w:tc>
        <w:tc>
          <w:tcPr>
            <w:tcW w:w="0" w:type="auto"/>
            <w:shd w:val="clear" w:color="auto" w:fill="CCEBEB"/>
            <w:vAlign w:val="center"/>
          </w:tcPr>
          <w:p w14:paraId="3F71D204" w14:textId="6055065B" w:rsidR="001C2DD2" w:rsidRPr="00022C13" w:rsidRDefault="001C2DD2" w:rsidP="005E37E3">
            <w:pPr>
              <w:jc w:val="center"/>
              <w:rPr>
                <w:rFonts w:asciiTheme="minorHAnsi" w:hAnsiTheme="minorHAnsi" w:cstheme="minorHAnsi"/>
              </w:rPr>
            </w:pPr>
            <w:r w:rsidRPr="00022C13">
              <w:rPr>
                <w:rFonts w:asciiTheme="minorHAnsi" w:eastAsia="Aptos Narrow" w:hAnsiTheme="minorHAnsi" w:cstheme="minorHAnsi"/>
                <w:color w:val="000000" w:themeColor="text1"/>
              </w:rPr>
              <w:t>2</w:t>
            </w:r>
          </w:p>
        </w:tc>
        <w:tc>
          <w:tcPr>
            <w:tcW w:w="0" w:type="auto"/>
            <w:shd w:val="clear" w:color="auto" w:fill="CCEBEB"/>
            <w:vAlign w:val="center"/>
          </w:tcPr>
          <w:p w14:paraId="591FCC8D" w14:textId="38230941"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9,793</w:t>
            </w:r>
          </w:p>
        </w:tc>
        <w:tc>
          <w:tcPr>
            <w:tcW w:w="0" w:type="auto"/>
            <w:shd w:val="clear" w:color="auto" w:fill="CCEBEB"/>
            <w:vAlign w:val="center"/>
          </w:tcPr>
          <w:p w14:paraId="1803CC22" w14:textId="2C1D776A"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92%</w:t>
            </w:r>
          </w:p>
        </w:tc>
        <w:tc>
          <w:tcPr>
            <w:tcW w:w="0" w:type="auto"/>
            <w:shd w:val="clear" w:color="auto" w:fill="CCEBEB"/>
            <w:vAlign w:val="center"/>
          </w:tcPr>
          <w:p w14:paraId="53E3FD30" w14:textId="64373ECE"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389</w:t>
            </w:r>
          </w:p>
        </w:tc>
        <w:tc>
          <w:tcPr>
            <w:tcW w:w="0" w:type="auto"/>
            <w:shd w:val="clear" w:color="auto" w:fill="CCEBEB"/>
            <w:vAlign w:val="center"/>
          </w:tcPr>
          <w:p w14:paraId="39CF4FE7" w14:textId="3E482D68"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4.0%</w:t>
            </w:r>
          </w:p>
        </w:tc>
      </w:tr>
      <w:tr w:rsidR="001C2DD2" w14:paraId="09C9ED62" w14:textId="77777777" w:rsidTr="000C7829">
        <w:trPr>
          <w:cnfStyle w:val="000000010000" w:firstRow="0" w:lastRow="0" w:firstColumn="0" w:lastColumn="0" w:oddVBand="0" w:evenVBand="0" w:oddHBand="0" w:evenHBand="1" w:firstRowFirstColumn="0" w:firstRowLastColumn="0" w:lastRowFirstColumn="0" w:lastRowLastColumn="0"/>
          <w:trHeight w:val="270"/>
        </w:trPr>
        <w:tc>
          <w:tcPr>
            <w:tcW w:w="0" w:type="auto"/>
            <w:shd w:val="clear" w:color="auto" w:fill="CCEBEB"/>
            <w:vAlign w:val="center"/>
          </w:tcPr>
          <w:p w14:paraId="06A2CAA4" w14:textId="0241CC78" w:rsidR="001C2DD2" w:rsidRPr="00022C13" w:rsidRDefault="001C2DD2" w:rsidP="001C2DD2">
            <w:pPr>
              <w:rPr>
                <w:rFonts w:asciiTheme="minorHAnsi" w:hAnsiTheme="minorHAnsi" w:cstheme="minorHAnsi"/>
              </w:rPr>
            </w:pPr>
            <w:r w:rsidRPr="00022C13">
              <w:rPr>
                <w:rFonts w:asciiTheme="minorHAnsi" w:eastAsia="Aptos Narrow" w:hAnsiTheme="minorHAnsi" w:cstheme="minorHAnsi"/>
                <w:color w:val="000000" w:themeColor="text1"/>
              </w:rPr>
              <w:t>Dental Hygienists, Technicians and Therapists</w:t>
            </w:r>
          </w:p>
        </w:tc>
        <w:tc>
          <w:tcPr>
            <w:tcW w:w="0" w:type="auto"/>
            <w:shd w:val="clear" w:color="auto" w:fill="CCEBEB"/>
            <w:vAlign w:val="center"/>
          </w:tcPr>
          <w:p w14:paraId="1107B70F" w14:textId="7E4ED6CF" w:rsidR="001C2DD2" w:rsidRPr="00022C13" w:rsidRDefault="001C2DD2" w:rsidP="005E37E3">
            <w:pPr>
              <w:jc w:val="center"/>
              <w:rPr>
                <w:rFonts w:asciiTheme="minorHAnsi" w:hAnsiTheme="minorHAnsi" w:cstheme="minorHAnsi"/>
              </w:rPr>
            </w:pPr>
            <w:r w:rsidRPr="00022C13">
              <w:rPr>
                <w:rFonts w:asciiTheme="minorHAnsi" w:eastAsia="Aptos Narrow" w:hAnsiTheme="minorHAnsi" w:cstheme="minorHAnsi"/>
                <w:color w:val="000000" w:themeColor="text1"/>
              </w:rPr>
              <w:t>2</w:t>
            </w:r>
          </w:p>
        </w:tc>
        <w:tc>
          <w:tcPr>
            <w:tcW w:w="0" w:type="auto"/>
            <w:shd w:val="clear" w:color="auto" w:fill="CCEBEB"/>
            <w:vAlign w:val="center"/>
          </w:tcPr>
          <w:p w14:paraId="22A1D4B9" w14:textId="51160446"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2,158</w:t>
            </w:r>
          </w:p>
        </w:tc>
        <w:tc>
          <w:tcPr>
            <w:tcW w:w="0" w:type="auto"/>
            <w:shd w:val="clear" w:color="auto" w:fill="CCEBEB"/>
            <w:vAlign w:val="center"/>
          </w:tcPr>
          <w:p w14:paraId="62CCC561" w14:textId="6F3C988A"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67%</w:t>
            </w:r>
          </w:p>
        </w:tc>
        <w:tc>
          <w:tcPr>
            <w:tcW w:w="0" w:type="auto"/>
            <w:shd w:val="clear" w:color="auto" w:fill="CCEBEB"/>
            <w:vAlign w:val="center"/>
          </w:tcPr>
          <w:p w14:paraId="01F632A9" w14:textId="315CA326"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73</w:t>
            </w:r>
          </w:p>
        </w:tc>
        <w:tc>
          <w:tcPr>
            <w:tcW w:w="0" w:type="auto"/>
            <w:shd w:val="clear" w:color="auto" w:fill="CCEBEB"/>
            <w:vAlign w:val="center"/>
          </w:tcPr>
          <w:p w14:paraId="282CBBDF" w14:textId="6D23A5A6" w:rsidR="001C2DD2" w:rsidRPr="00022C13" w:rsidRDefault="001C2DD2" w:rsidP="005E37E3">
            <w:pPr>
              <w:jc w:val="right"/>
              <w:rPr>
                <w:rFonts w:asciiTheme="minorHAnsi" w:hAnsiTheme="minorHAnsi" w:cstheme="minorHAnsi"/>
              </w:rPr>
            </w:pPr>
            <w:r w:rsidRPr="00022C13">
              <w:rPr>
                <w:rFonts w:asciiTheme="minorHAnsi" w:eastAsia="Aptos Narrow" w:hAnsiTheme="minorHAnsi" w:cstheme="minorHAnsi"/>
                <w:color w:val="000000" w:themeColor="text1"/>
              </w:rPr>
              <w:t>3.4%</w:t>
            </w:r>
          </w:p>
        </w:tc>
      </w:tr>
    </w:tbl>
    <w:p w14:paraId="56892354" w14:textId="1E2F628E" w:rsidR="004B02D0" w:rsidRDefault="004B02D0" w:rsidP="003D070F">
      <w:r w:rsidRPr="002609D1">
        <w:rPr>
          <w:noProof/>
        </w:rPr>
        <mc:AlternateContent>
          <mc:Choice Requires="wpg">
            <w:drawing>
              <wp:inline distT="0" distB="0" distL="0" distR="0" wp14:anchorId="1AE49930" wp14:editId="0D063365">
                <wp:extent cx="5429250" cy="290178"/>
                <wp:effectExtent l="0" t="0" r="0" b="0"/>
                <wp:docPr id="488640856" name="Group 34"/>
                <wp:cNvGraphicFramePr/>
                <a:graphic xmlns:a="http://schemas.openxmlformats.org/drawingml/2006/main">
                  <a:graphicData uri="http://schemas.microsoft.com/office/word/2010/wordprocessingGroup">
                    <wpg:wgp>
                      <wpg:cNvGrpSpPr/>
                      <wpg:grpSpPr>
                        <a:xfrm>
                          <a:off x="0" y="0"/>
                          <a:ext cx="5429250" cy="290178"/>
                          <a:chOff x="0" y="0"/>
                          <a:chExt cx="5429250" cy="290178"/>
                        </a:xfrm>
                      </wpg:grpSpPr>
                      <wps:wsp>
                        <wps:cNvPr id="1979616682" name="Rectangle 1979616682"/>
                        <wps:cNvSpPr/>
                        <wps:spPr>
                          <a:xfrm>
                            <a:off x="0" y="32668"/>
                            <a:ext cx="514350" cy="165100"/>
                          </a:xfrm>
                          <a:prstGeom prst="rect">
                            <a:avLst/>
                          </a:prstGeom>
                          <a:solidFill>
                            <a:srgbClr val="E0D1F5"/>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57977037" name="Rectangle 1457977037"/>
                        <wps:cNvSpPr/>
                        <wps:spPr>
                          <a:xfrm>
                            <a:off x="2882900" y="32163"/>
                            <a:ext cx="514350" cy="165100"/>
                          </a:xfrm>
                          <a:prstGeom prst="rect">
                            <a:avLst/>
                          </a:prstGeom>
                          <a:solidFill>
                            <a:srgbClr val="CCEBEB"/>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85188339" name="Rectangle 985188339"/>
                        <wps:cNvSpPr/>
                        <wps:spPr>
                          <a:xfrm>
                            <a:off x="1441450" y="29397"/>
                            <a:ext cx="514350" cy="165100"/>
                          </a:xfrm>
                          <a:prstGeom prst="rect">
                            <a:avLst/>
                          </a:prstGeom>
                          <a:solidFill>
                            <a:srgbClr val="FBD4E2"/>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7530682" name="Rectangle 477530682"/>
                        <wps:cNvSpPr/>
                        <wps:spPr>
                          <a:xfrm>
                            <a:off x="4121150" y="25628"/>
                            <a:ext cx="514350" cy="165100"/>
                          </a:xfrm>
                          <a:prstGeom prst="rect">
                            <a:avLst/>
                          </a:prstGeom>
                          <a:solidFill>
                            <a:srgbClr val="CFE9FA"/>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96869563" name="TextBox 30"/>
                        <wps:cNvSpPr txBox="1"/>
                        <wps:spPr>
                          <a:xfrm>
                            <a:off x="469900" y="4212"/>
                            <a:ext cx="1206500" cy="283210"/>
                          </a:xfrm>
                          <a:prstGeom prst="rect">
                            <a:avLst/>
                          </a:prstGeom>
                          <a:noFill/>
                        </wps:spPr>
                        <wps:txbx>
                          <w:txbxContent>
                            <w:p w14:paraId="39928C14"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Long Training Gap</w:t>
                              </w:r>
                            </w:p>
                          </w:txbxContent>
                        </wps:txbx>
                        <wps:bodyPr wrap="square" rtlCol="0">
                          <a:spAutoFit/>
                        </wps:bodyPr>
                      </wps:wsp>
                      <wps:wsp>
                        <wps:cNvPr id="138907368" name="TextBox 31"/>
                        <wps:cNvSpPr txBox="1"/>
                        <wps:spPr>
                          <a:xfrm>
                            <a:off x="3327400" y="0"/>
                            <a:ext cx="850900" cy="283210"/>
                          </a:xfrm>
                          <a:prstGeom prst="rect">
                            <a:avLst/>
                          </a:prstGeom>
                          <a:noFill/>
                        </wps:spPr>
                        <wps:txbx>
                          <w:txbxContent>
                            <w:p w14:paraId="4614B27B"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Retention Gap</w:t>
                              </w:r>
                            </w:p>
                          </w:txbxContent>
                        </wps:txbx>
                        <wps:bodyPr wrap="square" rtlCol="0">
                          <a:spAutoFit/>
                        </wps:bodyPr>
                      </wps:wsp>
                      <wps:wsp>
                        <wps:cNvPr id="1592753138" name="TextBox 32"/>
                        <wps:cNvSpPr txBox="1"/>
                        <wps:spPr>
                          <a:xfrm>
                            <a:off x="1895475" y="0"/>
                            <a:ext cx="1206500" cy="283210"/>
                          </a:xfrm>
                          <a:prstGeom prst="rect">
                            <a:avLst/>
                          </a:prstGeom>
                          <a:noFill/>
                        </wps:spPr>
                        <wps:txbx>
                          <w:txbxContent>
                            <w:p w14:paraId="385033E7"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Short Training Gap</w:t>
                              </w:r>
                            </w:p>
                          </w:txbxContent>
                        </wps:txbx>
                        <wps:bodyPr wrap="square" rtlCol="0">
                          <a:spAutoFit/>
                        </wps:bodyPr>
                      </wps:wsp>
                      <wps:wsp>
                        <wps:cNvPr id="874212134" name="TextBox 33"/>
                        <wps:cNvSpPr txBox="1"/>
                        <wps:spPr>
                          <a:xfrm>
                            <a:off x="4578350" y="6968"/>
                            <a:ext cx="850900" cy="283210"/>
                          </a:xfrm>
                          <a:prstGeom prst="rect">
                            <a:avLst/>
                          </a:prstGeom>
                          <a:noFill/>
                        </wps:spPr>
                        <wps:txbx>
                          <w:txbxContent>
                            <w:p w14:paraId="7CFC94D3"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Suitability Gap</w:t>
                              </w:r>
                            </w:p>
                          </w:txbxContent>
                        </wps:txbx>
                        <wps:bodyPr wrap="square" rtlCol="0">
                          <a:spAutoFit/>
                        </wps:bodyPr>
                      </wps:wsp>
                    </wpg:wgp>
                  </a:graphicData>
                </a:graphic>
              </wp:inline>
            </w:drawing>
          </mc:Choice>
          <mc:Fallback>
            <w:pict>
              <v:group w14:anchorId="1AE49930" id="_x0000_s1076" style="width:427.5pt;height:22.85pt;mso-position-horizontal-relative:char;mso-position-vertical-relative:line" coordsize="54292,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">
                <v:rect id="Rectangle 1979616682" o:spid="_x0000_s1077" style="position:absolute;top:326;width:514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" fillcolor="#e0d1f5" stroked="f" strokeweight="1pt"/>
                <v:rect id="Rectangle 1457977037" o:spid="_x0000_s1078" style="position:absolute;left:28829;top:321;width:5143;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" fillcolor="#ccebeb" stroked="f" strokeweight="1pt"/>
                <v:rect id="Rectangle 985188339" o:spid="_x0000_s1079" style="position:absolute;left:14414;top:293;width:514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" fillcolor="#fbd4e2" stroked="f" strokeweight="1pt"/>
                <v:rect id="Rectangle 477530682" o:spid="_x0000_s1080" style="position:absolute;left:41211;top:256;width:5144;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" fillcolor="#cfe9fa" stroked="f" strokeweight="1pt"/>
                <v:shape id="TextBox 30" o:spid="_x0000_s1081" type="#_x0000_t202" style="position:absolute;left:4699;top:42;width:12065;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" filled="f" stroked="f">
                  <v:textbox style="mso-fit-shape-to-text:t">
                    <w:txbxContent>
                      <w:p w14:paraId="39928C14"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Long Training Gap</w:t>
                        </w:r>
                      </w:p>
                    </w:txbxContent>
                  </v:textbox>
                </v:shape>
                <v:shape id="TextBox 31" o:spid="_x0000_s1082" type="#_x0000_t202" style="position:absolute;left:33274;width:850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" filled="f" stroked="f">
                  <v:textbox style="mso-fit-shape-to-text:t">
                    <w:txbxContent>
                      <w:p w14:paraId="4614B27B"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Retention Gap</w:t>
                        </w:r>
                      </w:p>
                    </w:txbxContent>
                  </v:textbox>
                </v:shape>
                <v:shape id="TextBox 32" o:spid="_x0000_s1083" type="#_x0000_t202" style="position:absolute;left:18954;width:12065;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" filled="f" stroked="f">
                  <v:textbox style="mso-fit-shape-to-text:t">
                    <w:txbxContent>
                      <w:p w14:paraId="385033E7"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Short Training Gap</w:t>
                        </w:r>
                      </w:p>
                    </w:txbxContent>
                  </v:textbox>
                </v:shape>
                <v:shape id="TextBox 33" o:spid="_x0000_s1084" type="#_x0000_t202" style="position:absolute;left:45783;top:69;width:850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" filled="f" stroked="f">
                  <v:textbox style="mso-fit-shape-to-text:t">
                    <w:txbxContent>
                      <w:p w14:paraId="7CFC94D3" w14:textId="77777777" w:rsidR="004B02D0" w:rsidRDefault="004B02D0" w:rsidP="004B02D0">
                        <w:pPr>
                          <w:rPr>
                            <w:rFonts w:cs="Arial"/>
                            <w:color w:val="000000" w:themeColor="text1"/>
                            <w:kern w:val="24"/>
                            <w:sz w:val="16"/>
                            <w:szCs w:val="16"/>
                          </w:rPr>
                        </w:pPr>
                        <w:r>
                          <w:rPr>
                            <w:rFonts w:cs="Arial"/>
                            <w:color w:val="000000" w:themeColor="text1"/>
                            <w:kern w:val="24"/>
                            <w:sz w:val="16"/>
                            <w:szCs w:val="16"/>
                          </w:rPr>
                          <w:t>Suitability Gap</w:t>
                        </w:r>
                      </w:p>
                    </w:txbxContent>
                  </v:textbox>
                </v:shape>
                <w10:anchorlock/>
              </v:group>
            </w:pict>
          </mc:Fallback>
        </mc:AlternateContent>
      </w:r>
    </w:p>
    <w:p w14:paraId="5B319498" w14:textId="77777777" w:rsidR="00022C13" w:rsidRDefault="00890E70" w:rsidP="001C2DD2">
      <w:pPr>
        <w:pStyle w:val="Source"/>
        <w:rPr>
          <w:rFonts w:asciiTheme="minorHAnsi" w:hAnsiTheme="minorHAnsi" w:cstheme="minorHAnsi"/>
        </w:rPr>
      </w:pPr>
      <w:r w:rsidRPr="001C2DD2">
        <w:rPr>
          <w:rFonts w:asciiTheme="minorHAnsi" w:hAnsiTheme="minorHAnsi" w:cstheme="minorHAnsi"/>
        </w:rPr>
        <w:t>Note: occupations without a highlighted Skill Shortage Driver are either ‘yet to be determined’ or haven’t been assessed.</w:t>
      </w:r>
    </w:p>
    <w:p w14:paraId="2487ACE8" w14:textId="0A0945F3" w:rsidR="00E558C4" w:rsidRPr="001C2DD2" w:rsidRDefault="0610D8AE" w:rsidP="001C2DD2">
      <w:pPr>
        <w:pStyle w:val="Source"/>
        <w:rPr>
          <w:rFonts w:asciiTheme="minorHAnsi" w:hAnsiTheme="minorHAnsi" w:cstheme="minorHAnsi"/>
        </w:rPr>
      </w:pPr>
      <w:r w:rsidRPr="001C2DD2">
        <w:rPr>
          <w:rFonts w:asciiTheme="minorHAnsi" w:hAnsiTheme="minorHAnsi" w:cstheme="minorHAnsi"/>
        </w:rPr>
        <w:t xml:space="preserve">Sources: JSA, </w:t>
      </w:r>
      <w:r w:rsidRPr="00901A26">
        <w:rPr>
          <w:rFonts w:asciiTheme="minorHAnsi" w:hAnsiTheme="minorHAnsi" w:cstheme="minorHAnsi"/>
          <w:i/>
          <w:iCs/>
        </w:rPr>
        <w:t>Nowcast of Employment by Region and Occupation</w:t>
      </w:r>
      <w:r w:rsidRPr="001C2DD2">
        <w:rPr>
          <w:rFonts w:asciiTheme="minorHAnsi" w:hAnsiTheme="minorHAnsi" w:cstheme="minorHAnsi"/>
        </w:rPr>
        <w:t xml:space="preserve"> (NERO), April 2024; ABS, </w:t>
      </w:r>
      <w:r w:rsidRPr="00901A26">
        <w:rPr>
          <w:rFonts w:asciiTheme="minorHAnsi" w:hAnsiTheme="minorHAnsi" w:cstheme="minorHAnsi"/>
          <w:i/>
          <w:iCs/>
        </w:rPr>
        <w:t>Census of Population and Housing</w:t>
      </w:r>
      <w:r w:rsidRPr="001C2DD2">
        <w:rPr>
          <w:rFonts w:asciiTheme="minorHAnsi" w:hAnsiTheme="minorHAnsi" w:cstheme="minorHAnsi"/>
        </w:rPr>
        <w:t>, 2021</w:t>
      </w:r>
      <w:r w:rsidR="00925D49" w:rsidRPr="001C2DD2">
        <w:rPr>
          <w:rFonts w:asciiTheme="minorHAnsi" w:hAnsiTheme="minorHAnsi" w:cstheme="minorHAnsi"/>
        </w:rPr>
        <w:t>, Tablebuilder</w:t>
      </w:r>
      <w:r w:rsidRPr="001C2DD2">
        <w:rPr>
          <w:rFonts w:asciiTheme="minorHAnsi" w:hAnsiTheme="minorHAnsi" w:cstheme="minorHAnsi"/>
        </w:rPr>
        <w:t xml:space="preserve">; JSA, </w:t>
      </w:r>
      <w:r w:rsidRPr="00901A26">
        <w:rPr>
          <w:rFonts w:asciiTheme="minorHAnsi" w:hAnsiTheme="minorHAnsi" w:cstheme="minorHAnsi"/>
          <w:i/>
          <w:iCs/>
        </w:rPr>
        <w:t>Skills Priority List</w:t>
      </w:r>
      <w:r w:rsidRPr="001C2DD2">
        <w:rPr>
          <w:rFonts w:asciiTheme="minorHAnsi" w:hAnsiTheme="minorHAnsi" w:cstheme="minorHAnsi"/>
        </w:rPr>
        <w:t xml:space="preserve">, 2023; </w:t>
      </w:r>
      <w:r w:rsidR="00022C13">
        <w:rPr>
          <w:rFonts w:asciiTheme="minorHAnsi" w:hAnsiTheme="minorHAnsi" w:cstheme="minorHAnsi"/>
        </w:rPr>
        <w:t xml:space="preserve">and </w:t>
      </w:r>
      <w:r w:rsidRPr="001C2DD2">
        <w:rPr>
          <w:rFonts w:asciiTheme="minorHAnsi" w:hAnsiTheme="minorHAnsi" w:cstheme="minorHAnsi"/>
        </w:rPr>
        <w:t xml:space="preserve">JSA, </w:t>
      </w:r>
      <w:r w:rsidRPr="00901A26">
        <w:rPr>
          <w:rFonts w:asciiTheme="minorHAnsi" w:hAnsiTheme="minorHAnsi" w:cstheme="minorHAnsi"/>
          <w:i/>
          <w:iCs/>
        </w:rPr>
        <w:t>Internet Vacancy Index</w:t>
      </w:r>
      <w:r w:rsidRPr="001C2DD2">
        <w:rPr>
          <w:rFonts w:asciiTheme="minorHAnsi" w:hAnsiTheme="minorHAnsi" w:cstheme="minorHAnsi"/>
        </w:rPr>
        <w:t xml:space="preserve"> (IVI), </w:t>
      </w:r>
      <w:r w:rsidR="00561D67" w:rsidRPr="001C2DD2">
        <w:rPr>
          <w:rFonts w:asciiTheme="minorHAnsi" w:hAnsiTheme="minorHAnsi" w:cstheme="minorHAnsi"/>
        </w:rPr>
        <w:t>3</w:t>
      </w:r>
      <w:r w:rsidRPr="001C2DD2">
        <w:rPr>
          <w:rFonts w:asciiTheme="minorHAnsi" w:hAnsiTheme="minorHAnsi" w:cstheme="minorHAnsi"/>
        </w:rPr>
        <w:t>-month averages, April 2024</w:t>
      </w:r>
    </w:p>
    <w:p w14:paraId="1516F2A1" w14:textId="6B095CA8" w:rsidR="78EB5049" w:rsidRDefault="001B3BDA" w:rsidP="00022C13">
      <w:r w:rsidRPr="40C62563">
        <w:t>The regional situation for Child Carers</w:t>
      </w:r>
      <w:r w:rsidR="124C43D1" w:rsidRPr="40C62563">
        <w:t xml:space="preserve"> and</w:t>
      </w:r>
      <w:r w:rsidRPr="40C62563">
        <w:t xml:space="preserve"> Aged and Disabled Carers is similar in that they are </w:t>
      </w:r>
      <w:r w:rsidR="00561D67">
        <w:t>both</w:t>
      </w:r>
      <w:r w:rsidR="00561D67" w:rsidRPr="40C62563">
        <w:t xml:space="preserve"> </w:t>
      </w:r>
      <w:r w:rsidRPr="40C62563">
        <w:t>in National shortage</w:t>
      </w:r>
      <w:r w:rsidR="00AB5BAD">
        <w:t xml:space="preserve"> and however b</w:t>
      </w:r>
      <w:r w:rsidRPr="40C62563">
        <w:t xml:space="preserve">oth occupations have a Retention Gap as </w:t>
      </w:r>
      <w:r w:rsidR="00AB5BAD">
        <w:t xml:space="preserve">the </w:t>
      </w:r>
      <w:r w:rsidRPr="40C62563">
        <w:t>driver for shortages</w:t>
      </w:r>
      <w:r w:rsidR="00AB5BAD">
        <w:t>.</w:t>
      </w:r>
    </w:p>
    <w:p w14:paraId="154B6D96" w14:textId="77777777" w:rsidR="007A5032" w:rsidRPr="007A5032" w:rsidRDefault="007A5032" w:rsidP="004F0CB1">
      <w:pPr>
        <w:pStyle w:val="Heading2"/>
      </w:pPr>
      <w:bookmarkStart w:id="58" w:name="_Toc178173737"/>
      <w:r w:rsidRPr="21E6A5B7">
        <w:t xml:space="preserve">Spotlight: Occupational gender segregation may be </w:t>
      </w:r>
      <w:r w:rsidRPr="004F0CB1">
        <w:t>contributing</w:t>
      </w:r>
      <w:r w:rsidRPr="21E6A5B7">
        <w:t xml:space="preserve"> towards persistent skill shortages in regional and remote areas</w:t>
      </w:r>
      <w:bookmarkEnd w:id="58"/>
    </w:p>
    <w:p w14:paraId="09B7D189" w14:textId="77777777" w:rsidR="007A5032" w:rsidRPr="007A5032" w:rsidRDefault="007A5032" w:rsidP="00BF5E7B">
      <w:r w:rsidRPr="007A5032">
        <w:t xml:space="preserve">One of the most significant changes to Australia’s labour markets over the past 40 years is who does the work. For instance, around 45% of women participated in the labour market in 1980; more than 40 years later this has risen to 63%. In that time, the female share of total hours worked has also increased considerably, from 30% in 1980, to almost 43% in 2024. </w:t>
      </w:r>
    </w:p>
    <w:p w14:paraId="6BEE3787" w14:textId="7BCC5BB7" w:rsidR="007A5032" w:rsidRPr="007A5032" w:rsidRDefault="007A5032" w:rsidP="00BF5E7B">
      <w:r w:rsidRPr="007A5032">
        <w:t>Despite this significant change, gender segregation</w:t>
      </w:r>
      <w:r w:rsidRPr="007A5032">
        <w:rPr>
          <w:rStyle w:val="FootnoteReference"/>
          <w:rFonts w:eastAsia="Arial" w:cs="Arial"/>
        </w:rPr>
        <w:footnoteReference w:id="45"/>
      </w:r>
      <w:r w:rsidRPr="007A5032">
        <w:t xml:space="preserve"> within the Australian workforce remains stubbornly persistent. For instance, while some jobs have shifted from being male-dominated to now more balanced; particularly in the managerial and professional occupations, the female share of employment in female dominated occupations has only increased (</w:t>
      </w:r>
      <w:r w:rsidR="00211F18">
        <w:t>Figure 2</w:t>
      </w:r>
      <w:r w:rsidR="00BF5E7B">
        <w:t>8</w:t>
      </w:r>
      <w:r w:rsidRPr="007A5032">
        <w:t xml:space="preserve">). </w:t>
      </w:r>
    </w:p>
    <w:p w14:paraId="2CD5302D" w14:textId="5D363127" w:rsidR="007A5032" w:rsidRPr="00BF5E7B" w:rsidRDefault="007A5032" w:rsidP="00150241">
      <w:pPr>
        <w:pStyle w:val="Caption"/>
        <w:rPr>
          <w:color w:val="000000" w:themeColor="text1"/>
          <w:szCs w:val="22"/>
          <w:lang w:val="en-US"/>
        </w:rPr>
      </w:pPr>
      <w:r w:rsidRPr="00BF5E7B">
        <w:rPr>
          <w:rFonts w:asciiTheme="minorHAnsi" w:hAnsiTheme="minorHAnsi" w:cstheme="minorHAnsi"/>
          <w:szCs w:val="20"/>
        </w:rPr>
        <w:t>Figure 2</w:t>
      </w:r>
      <w:r w:rsidR="00BF5E7B" w:rsidRPr="00BF5E7B">
        <w:rPr>
          <w:rFonts w:asciiTheme="minorHAnsi" w:hAnsiTheme="minorHAnsi" w:cstheme="minorHAnsi"/>
          <w:szCs w:val="20"/>
        </w:rPr>
        <w:t>8</w:t>
      </w:r>
      <w:r w:rsidRPr="00BF5E7B">
        <w:rPr>
          <w:rFonts w:asciiTheme="minorHAnsi" w:hAnsiTheme="minorHAnsi" w:cstheme="minorHAnsi"/>
          <w:szCs w:val="20"/>
        </w:rPr>
        <w:t>: Share of total hours worked in female-dominated, male-dominated and balanced</w:t>
      </w:r>
      <w:r w:rsidRPr="00BF5E7B">
        <w:rPr>
          <w:color w:val="000000" w:themeColor="text1"/>
          <w:szCs w:val="22"/>
          <w:lang w:val="en-US"/>
        </w:rPr>
        <w:t xml:space="preserve"> occupations. </w:t>
      </w:r>
    </w:p>
    <w:p w14:paraId="09A60B30" w14:textId="77777777" w:rsidR="007A5032" w:rsidRPr="003471F7" w:rsidRDefault="007A5032" w:rsidP="00622D4A">
      <w:pPr>
        <w:keepNext/>
        <w:rPr>
          <w:rFonts w:cs="Arial"/>
          <w:b/>
          <w:bCs/>
        </w:rPr>
      </w:pPr>
      <w:r w:rsidRPr="003471F7">
        <w:rPr>
          <w:rFonts w:cs="Arial"/>
          <w:noProof/>
        </w:rPr>
        <w:drawing>
          <wp:inline distT="0" distB="0" distL="0" distR="0" wp14:anchorId="73FB284F" wp14:editId="24592AA6">
            <wp:extent cx="5731200" cy="3070800"/>
            <wp:effectExtent l="0" t="0" r="3175" b="0"/>
            <wp:docPr id="445128621" name="Chart 1" descr="A column chart showing the share of total hours worked in female-dominated, male-dominated and balanced occupations. The chart shows that although some jobs have moved from being male-dominated to being more balanced, the female share of employment in female dominated occupations has only increased.">
              <a:extLst xmlns:a="http://schemas.openxmlformats.org/drawingml/2006/main">
                <a:ext uri="{FF2B5EF4-FFF2-40B4-BE49-F238E27FC236}">
                  <a16:creationId xmlns:a16="http://schemas.microsoft.com/office/drawing/2014/main" id="{6E57F6CD-1B13-1E87-CB72-813FF564E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207E5F0" w14:textId="77777777" w:rsidR="007A5032" w:rsidRPr="00BF5E7B" w:rsidRDefault="007A5032" w:rsidP="00BF5E7B">
      <w:pPr>
        <w:pStyle w:val="Source"/>
        <w:rPr>
          <w:rFonts w:asciiTheme="minorHAnsi" w:hAnsiTheme="minorHAnsi" w:cstheme="minorHAnsi"/>
        </w:rPr>
      </w:pPr>
      <w:r w:rsidRPr="00BF5E7B">
        <w:rPr>
          <w:rFonts w:asciiTheme="minorHAnsi" w:hAnsiTheme="minorHAnsi" w:cstheme="minorHAnsi"/>
        </w:rPr>
        <w:t xml:space="preserve">Source: ABS, </w:t>
      </w:r>
      <w:r w:rsidRPr="00901A26">
        <w:rPr>
          <w:rFonts w:asciiTheme="minorHAnsi" w:hAnsiTheme="minorHAnsi" w:cstheme="minorHAnsi"/>
          <w:i/>
          <w:iCs/>
        </w:rPr>
        <w:t>Labour Force, Australia, Detailed</w:t>
      </w:r>
      <w:r w:rsidRPr="00BF5E7B">
        <w:rPr>
          <w:rFonts w:asciiTheme="minorHAnsi" w:hAnsiTheme="minorHAnsi" w:cstheme="minorHAnsi"/>
        </w:rPr>
        <w:t xml:space="preserve">, May 2024, 4-quarter average. </w:t>
      </w:r>
    </w:p>
    <w:p w14:paraId="440CF630" w14:textId="77777777" w:rsidR="007A5032" w:rsidRPr="00BF5E7B" w:rsidRDefault="007A5032" w:rsidP="00BF5E7B">
      <w:pPr>
        <w:pStyle w:val="Source"/>
        <w:rPr>
          <w:rFonts w:asciiTheme="minorHAnsi" w:hAnsiTheme="minorHAnsi" w:cstheme="minorHAnsi"/>
        </w:rPr>
      </w:pPr>
      <w:r w:rsidRPr="00BF5E7B">
        <w:rPr>
          <w:rFonts w:asciiTheme="minorHAnsi" w:hAnsiTheme="minorHAnsi" w:cstheme="minorHAnsi"/>
        </w:rPr>
        <w:t xml:space="preserve">Note:  A female-dominated occupation is one where at least 70% of hours are worked by women. A male-dominated occupation is one where at least 70% of hours are worked by men. A balanced occupation is one with less than a 70-30 split. </w:t>
      </w:r>
    </w:p>
    <w:p w14:paraId="404D6CA6" w14:textId="77777777" w:rsidR="007A5032" w:rsidRPr="007A5032" w:rsidRDefault="007A5032" w:rsidP="00BF5E7B">
      <w:r w:rsidRPr="007A5032">
        <w:t>Gender segregation presents key challenges to labour market and societal outcomes. Such segregation constrains the labour supply choices of individuals as it limits the range of jobs that are realistically available to them, potentially limiting their earnings potential.</w:t>
      </w:r>
      <w:r w:rsidRPr="007A5032">
        <w:rPr>
          <w:rStyle w:val="FootnoteReference"/>
          <w:rFonts w:eastAsia="Arial" w:cs="Arial"/>
        </w:rPr>
        <w:footnoteReference w:id="46"/>
      </w:r>
      <w:r w:rsidRPr="007A5032">
        <w:t xml:space="preserve"> For the labour market, occupational gender segregation can hamper labour market efficiency, resulting in higher rates of labour underutilisation and skill shortages. </w:t>
      </w:r>
    </w:p>
    <w:p w14:paraId="754DF4A4" w14:textId="0E639A56" w:rsidR="007A5032" w:rsidRPr="007A5032" w:rsidRDefault="007A5032" w:rsidP="00BF5E7B">
      <w:r w:rsidRPr="007A5032">
        <w:t>Indeed, analysis of the 2023 Skills Priority List (SPL) outcomes show that occupations that have a strong gender imbalance were more likely to be in shortage (</w:t>
      </w:r>
      <w:r w:rsidR="00211F18">
        <w:t>Figure 2</w:t>
      </w:r>
      <w:r w:rsidR="00AE2110">
        <w:t>9</w:t>
      </w:r>
      <w:r w:rsidRPr="007A5032">
        <w:t>). Some 54% of occupations where males make up at least 80% of the workforce were found to be in shortage. These disproportionately male occupations were concentrated in Machinery Operators and Drivers, Labourers, and Technicians and Trade Workers groups. Further, 40% of occupations where females make up at least 80% of the workforce were found to be in shortage. These were concentrated in health sector occupations such as Registered Nurses, and other early education and care-based occupations within Community and Personal Service Workers.</w:t>
      </w:r>
    </w:p>
    <w:p w14:paraId="4AAF3DB3" w14:textId="12967F47" w:rsidR="007A5032" w:rsidRPr="00BF5E7B" w:rsidRDefault="007A5032" w:rsidP="00BF5E7B">
      <w:pPr>
        <w:pStyle w:val="Caption"/>
        <w:rPr>
          <w:rFonts w:asciiTheme="minorHAnsi" w:hAnsiTheme="minorHAnsi" w:cstheme="minorHAnsi"/>
          <w:szCs w:val="20"/>
        </w:rPr>
      </w:pPr>
      <w:r w:rsidRPr="00BF5E7B">
        <w:rPr>
          <w:rFonts w:asciiTheme="minorHAnsi" w:hAnsiTheme="minorHAnsi" w:cstheme="minorHAnsi"/>
          <w:szCs w:val="20"/>
        </w:rPr>
        <w:t>Figure 2</w:t>
      </w:r>
      <w:r w:rsidR="00BF5E7B">
        <w:rPr>
          <w:rFonts w:asciiTheme="minorHAnsi" w:hAnsiTheme="minorHAnsi" w:cstheme="minorHAnsi"/>
          <w:szCs w:val="20"/>
        </w:rPr>
        <w:t>9</w:t>
      </w:r>
      <w:r w:rsidRPr="00BF5E7B">
        <w:rPr>
          <w:rFonts w:asciiTheme="minorHAnsi" w:hAnsiTheme="minorHAnsi" w:cstheme="minorHAnsi"/>
          <w:szCs w:val="20"/>
        </w:rPr>
        <w:t>: Share of occupations in shortage in the 2021, 2022 and 2023 SPLs, by gender imbalanced occupations</w:t>
      </w:r>
    </w:p>
    <w:p w14:paraId="3FDEDB43" w14:textId="3EB140B2" w:rsidR="007A5032" w:rsidRPr="003471F7" w:rsidRDefault="004F0CB1" w:rsidP="006E7A8D">
      <w:r w:rsidRPr="00BF5E7B">
        <w:rPr>
          <w:rFonts w:asciiTheme="minorHAnsi" w:hAnsiTheme="minorHAnsi" w:cstheme="minorHAnsi"/>
          <w:noProof/>
          <w:sz w:val="20"/>
          <w:szCs w:val="20"/>
        </w:rPr>
        <w:drawing>
          <wp:inline distT="0" distB="0" distL="0" distR="0" wp14:anchorId="310BD3D7" wp14:editId="22C6459A">
            <wp:extent cx="5731200" cy="3099600"/>
            <wp:effectExtent l="0" t="0" r="3175" b="5715"/>
            <wp:docPr id="1404017146" name="Picture 1" descr="A column chart that shows the share of occupations in shortage in the 2021, 2022 and 2023 SPLs, by gender imbalanced occupations. The chart shows that occupations that have a strong gender imbalance were more likely to be in shortag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20966" name="Picture 1" descr="A column chart that shows the share of occupations in shortage in the 2021, 2022 and 2023 SPLs, by gender imbalanced occupations. The chart shows that occupations that have a strong gender imbalance were more likely to be in shortage. ">
                      <a:extLst>
                        <a:ext uri="{C183D7F6-B498-43B3-948B-1728B52AA6E4}">
                          <adec:decorative xmlns:adec="http://schemas.microsoft.com/office/drawing/2017/decorative" val="0"/>
                        </a:ext>
                      </a:extLst>
                    </pic:cNvPr>
                    <pic:cNvPicPr/>
                  </pic:nvPicPr>
                  <pic:blipFill rotWithShape="1">
                    <a:blip r:embed="rId76" cstate="print">
                      <a:extLst>
                        <a:ext uri="{28A0092B-C50C-407E-A947-70E740481C1C}">
                          <a14:useLocalDpi xmlns:a14="http://schemas.microsoft.com/office/drawing/2010/main" val="0"/>
                        </a:ext>
                      </a:extLst>
                    </a:blip>
                    <a:srcRect l="11908" t="35" r="10491" b="35"/>
                    <a:stretch/>
                  </pic:blipFill>
                  <pic:spPr bwMode="auto">
                    <a:xfrm>
                      <a:off x="0" y="0"/>
                      <a:ext cx="5731200" cy="3099600"/>
                    </a:xfrm>
                    <a:prstGeom prst="rect">
                      <a:avLst/>
                    </a:prstGeom>
                    <a:ln>
                      <a:noFill/>
                    </a:ln>
                    <a:extLst>
                      <a:ext uri="{53640926-AAD7-44D8-BBD7-CCE9431645EC}">
                        <a14:shadowObscured xmlns:a14="http://schemas.microsoft.com/office/drawing/2010/main"/>
                      </a:ext>
                    </a:extLst>
                  </pic:spPr>
                </pic:pic>
              </a:graphicData>
            </a:graphic>
          </wp:inline>
        </w:drawing>
      </w:r>
    </w:p>
    <w:p w14:paraId="470ADD68" w14:textId="77777777" w:rsidR="00BF5E7B" w:rsidRDefault="007A5032" w:rsidP="00BF5E7B">
      <w:pPr>
        <w:pStyle w:val="Source"/>
        <w:rPr>
          <w:rFonts w:asciiTheme="minorHAnsi" w:hAnsiTheme="minorHAnsi" w:cstheme="minorHAnsi"/>
        </w:rPr>
      </w:pPr>
      <w:r w:rsidRPr="00BF5E7B">
        <w:rPr>
          <w:rFonts w:asciiTheme="minorHAnsi" w:hAnsiTheme="minorHAnsi" w:cstheme="minorHAnsi"/>
        </w:rPr>
        <w:t xml:space="preserve">Source: National Skills Commission, </w:t>
      </w:r>
      <w:r w:rsidRPr="00901A26">
        <w:rPr>
          <w:rFonts w:asciiTheme="minorHAnsi" w:hAnsiTheme="minorHAnsi" w:cstheme="minorHAnsi"/>
          <w:i/>
          <w:iCs/>
        </w:rPr>
        <w:t>Skill Priority List</w:t>
      </w:r>
      <w:r w:rsidRPr="00BF5E7B">
        <w:rPr>
          <w:rFonts w:asciiTheme="minorHAnsi" w:hAnsiTheme="minorHAnsi" w:cstheme="minorHAnsi"/>
        </w:rPr>
        <w:t xml:space="preserve"> 2021 and 2022; Jobs and Skills Australia, </w:t>
      </w:r>
      <w:r w:rsidRPr="00901A26">
        <w:rPr>
          <w:rFonts w:asciiTheme="minorHAnsi" w:hAnsiTheme="minorHAnsi" w:cstheme="minorHAnsi"/>
          <w:i/>
          <w:iCs/>
        </w:rPr>
        <w:t>Skills Priority List</w:t>
      </w:r>
      <w:r w:rsidRPr="00BF5E7B">
        <w:rPr>
          <w:rFonts w:asciiTheme="minorHAnsi" w:hAnsiTheme="minorHAnsi" w:cstheme="minorHAnsi"/>
        </w:rPr>
        <w:t xml:space="preserve"> 2023 </w:t>
      </w:r>
    </w:p>
    <w:p w14:paraId="638E6E02" w14:textId="5CAF2AD4" w:rsidR="007A5032" w:rsidRPr="00BF5E7B" w:rsidRDefault="007A5032" w:rsidP="00BF5E7B">
      <w:pPr>
        <w:pStyle w:val="Source"/>
        <w:rPr>
          <w:rFonts w:asciiTheme="minorHAnsi" w:hAnsiTheme="minorHAnsi" w:cstheme="minorHAnsi"/>
        </w:rPr>
      </w:pPr>
      <w:r w:rsidRPr="00BF5E7B">
        <w:rPr>
          <w:rFonts w:asciiTheme="minorHAnsi" w:hAnsiTheme="minorHAnsi" w:cstheme="minorHAnsi"/>
        </w:rPr>
        <w:t>Note: the number of occupations assessed has changed for each SPL. This reflects both changes in the ANZSCO framework and the inclusion of skills shortage assessments for 'not elsewhere classified' (nec) occupations in both the 2022 and 2023 SPL assessments.</w:t>
      </w:r>
    </w:p>
    <w:p w14:paraId="480D6789" w14:textId="77777777" w:rsidR="007A5032" w:rsidRPr="003471F7" w:rsidRDefault="007A5032" w:rsidP="004F0CB1">
      <w:pPr>
        <w:pStyle w:val="Heading3"/>
      </w:pPr>
      <w:r w:rsidRPr="00BF5E7B">
        <w:t>Occupational gender segregation is closely linked to remoteness</w:t>
      </w:r>
    </w:p>
    <w:p w14:paraId="4549CD82" w14:textId="20775316" w:rsidR="007A5032" w:rsidRPr="007A5032" w:rsidRDefault="007A5032" w:rsidP="00BF5E7B">
      <w:bookmarkStart w:id="59" w:name="_Hlk176423567"/>
      <w:r w:rsidRPr="007A5032">
        <w:t>A key feature of gender segregation is that the distribution of male and female workers across and within job types is closely linked to remoteness</w:t>
      </w:r>
      <w:bookmarkEnd w:id="59"/>
      <w:r w:rsidRPr="007A5032">
        <w:t>. Regional and remote areas with lower population density have distinctly higher gender segregation than their capital city counterparts (</w:t>
      </w:r>
      <w:r w:rsidR="00211F18" w:rsidRPr="00211F18">
        <w:t xml:space="preserve">Figure </w:t>
      </w:r>
      <w:r w:rsidR="00BF5E7B">
        <w:t>30</w:t>
      </w:r>
      <w:r w:rsidRPr="007A5032">
        <w:t>).</w:t>
      </w:r>
      <w:r w:rsidRPr="007A5032">
        <w:rPr>
          <w:rStyle w:val="FootnoteReference"/>
          <w:rFonts w:eastAsia="Arial" w:cs="Arial"/>
        </w:rPr>
        <w:footnoteReference w:id="47"/>
      </w:r>
      <w:r w:rsidRPr="007A5032">
        <w:t xml:space="preserve"> Gender segregation is lower in capital city areas, such as in Sydney, Melbourne and the Australian Capital Territory, where a larger share of the workforce is employed in the service sector, which has a more gender balanced share of employment. Conversely, gender segregation is much higher in many regional and remote areas, such as in Outback Western Australia, South Australia and Queensland, where a larger share of the workforce is employed in male-dominated industries such as agriculture, mining and manufacturing.</w:t>
      </w:r>
    </w:p>
    <w:p w14:paraId="3B5DCCCB" w14:textId="62656E20" w:rsidR="007A5032" w:rsidRPr="007A5032" w:rsidRDefault="007A5032" w:rsidP="00DA2B97">
      <w:r w:rsidRPr="007A5032">
        <w:t xml:space="preserve">It is important to note that gender segregation is higher in many regional and remote areas due to a combination of both the structure of the economy, and the balance between </w:t>
      </w:r>
      <w:r w:rsidR="7A168B4F">
        <w:t>gender</w:t>
      </w:r>
      <w:r w:rsidRPr="007A5032">
        <w:t xml:space="preserve"> within industries and occupations. </w:t>
      </w:r>
    </w:p>
    <w:p w14:paraId="1886560D" w14:textId="77777777" w:rsidR="007A5032" w:rsidRPr="007A5032" w:rsidRDefault="007A5032" w:rsidP="00DA2B97">
      <w:r w:rsidRPr="007A5032">
        <w:t xml:space="preserve">When paired with the 2023 SPL findings, that showed that occupations that have a strong gender imbalance were more likely to be in shortage, the segregation by gender in the workforce of many regional and remote areas presents a key challenge for the labour market. It is likely that the unequal distribution of male and female work in regional and remote areas may be contributing to persistently high recruitment difficulty, particularly for skilled occupations, in these areas. </w:t>
      </w:r>
    </w:p>
    <w:p w14:paraId="749FDD14" w14:textId="453F3AEB" w:rsidR="007A5032" w:rsidRPr="007A5032" w:rsidRDefault="007A5032" w:rsidP="00150241">
      <w:pPr>
        <w:pStyle w:val="Caption"/>
        <w:rPr>
          <w:rFonts w:cs="Arial"/>
          <w:b w:val="0"/>
          <w:szCs w:val="20"/>
        </w:rPr>
      </w:pPr>
      <w:r w:rsidRPr="008218DB">
        <w:rPr>
          <w:rFonts w:asciiTheme="minorHAnsi" w:hAnsiTheme="minorHAnsi" w:cstheme="minorHAnsi"/>
          <w:szCs w:val="20"/>
        </w:rPr>
        <w:t xml:space="preserve">Figure </w:t>
      </w:r>
      <w:r w:rsidR="00DA2B97">
        <w:rPr>
          <w:rFonts w:asciiTheme="minorHAnsi" w:hAnsiTheme="minorHAnsi" w:cstheme="minorHAnsi"/>
          <w:szCs w:val="20"/>
        </w:rPr>
        <w:t>30</w:t>
      </w:r>
      <w:r w:rsidRPr="008218DB">
        <w:rPr>
          <w:rFonts w:asciiTheme="minorHAnsi" w:hAnsiTheme="minorHAnsi" w:cstheme="minorHAnsi"/>
          <w:szCs w:val="20"/>
        </w:rPr>
        <w:t>: Occupational segregation by gender and population density of local areas (SA2), 6-digit occupations, 2021</w:t>
      </w:r>
      <w:r w:rsidRPr="007A5032">
        <w:rPr>
          <w:rFonts w:cs="Arial"/>
          <w:b w:val="0"/>
          <w:szCs w:val="20"/>
        </w:rPr>
        <w:t xml:space="preserve"> </w:t>
      </w:r>
    </w:p>
    <w:p w14:paraId="33F1367C" w14:textId="77777777" w:rsidR="007A5032" w:rsidRPr="003471F7" w:rsidRDefault="007A5032" w:rsidP="007A5032">
      <w:pPr>
        <w:rPr>
          <w:rFonts w:cs="Arial"/>
          <w:b/>
          <w:bCs/>
        </w:rPr>
      </w:pPr>
      <w:r w:rsidRPr="003471F7">
        <w:rPr>
          <w:rFonts w:cs="Arial"/>
          <w:noProof/>
        </w:rPr>
        <w:drawing>
          <wp:inline distT="0" distB="0" distL="0" distR="0" wp14:anchorId="49E53F61" wp14:editId="7ABD3AE9">
            <wp:extent cx="5731200" cy="3070800"/>
            <wp:effectExtent l="0" t="0" r="3175" b="0"/>
            <wp:docPr id="691351630" name="Chart 1" descr="A scatter plot that shows the Index of Dissimilarity (a measure of occupational segregation by sex) by remoteness type (Metropolitan City, Regional City, Regional and Remote). The chart shows that occupational gender segregation is distinctly higher in regional and remote areas with lower population density.">
              <a:extLst xmlns:a="http://schemas.openxmlformats.org/drawingml/2006/main">
                <a:ext uri="{FF2B5EF4-FFF2-40B4-BE49-F238E27FC236}">
                  <a16:creationId xmlns:a16="http://schemas.microsoft.com/office/drawing/2014/main" id="{8FBA8312-29B9-4050-85A8-4EB254745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7C41461" w14:textId="6B27232A" w:rsidR="007A5032" w:rsidRPr="00DA2B97" w:rsidRDefault="007A5032" w:rsidP="00DA2B97">
      <w:pPr>
        <w:pStyle w:val="Source"/>
        <w:rPr>
          <w:rFonts w:asciiTheme="minorHAnsi" w:hAnsiTheme="minorHAnsi" w:cstheme="minorHAnsi"/>
        </w:rPr>
      </w:pPr>
      <w:r w:rsidRPr="00DA2B97">
        <w:rPr>
          <w:rFonts w:asciiTheme="minorHAnsi" w:hAnsiTheme="minorHAnsi" w:cstheme="minorHAnsi"/>
        </w:rPr>
        <w:t xml:space="preserve">Source: ABS, </w:t>
      </w:r>
      <w:r w:rsidRPr="00901A26">
        <w:rPr>
          <w:rFonts w:asciiTheme="minorHAnsi" w:hAnsiTheme="minorHAnsi" w:cstheme="minorHAnsi"/>
          <w:i/>
          <w:iCs/>
        </w:rPr>
        <w:t xml:space="preserve">Census of </w:t>
      </w:r>
      <w:r w:rsidR="00901A26">
        <w:rPr>
          <w:rFonts w:asciiTheme="minorHAnsi" w:hAnsiTheme="minorHAnsi" w:cstheme="minorHAnsi"/>
          <w:i/>
          <w:iCs/>
        </w:rPr>
        <w:t>Population and Housing</w:t>
      </w:r>
      <w:r w:rsidRPr="00DA2B97">
        <w:rPr>
          <w:rFonts w:asciiTheme="minorHAnsi" w:hAnsiTheme="minorHAnsi" w:cstheme="minorHAnsi"/>
        </w:rPr>
        <w:t>, 2021</w:t>
      </w:r>
    </w:p>
    <w:p w14:paraId="484EA534" w14:textId="52104623" w:rsidR="007A5032" w:rsidRPr="00DA2B97" w:rsidRDefault="007A5032" w:rsidP="00DA2B97">
      <w:pPr>
        <w:pStyle w:val="Source"/>
        <w:rPr>
          <w:rFonts w:asciiTheme="minorHAnsi" w:hAnsiTheme="minorHAnsi" w:cstheme="minorHAnsi"/>
        </w:rPr>
      </w:pPr>
      <w:r w:rsidRPr="00DA2B97">
        <w:rPr>
          <w:rFonts w:asciiTheme="minorHAnsi" w:hAnsiTheme="minorHAnsi" w:cstheme="minorHAnsi"/>
        </w:rPr>
        <w:t>Note:  The Duncan index of dissimilarity (ID) measures the proportion of men or women that would have to change occupation for the occupational distribution of men and women to be equal. An ID of 0 indicates perfect gender integration, while a value of 1 indicates complete gender segregation.</w:t>
      </w:r>
    </w:p>
    <w:p w14:paraId="1D315B13" w14:textId="15630F39" w:rsidR="00F0101B" w:rsidRPr="00310CE1" w:rsidRDefault="00F0101B" w:rsidP="000B5312">
      <w:pPr>
        <w:pStyle w:val="Heading2"/>
        <w:rPr>
          <w:rFonts w:asciiTheme="majorHAnsi" w:hAnsiTheme="majorHAnsi"/>
        </w:rPr>
      </w:pPr>
      <w:bookmarkStart w:id="60" w:name="_Toc178173738"/>
      <w:r w:rsidRPr="093FE8B8">
        <w:rPr>
          <w:rFonts w:asciiTheme="majorHAnsi" w:hAnsiTheme="majorHAnsi"/>
        </w:rPr>
        <w:t>Regional drivers of skill shortages</w:t>
      </w:r>
      <w:bookmarkEnd w:id="60"/>
    </w:p>
    <w:p w14:paraId="7B5B09A4" w14:textId="6F35D6B6" w:rsidR="00F0101B" w:rsidRDefault="00F0101B" w:rsidP="00DA2B97">
      <w:r w:rsidRPr="0206E076">
        <w:t xml:space="preserve">Aside from JSA’s Skills Shortage Drivers, variation in skill shortages across </w:t>
      </w:r>
      <w:r w:rsidR="2E397168" w:rsidRPr="0206E076">
        <w:t>r</w:t>
      </w:r>
      <w:r w:rsidRPr="0206E076">
        <w:t xml:space="preserve">egional Australia are also due to </w:t>
      </w:r>
      <w:r w:rsidR="009E4B66" w:rsidRPr="0206E076">
        <w:t>differences in</w:t>
      </w:r>
      <w:r w:rsidRPr="0206E076">
        <w:t xml:space="preserve"> regional conditions. Many regional SA4s have </w:t>
      </w:r>
      <w:r w:rsidR="00A44C53" w:rsidRPr="0206E076">
        <w:t>similar</w:t>
      </w:r>
      <w:r w:rsidRPr="0206E076">
        <w:t xml:space="preserve"> types and level</w:t>
      </w:r>
      <w:r w:rsidR="00CC27BF" w:rsidRPr="0206E076">
        <w:t>s</w:t>
      </w:r>
      <w:r w:rsidRPr="0206E076">
        <w:t xml:space="preserve"> of skill shortages. However, there </w:t>
      </w:r>
      <w:r w:rsidR="00CC6527" w:rsidRPr="0206E076">
        <w:t>are</w:t>
      </w:r>
      <w:r w:rsidRPr="0206E076">
        <w:t xml:space="preserve"> different drivers behind skill shortages </w:t>
      </w:r>
      <w:r w:rsidR="000B1149" w:rsidRPr="0206E076">
        <w:t>in</w:t>
      </w:r>
      <w:r w:rsidRPr="0206E076">
        <w:t xml:space="preserve"> particular regions</w:t>
      </w:r>
      <w:r w:rsidR="006B615C" w:rsidRPr="0206E076">
        <w:t>, which</w:t>
      </w:r>
      <w:r w:rsidR="00D62AA4" w:rsidRPr="0206E076">
        <w:t xml:space="preserve"> may</w:t>
      </w:r>
      <w:r w:rsidRPr="0206E076">
        <w:t xml:space="preserve"> include those listed below.</w:t>
      </w:r>
    </w:p>
    <w:p w14:paraId="190DA2E4" w14:textId="0E691A1E" w:rsidR="00F0101B" w:rsidRPr="00DA2B97" w:rsidRDefault="00F0101B" w:rsidP="00465BE3">
      <w:pPr>
        <w:pStyle w:val="Heading3"/>
      </w:pPr>
      <w:r w:rsidRPr="00DA2B97">
        <w:t>Industry composition of a regions employment</w:t>
      </w:r>
    </w:p>
    <w:p w14:paraId="5FD51341" w14:textId="7A638B39" w:rsidR="00F0101B" w:rsidRDefault="00F0101B" w:rsidP="00DA2B97">
      <w:r w:rsidRPr="0EF27FF7">
        <w:t xml:space="preserve">Where an industry, or a small number of industries, dominate a regions employment, there is a greater demand for occupations that are commonly needed in these industries. For example, regions with a large mining sector such as Central Queensland, will have </w:t>
      </w:r>
      <w:r w:rsidR="596BF6DF" w:rsidRPr="0EF27FF7">
        <w:t>strong</w:t>
      </w:r>
      <w:r w:rsidRPr="0EF27FF7">
        <w:t xml:space="preserve"> reliance on </w:t>
      </w:r>
      <w:r w:rsidR="00F609B1">
        <w:t xml:space="preserve">specific </w:t>
      </w:r>
      <w:r w:rsidR="761C31CE" w:rsidRPr="0EF27FF7">
        <w:t>professionals</w:t>
      </w:r>
      <w:r w:rsidRPr="0EF27FF7">
        <w:t xml:space="preserve">, such as </w:t>
      </w:r>
      <w:r w:rsidR="4FDABDE8" w:rsidRPr="0EA9AB32">
        <w:t>M</w:t>
      </w:r>
      <w:r w:rsidRPr="0EA9AB32">
        <w:t xml:space="preserve">ining </w:t>
      </w:r>
      <w:r w:rsidR="7366F731" w:rsidRPr="0EA9AB32">
        <w:t>E</w:t>
      </w:r>
      <w:r w:rsidRPr="0EA9AB32">
        <w:t>ngineer</w:t>
      </w:r>
      <w:r w:rsidR="255ACF4A" w:rsidRPr="0EA9AB32">
        <w:t>s</w:t>
      </w:r>
      <w:r w:rsidRPr="0EF27FF7">
        <w:t xml:space="preserve">, many Technicians and Trades Workers, and Machinery Operators and Drivers occupations. The demand for these </w:t>
      </w:r>
      <w:r w:rsidR="715A25A4" w:rsidRPr="0EA9AB32">
        <w:t xml:space="preserve">occupations </w:t>
      </w:r>
      <w:r w:rsidRPr="0EF27FF7">
        <w:t>can also cause shortages in other industries, such as Other Services, and in neighbouring regions.</w:t>
      </w:r>
    </w:p>
    <w:p w14:paraId="451C2CF4" w14:textId="3D6EF41E" w:rsidR="00F0101B" w:rsidRPr="00DA2B97" w:rsidRDefault="00F0101B" w:rsidP="00465BE3">
      <w:pPr>
        <w:pStyle w:val="Heading3"/>
      </w:pPr>
      <w:r w:rsidRPr="00DA2B97">
        <w:t>Migration</w:t>
      </w:r>
    </w:p>
    <w:p w14:paraId="2CF2BA4F" w14:textId="21A99B01" w:rsidR="00F0101B" w:rsidRDefault="00F0101B" w:rsidP="00DA2B97">
      <w:r w:rsidRPr="6FF45381">
        <w:t xml:space="preserve">While migration often provides skilled workers </w:t>
      </w:r>
      <w:r w:rsidRPr="4B9CF36B">
        <w:t>t</w:t>
      </w:r>
      <w:r w:rsidR="008942EC">
        <w:t>o</w:t>
      </w:r>
      <w:r w:rsidRPr="4B9CF36B">
        <w:t xml:space="preserve"> alleviate</w:t>
      </w:r>
      <w:r w:rsidRPr="6FF45381">
        <w:t xml:space="preserve"> skill shortages in </w:t>
      </w:r>
      <w:r w:rsidR="002D56CC">
        <w:t>certain</w:t>
      </w:r>
      <w:r w:rsidRPr="6FF45381">
        <w:t xml:space="preserve"> regions, </w:t>
      </w:r>
      <w:r w:rsidRPr="4B9CF36B">
        <w:t xml:space="preserve">it can </w:t>
      </w:r>
      <w:r w:rsidR="002D56CC">
        <w:t>also</w:t>
      </w:r>
      <w:r w:rsidRPr="6FF45381">
        <w:t xml:space="preserve"> result in high population growth which in turn can cause substantial demand for services</w:t>
      </w:r>
      <w:r w:rsidR="006B6A39">
        <w:t xml:space="preserve"> and labour</w:t>
      </w:r>
      <w:r w:rsidRPr="6FF45381">
        <w:t>, particularly in Health Care and Social Assistance and Education and Training such as the Inner Regional Sunshine Coast SA4.</w:t>
      </w:r>
      <w:r w:rsidR="00D278AE">
        <w:t xml:space="preserve"> </w:t>
      </w:r>
    </w:p>
    <w:p w14:paraId="02AC9E4B" w14:textId="44133DD1" w:rsidR="00F0101B" w:rsidRPr="00DA2B97" w:rsidRDefault="00632A28" w:rsidP="00465BE3">
      <w:pPr>
        <w:pStyle w:val="Heading3"/>
      </w:pPr>
      <w:r w:rsidRPr="00DA2B97">
        <w:t>L</w:t>
      </w:r>
      <w:r w:rsidR="00F0101B" w:rsidRPr="00DA2B97">
        <w:t xml:space="preserve">ocal training and tertiary education opportunities </w:t>
      </w:r>
    </w:p>
    <w:p w14:paraId="6549E151" w14:textId="497E530F" w:rsidR="00F0101B" w:rsidRDefault="00F0101B" w:rsidP="00DA2B97">
      <w:r w:rsidRPr="6FF45381">
        <w:t>Many regional areas have fewer options for training and higher education, meaning that the local workforce may not be able to access the post-school training they need to gain the skills in demand for that region.</w:t>
      </w:r>
    </w:p>
    <w:p w14:paraId="06AACE67" w14:textId="566232A7" w:rsidR="00F0101B" w:rsidRPr="00DA2B97" w:rsidRDefault="00F0101B" w:rsidP="00465BE3">
      <w:pPr>
        <w:pStyle w:val="Heading3"/>
      </w:pPr>
      <w:r w:rsidRPr="00DA2B97">
        <w:t>Challenges with provision of adequate services, accommodation, and infrastructure</w:t>
      </w:r>
    </w:p>
    <w:p w14:paraId="7354AE63" w14:textId="67178F15" w:rsidR="00F0101B" w:rsidRDefault="00F0101B" w:rsidP="00DA2B97">
      <w:r w:rsidRPr="6FF45381">
        <w:t xml:space="preserve">Some regions, </w:t>
      </w:r>
      <w:r w:rsidR="0089485F" w:rsidRPr="4B9CF36B">
        <w:t>particularly</w:t>
      </w:r>
      <w:r w:rsidRPr="6FF45381">
        <w:t xml:space="preserve"> those </w:t>
      </w:r>
      <w:r w:rsidRPr="4B9CF36B">
        <w:t xml:space="preserve">in </w:t>
      </w:r>
      <w:r w:rsidR="0089485F">
        <w:t>o</w:t>
      </w:r>
      <w:r w:rsidRPr="4B9CF36B">
        <w:t>uter</w:t>
      </w:r>
      <w:r w:rsidRPr="6FF45381">
        <w:t xml:space="preserve"> </w:t>
      </w:r>
      <w:r w:rsidR="001E05F0">
        <w:t>r</w:t>
      </w:r>
      <w:r w:rsidRPr="4B9CF36B">
        <w:t>egional</w:t>
      </w:r>
      <w:r w:rsidRPr="6FF45381">
        <w:t xml:space="preserve"> and </w:t>
      </w:r>
      <w:r w:rsidR="001E05F0">
        <w:t>r</w:t>
      </w:r>
      <w:r w:rsidRPr="4B9CF36B">
        <w:t>emote</w:t>
      </w:r>
      <w:r w:rsidRPr="6FF45381">
        <w:t xml:space="preserve"> Australia, have pronounced challenges related to provision of services, accommodation, and infrastructure. These challenges may make regions less attractive to potential </w:t>
      </w:r>
      <w:r w:rsidR="00D24572" w:rsidRPr="6FF45381">
        <w:t>workers and</w:t>
      </w:r>
      <w:r w:rsidRPr="6FF45381">
        <w:t xml:space="preserve"> can impact the ability for employers in these regions to attract and retain suitably qualified staff. </w:t>
      </w:r>
    </w:p>
    <w:p w14:paraId="22FE7078" w14:textId="4B3F7335" w:rsidR="00F0101B" w:rsidRPr="00DA2B97" w:rsidRDefault="00F0101B" w:rsidP="00465BE3">
      <w:pPr>
        <w:pStyle w:val="Heading3"/>
      </w:pPr>
      <w:r w:rsidRPr="00DA2B97">
        <w:t xml:space="preserve">Seasonality in </w:t>
      </w:r>
      <w:r w:rsidR="001650F1" w:rsidRPr="00DA2B97">
        <w:t xml:space="preserve">labour </w:t>
      </w:r>
      <w:r w:rsidRPr="00DA2B97">
        <w:t>demand</w:t>
      </w:r>
    </w:p>
    <w:p w14:paraId="48AADF8D" w14:textId="3738D170" w:rsidR="003C65E8" w:rsidRPr="00E54B8C" w:rsidRDefault="00F0101B" w:rsidP="00C03E0A">
      <w:r w:rsidRPr="6FF45381">
        <w:t xml:space="preserve">Seasonality in labour demand is another driver of skill shortages. In regions with relatively large employment in agriculture and/or tourism, such as Cairns, employment is highly seasonal and there are substantial peaks in demand for workers. Also, as the work tends to be short term and temporary in nature and is also relatively low paid it does not attract as many locals and employers </w:t>
      </w:r>
      <w:r w:rsidRPr="0EA9AB32">
        <w:t>ma</w:t>
      </w:r>
      <w:r w:rsidR="415BC941" w:rsidRPr="0EA9AB32">
        <w:t xml:space="preserve">y </w:t>
      </w:r>
      <w:r w:rsidR="415BC941" w:rsidRPr="3CD9DA4A">
        <w:t>employ</w:t>
      </w:r>
      <w:r w:rsidRPr="6FF45381">
        <w:t xml:space="preserve"> people on the </w:t>
      </w:r>
      <w:hyperlink r:id="rId78">
        <w:r w:rsidRPr="7AA04A9E">
          <w:rPr>
            <w:rStyle w:val="Hyperlink"/>
            <w:rFonts w:eastAsia="Arial" w:cs="Arial"/>
          </w:rPr>
          <w:t>Working Holiday visa</w:t>
        </w:r>
      </w:hyperlink>
      <w:r w:rsidRPr="7AA04A9E">
        <w:t xml:space="preserve">. </w:t>
      </w:r>
      <w:r w:rsidRPr="6FF45381">
        <w:t>The impact of COVID</w:t>
      </w:r>
      <w:r w:rsidR="70133114">
        <w:t>-19</w:t>
      </w:r>
      <w:r w:rsidRPr="6FF45381">
        <w:t xml:space="preserve"> and associated border closures caused major shortages for these industries.</w:t>
      </w:r>
    </w:p>
    <w:p w14:paraId="13FA9B0E" w14:textId="77777777" w:rsidR="009907C9" w:rsidRPr="00F264FC" w:rsidRDefault="009907C9" w:rsidP="00F264FC">
      <w:r w:rsidRPr="00F264FC">
        <w:br w:type="page"/>
      </w:r>
    </w:p>
    <w:p w14:paraId="5A040A29" w14:textId="4686C83B" w:rsidR="000B7C0D" w:rsidRDefault="00184140" w:rsidP="2129A0DE">
      <w:pPr>
        <w:pStyle w:val="Heading1"/>
        <w:rPr>
          <w:rFonts w:asciiTheme="majorHAnsi" w:hAnsiTheme="majorHAnsi"/>
        </w:rPr>
      </w:pPr>
      <w:bookmarkStart w:id="61" w:name="_Toc172106436"/>
      <w:bookmarkStart w:id="62" w:name="_Toc178173739"/>
      <w:bookmarkEnd w:id="61"/>
      <w:r w:rsidRPr="2129A0DE">
        <w:rPr>
          <w:rFonts w:asciiTheme="majorHAnsi" w:hAnsiTheme="majorHAnsi"/>
        </w:rPr>
        <w:t>T</w:t>
      </w:r>
      <w:r w:rsidR="000B7C0D" w:rsidRPr="6338DA30">
        <w:rPr>
          <w:rFonts w:asciiTheme="majorHAnsi" w:hAnsiTheme="majorHAnsi"/>
        </w:rPr>
        <w:t xml:space="preserve">he </w:t>
      </w:r>
      <w:r w:rsidR="00426BA3" w:rsidRPr="6338DA30">
        <w:rPr>
          <w:rFonts w:asciiTheme="majorHAnsi" w:hAnsiTheme="majorHAnsi"/>
        </w:rPr>
        <w:t>R</w:t>
      </w:r>
      <w:r w:rsidR="000B7C0D" w:rsidRPr="6338DA30">
        <w:rPr>
          <w:rFonts w:asciiTheme="majorHAnsi" w:hAnsiTheme="majorHAnsi"/>
        </w:rPr>
        <w:t xml:space="preserve">egional </w:t>
      </w:r>
      <w:r w:rsidR="00426BA3" w:rsidRPr="6338DA30">
        <w:rPr>
          <w:rFonts w:asciiTheme="majorHAnsi" w:hAnsiTheme="majorHAnsi"/>
        </w:rPr>
        <w:t>S</w:t>
      </w:r>
      <w:r w:rsidR="000B7C0D" w:rsidRPr="6338DA30">
        <w:rPr>
          <w:rFonts w:asciiTheme="majorHAnsi" w:hAnsiTheme="majorHAnsi"/>
        </w:rPr>
        <w:t xml:space="preserve">kills </w:t>
      </w:r>
      <w:r w:rsidR="00426BA3" w:rsidRPr="6338DA30">
        <w:rPr>
          <w:rFonts w:asciiTheme="majorHAnsi" w:hAnsiTheme="majorHAnsi"/>
        </w:rPr>
        <w:t>S</w:t>
      </w:r>
      <w:r w:rsidR="000B7C0D" w:rsidRPr="6338DA30">
        <w:rPr>
          <w:rFonts w:asciiTheme="majorHAnsi" w:hAnsiTheme="majorHAnsi"/>
        </w:rPr>
        <w:t>ystem</w:t>
      </w:r>
      <w:bookmarkEnd w:id="62"/>
    </w:p>
    <w:tbl>
      <w:tblPr>
        <w:tblStyle w:val="Box"/>
        <w:tblW w:w="0" w:type="auto"/>
        <w:tblLook w:val="04A0" w:firstRow="1" w:lastRow="0" w:firstColumn="1" w:lastColumn="0" w:noHBand="0" w:noVBand="1"/>
      </w:tblPr>
      <w:tblGrid>
        <w:gridCol w:w="8996"/>
      </w:tblGrid>
      <w:tr w:rsidR="00465BE3" w14:paraId="6B67E374" w14:textId="77777777" w:rsidTr="00465BE3">
        <w:tc>
          <w:tcPr>
            <w:tcW w:w="9016" w:type="dxa"/>
          </w:tcPr>
          <w:p w14:paraId="7A35EBB4" w14:textId="77777777" w:rsidR="00465BE3" w:rsidRPr="00A07EE4" w:rsidRDefault="00465BE3" w:rsidP="00465BE3">
            <w:pPr>
              <w:pStyle w:val="Heading2"/>
              <w:rPr>
                <w:rFonts w:asciiTheme="minorHAnsi" w:hAnsiTheme="minorHAnsi" w:cstheme="minorHAnsi"/>
              </w:rPr>
            </w:pPr>
            <w:bookmarkStart w:id="63" w:name="_Toc178173740"/>
            <w:r w:rsidRPr="00A07EE4">
              <w:rPr>
                <w:rFonts w:asciiTheme="minorHAnsi" w:hAnsiTheme="minorHAnsi" w:cstheme="minorHAnsi"/>
              </w:rPr>
              <w:t>Key Findings</w:t>
            </w:r>
            <w:bookmarkEnd w:id="63"/>
          </w:p>
          <w:p w14:paraId="01A04724"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Educational attainment is correlated with labour market outcomes, with those with higher levels of attainment having lower unemployment rates and higher participation rates, than those without post-school qualifications or with only Certificate level I or II qualifications.</w:t>
            </w:r>
          </w:p>
          <w:p w14:paraId="7CD5CF2C"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Educational attainment decreases with remoteness, with clear disparity people achieving a university level education in regional and remote areas compared to major cities.</w:t>
            </w:r>
          </w:p>
          <w:p w14:paraId="3179B370"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Australia’s higher education system is not meeting current skill needs in regional and remote areas, particularly for skill level 1 occupations.</w:t>
            </w:r>
          </w:p>
          <w:p w14:paraId="24E596A6"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 xml:space="preserve">University enrolments in regional and remote areas have generally been declining over the past five years.  </w:t>
            </w:r>
          </w:p>
          <w:p w14:paraId="16D1124F"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Regionally headquartered universities have higher student attrition rates compared to the national average for all universities.</w:t>
            </w:r>
          </w:p>
          <w:p w14:paraId="6DB8166C"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Despite many regionally headquartered universities offering courses in priority areas including health and education, skill shortages persist for many professional occupations in regional areas.</w:t>
            </w:r>
          </w:p>
          <w:p w14:paraId="4A411024"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The Australian Universities Accord Final Report 2024 outlined a long-term reform plan for the higher education sector to produce the skills and knowledge needed to meet Australia’s current and emerging challenges, including in regional Australia.</w:t>
            </w:r>
          </w:p>
          <w:p w14:paraId="3D1505ED"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The Australian Universities Accord recognised that if Australia is to meet its skill requirements into the future, then more persons from remote and regional areas must attain a university education.</w:t>
            </w:r>
          </w:p>
          <w:p w14:paraId="6A912E8F"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 xml:space="preserve">VET is more likely to be the highest level of educational attainment in regional and remote areas. However, many barriers and issues to the provision and accessibility of VET remain in these areas. </w:t>
            </w:r>
          </w:p>
          <w:p w14:paraId="5EB41F81" w14:textId="77777777" w:rsidR="00465BE3" w:rsidRPr="00435914" w:rsidRDefault="00465BE3" w:rsidP="00465BE3">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 xml:space="preserve">Students from regional and remote locations are more likely to enrol in lower-level VET qualifications compared to those from major cities. </w:t>
            </w:r>
          </w:p>
          <w:p w14:paraId="3F2985DC" w14:textId="7981D171" w:rsidR="00465BE3" w:rsidRPr="00435914" w:rsidRDefault="00465BE3" w:rsidP="6F1BBB17">
            <w:pPr>
              <w:pStyle w:val="ListBullet"/>
              <w:rPr>
                <w:rFonts w:asciiTheme="minorHAnsi" w:hAnsiTheme="minorHAnsi" w:cstheme="minorBidi"/>
              </w:rPr>
            </w:pPr>
            <w:r w:rsidRPr="6F1BBB17">
              <w:rPr>
                <w:rFonts w:asciiTheme="minorHAnsi" w:hAnsiTheme="minorHAnsi" w:cstheme="minorBidi"/>
              </w:rPr>
              <w:t xml:space="preserve">Regional and remote students have lower qualification completion rates compared to students from major cities </w:t>
            </w:r>
            <w:r w:rsidR="73BE28CE" w:rsidRPr="6F1BBB17">
              <w:rPr>
                <w:rFonts w:asciiTheme="minorHAnsi" w:hAnsiTheme="minorHAnsi" w:cstheme="minorBidi"/>
              </w:rPr>
              <w:t xml:space="preserve">however </w:t>
            </w:r>
            <w:r w:rsidRPr="6F1BBB17">
              <w:rPr>
                <w:rFonts w:asciiTheme="minorHAnsi" w:hAnsiTheme="minorHAnsi" w:cstheme="minorBidi"/>
              </w:rPr>
              <w:t xml:space="preserve">are more likely after completing their qualification to be in further study or employed, and with improved employed outcomes, than those from major cities. </w:t>
            </w:r>
          </w:p>
          <w:p w14:paraId="57F4F500" w14:textId="1328FA9A" w:rsidR="00465BE3" w:rsidRPr="00465BE3" w:rsidRDefault="00465BE3" w:rsidP="000A5627">
            <w:pPr>
              <w:pStyle w:val="ListBullet"/>
              <w:numPr>
                <w:ilvl w:val="0"/>
                <w:numId w:val="6"/>
              </w:numPr>
              <w:rPr>
                <w:rFonts w:asciiTheme="minorHAnsi" w:hAnsiTheme="minorHAnsi" w:cstheme="minorHAnsi"/>
                <w:szCs w:val="22"/>
              </w:rPr>
            </w:pPr>
            <w:r w:rsidRPr="00435914">
              <w:rPr>
                <w:rFonts w:asciiTheme="minorHAnsi" w:hAnsiTheme="minorHAnsi" w:cstheme="minorHAnsi"/>
                <w:szCs w:val="22"/>
              </w:rPr>
              <w:t>A number of major reforms currently being progressed in the VET space which may help address these issues, including the National Skills Agreement and a range of new State Government VET plans, strategies and policies.</w:t>
            </w:r>
          </w:p>
        </w:tc>
      </w:tr>
    </w:tbl>
    <w:p w14:paraId="313359D9" w14:textId="77777777" w:rsidR="00465BE3" w:rsidRDefault="00465BE3" w:rsidP="00465BE3"/>
    <w:p w14:paraId="275F41E0" w14:textId="77777777" w:rsidR="00465BE3" w:rsidRDefault="00465BE3" w:rsidP="00465BE3">
      <w:pPr>
        <w:rPr>
          <w:rFonts w:eastAsiaTheme="majorEastAsia"/>
          <w:sz w:val="32"/>
          <w:szCs w:val="26"/>
        </w:rPr>
      </w:pPr>
      <w:r>
        <w:br w:type="page"/>
      </w:r>
    </w:p>
    <w:p w14:paraId="27DAA27F" w14:textId="1A0AB21A" w:rsidR="00530D74" w:rsidRPr="005124FF" w:rsidRDefault="00530D74" w:rsidP="005124FF">
      <w:pPr>
        <w:pStyle w:val="Heading2"/>
        <w:rPr>
          <w:rFonts w:cs="Arial"/>
        </w:rPr>
      </w:pPr>
      <w:bookmarkStart w:id="64" w:name="_Toc178173741"/>
      <w:r w:rsidRPr="005124FF">
        <w:rPr>
          <w:rFonts w:cs="Arial"/>
        </w:rPr>
        <w:t>Overview</w:t>
      </w:r>
      <w:r w:rsidR="009160B6" w:rsidRPr="005124FF">
        <w:rPr>
          <w:rFonts w:cs="Arial"/>
        </w:rPr>
        <w:t xml:space="preserve"> of the regional </w:t>
      </w:r>
      <w:r w:rsidR="00D84346" w:rsidRPr="005124FF">
        <w:rPr>
          <w:rFonts w:cs="Arial"/>
        </w:rPr>
        <w:t>skills</w:t>
      </w:r>
      <w:r w:rsidR="009160B6" w:rsidRPr="005124FF">
        <w:rPr>
          <w:rFonts w:cs="Arial"/>
        </w:rPr>
        <w:t xml:space="preserve"> system</w:t>
      </w:r>
      <w:bookmarkEnd w:id="64"/>
    </w:p>
    <w:p w14:paraId="0998AB32" w14:textId="77777777" w:rsidR="00530D74" w:rsidRPr="0099288C" w:rsidRDefault="00530D74" w:rsidP="00133EB5">
      <w:r w:rsidRPr="0099288C">
        <w:t>The 2023 Annual Jobs and Skills Report defined the concept of a national skills system, with the three key pillars of VET, higher education, and migration at its core.</w:t>
      </w:r>
      <w:r w:rsidRPr="20A6F5DF">
        <w:rPr>
          <w:rFonts w:asciiTheme="minorHAnsi" w:hAnsiTheme="minorHAnsi"/>
          <w:vertAlign w:val="superscript"/>
        </w:rPr>
        <w:footnoteReference w:id="48"/>
      </w:r>
      <w:r w:rsidRPr="0099288C">
        <w:t xml:space="preserve"> </w:t>
      </w:r>
    </w:p>
    <w:p w14:paraId="40EC5476" w14:textId="78894822" w:rsidR="00530D74" w:rsidRPr="0099288C" w:rsidRDefault="00530D74" w:rsidP="00133EB5">
      <w:r w:rsidRPr="0099288C">
        <w:t xml:space="preserve">The regional skills system aims to upskill local </w:t>
      </w:r>
      <w:r w:rsidR="00E77217">
        <w:t>populations</w:t>
      </w:r>
      <w:r w:rsidRPr="0099288C">
        <w:t xml:space="preserve"> and help meet employers’ workforce needs across regional Australia through the local delivery and take-up of VET and higher education learning pathways. This is complemented by migration system settings which include a range of permanent and temporary visa programs for regional and place-based migration. </w:t>
      </w:r>
      <w:r w:rsidR="00435914">
        <w:t xml:space="preserve">A number of stakeholders highlighted the need for regions to ‘grow their own' to support people from regional Australia to have access to tertiary education </w:t>
      </w:r>
      <w:r w:rsidR="002A719F" w:rsidRPr="00DB288A">
        <w:rPr>
          <w:rFonts w:asciiTheme="minorHAnsi" w:hAnsiTheme="minorHAnsi"/>
        </w:rPr>
        <w:t xml:space="preserve">develop local labour pools </w:t>
      </w:r>
      <w:r w:rsidR="002A719F">
        <w:rPr>
          <w:rFonts w:asciiTheme="minorHAnsi" w:hAnsiTheme="minorHAnsi"/>
        </w:rPr>
        <w:t xml:space="preserve">of skilled labour </w:t>
      </w:r>
      <w:r w:rsidR="002A719F" w:rsidRPr="00DB288A">
        <w:rPr>
          <w:rFonts w:asciiTheme="minorHAnsi" w:hAnsiTheme="minorHAnsi"/>
        </w:rPr>
        <w:t xml:space="preserve">as opposed to relying upon external labour pools </w:t>
      </w:r>
      <w:r w:rsidR="002A719F">
        <w:rPr>
          <w:rFonts w:asciiTheme="minorHAnsi" w:hAnsiTheme="minorHAnsi"/>
        </w:rPr>
        <w:t>to fill skill needs.</w:t>
      </w:r>
    </w:p>
    <w:p w14:paraId="45710EA8" w14:textId="5895570A" w:rsidR="00530D74" w:rsidRDefault="00530D74" w:rsidP="00133EB5">
      <w:r w:rsidRPr="0099288C">
        <w:t xml:space="preserve">To assess the performance of the regional skills system, </w:t>
      </w:r>
      <w:r w:rsidR="00F03111">
        <w:t>JSA</w:t>
      </w:r>
      <w:r w:rsidRPr="0099288C">
        <w:t xml:space="preserve"> will consider the extent to which the three core pillars of the skills system, VET, higher education and migration, operate to meet the skills challenges faced by regional Australia. As identified above, those skills challenges can include lower vacancy fill rates, greater recruitment difficulty and critical occupational shortages. Regional Australia also faces a range of demographic and economic challenges that can flow through to local labour markets and impact the supply of, and demand for, skills. In this interim report we examine the </w:t>
      </w:r>
      <w:r>
        <w:t>h</w:t>
      </w:r>
      <w:r w:rsidRPr="0099288C">
        <w:t xml:space="preserve">igher </w:t>
      </w:r>
      <w:r>
        <w:t>e</w:t>
      </w:r>
      <w:r w:rsidRPr="0099288C">
        <w:t>ducation and VET systems in regional Australia</w:t>
      </w:r>
      <w:r w:rsidR="00581462">
        <w:t>, as well as overall levels of educational attainment for context</w:t>
      </w:r>
      <w:r w:rsidRPr="0099288C">
        <w:t>.</w:t>
      </w:r>
    </w:p>
    <w:p w14:paraId="1B6A4CFD" w14:textId="59C2D03D" w:rsidR="00B92F51" w:rsidRPr="0099288C" w:rsidRDefault="00133EB5" w:rsidP="00133EB5">
      <w:r>
        <w:t>To support this analysis Appendix A provides a description of current and recent skills system reforms</w:t>
      </w:r>
      <w:r w:rsidR="00B92F51" w:rsidRPr="0099288C">
        <w:t>.</w:t>
      </w:r>
    </w:p>
    <w:p w14:paraId="66517197" w14:textId="69AB7916" w:rsidR="009E33E5" w:rsidRPr="00133EB5" w:rsidRDefault="009E33E5" w:rsidP="00133EB5">
      <w:pPr>
        <w:pStyle w:val="Heading2"/>
        <w:rPr>
          <w:rFonts w:cs="Arial"/>
        </w:rPr>
      </w:pPr>
      <w:bookmarkStart w:id="65" w:name="_Toc178173742"/>
      <w:r w:rsidRPr="00133EB5">
        <w:rPr>
          <w:rFonts w:cs="Arial"/>
        </w:rPr>
        <w:t>Education</w:t>
      </w:r>
      <w:r w:rsidR="00E759B8" w:rsidRPr="00133EB5">
        <w:rPr>
          <w:rFonts w:cs="Arial"/>
        </w:rPr>
        <w:t>al</w:t>
      </w:r>
      <w:r w:rsidRPr="00133EB5">
        <w:rPr>
          <w:rFonts w:cs="Arial"/>
        </w:rPr>
        <w:t xml:space="preserve"> attainment</w:t>
      </w:r>
      <w:bookmarkEnd w:id="65"/>
    </w:p>
    <w:p w14:paraId="76676CBF" w14:textId="65FD4546" w:rsidR="00253F48" w:rsidRDefault="00253F48" w:rsidP="00133EB5">
      <w:bookmarkStart w:id="66" w:name="_Toc171937440"/>
      <w:r w:rsidRPr="0099288C">
        <w:t>Th</w:t>
      </w:r>
      <w:r>
        <w:t>e 2024</w:t>
      </w:r>
      <w:r w:rsidRPr="0099288C">
        <w:t xml:space="preserve"> Australian Universities Accord Final Report set </w:t>
      </w:r>
      <w:r>
        <w:t>an ambitious</w:t>
      </w:r>
      <w:r w:rsidRPr="0099288C">
        <w:t xml:space="preserve"> national tertiary education attainment target of at least 80% of the working age population (15</w:t>
      </w:r>
      <w:r w:rsidR="007D1B04">
        <w:t>–</w:t>
      </w:r>
      <w:r w:rsidRPr="0099288C">
        <w:t>64 years) with at least one tertiary qualification (Certificate III and above) by 2050 compared with 60% in 2023.</w:t>
      </w:r>
      <w:r w:rsidRPr="20A6F5DF">
        <w:rPr>
          <w:rFonts w:asciiTheme="minorHAnsi" w:hAnsiTheme="minorHAnsi"/>
          <w:vertAlign w:val="superscript"/>
        </w:rPr>
        <w:footnoteReference w:id="49"/>
      </w:r>
      <w:r w:rsidRPr="20A6F5DF">
        <w:rPr>
          <w:rFonts w:asciiTheme="minorHAnsi" w:hAnsiTheme="minorHAnsi"/>
          <w:vertAlign w:val="superscript"/>
        </w:rPr>
        <w:t xml:space="preserve"> </w:t>
      </w:r>
      <w:r w:rsidRPr="0099288C">
        <w:t>The Report also recommended an attainment target of 55% of 25 to 34</w:t>
      </w:r>
      <w:r>
        <w:t xml:space="preserve"> </w:t>
      </w:r>
      <w:r w:rsidRPr="0099288C">
        <w:t>year</w:t>
      </w:r>
      <w:r>
        <w:t xml:space="preserve"> </w:t>
      </w:r>
      <w:r w:rsidRPr="0099288C">
        <w:t xml:space="preserve">olds with a </w:t>
      </w:r>
      <w:r>
        <w:t>B</w:t>
      </w:r>
      <w:r w:rsidRPr="0099288C">
        <w:t xml:space="preserve">achelor </w:t>
      </w:r>
      <w:r>
        <w:t>D</w:t>
      </w:r>
      <w:r w:rsidRPr="0099288C">
        <w:t>egree qualification or above by 2050 compared with 45</w:t>
      </w:r>
      <w:r>
        <w:t>%</w:t>
      </w:r>
      <w:r w:rsidRPr="0099288C">
        <w:t xml:space="preserve"> in 2023, noting that many will also have a VET qualification. Achieving these national targets will </w:t>
      </w:r>
      <w:r>
        <w:t xml:space="preserve">require </w:t>
      </w:r>
      <w:r w:rsidRPr="0099288C">
        <w:t xml:space="preserve">increasing levels of tertiary education participation, </w:t>
      </w:r>
      <w:r>
        <w:t xml:space="preserve">and in particular for </w:t>
      </w:r>
      <w:r w:rsidRPr="0099288C">
        <w:t xml:space="preserve">those cohorts which currently have lower levels of </w:t>
      </w:r>
      <w:r>
        <w:t xml:space="preserve">participation and </w:t>
      </w:r>
      <w:r w:rsidRPr="0099288C">
        <w:t>attainment.</w:t>
      </w:r>
      <w:r w:rsidRPr="0CF5B975">
        <w:rPr>
          <w:rFonts w:asciiTheme="minorHAnsi" w:hAnsiTheme="minorHAnsi"/>
          <w:vertAlign w:val="superscript"/>
        </w:rPr>
        <w:footnoteReference w:id="50"/>
      </w:r>
    </w:p>
    <w:p w14:paraId="471F2827" w14:textId="4A2A1FF1" w:rsidR="00A52673" w:rsidRPr="0099288C" w:rsidRDefault="00A52673" w:rsidP="00133EB5">
      <w:r w:rsidRPr="0099288C">
        <w:t>Educational qualifications are critical to an individual’s success in the labour market with stark differences in outcomes observed across different educational levels. Pe</w:t>
      </w:r>
      <w:r>
        <w:t>ople</w:t>
      </w:r>
      <w:r w:rsidRPr="0099288C">
        <w:t xml:space="preserve"> with </w:t>
      </w:r>
      <w:r>
        <w:t>a B</w:t>
      </w:r>
      <w:r w:rsidRPr="0099288C">
        <w:t xml:space="preserve">achelor </w:t>
      </w:r>
      <w:r>
        <w:t>D</w:t>
      </w:r>
      <w:r w:rsidRPr="0099288C">
        <w:t>egree or higher qualification have lower unemployment rates</w:t>
      </w:r>
      <w:r w:rsidR="008E65E8">
        <w:t xml:space="preserve"> (2.3% in May 2023) and</w:t>
      </w:r>
      <w:r w:rsidRPr="0099288C">
        <w:t xml:space="preserve"> higher participation rates</w:t>
      </w:r>
      <w:r w:rsidR="008E65E8">
        <w:t xml:space="preserve"> (85.1%)</w:t>
      </w:r>
      <w:r w:rsidRPr="0099288C">
        <w:t xml:space="preserve"> compared to pe</w:t>
      </w:r>
      <w:r>
        <w:t>ople</w:t>
      </w:r>
      <w:r w:rsidRPr="0099288C">
        <w:t xml:space="preserve"> </w:t>
      </w:r>
      <w:r w:rsidR="008E65E8">
        <w:t>with VET higher level qualifications as their highest attainment (unemployment rate of 2.7% for those with Advanced Diploma/Diploma or 3.1% for those with a Certificate level III or IV, and participation rates of 78.9% and 79.6% respectively). However, the poorest labour market outcomes are for those without year 12 and have a Certificate level I or II qualification (unemployment rate of 6.6% and participation rate of 58.0%) and those who had not completed year 12 (7.1% unemployment rate and 50.3% participation rate).</w:t>
      </w:r>
      <w:r w:rsidRPr="0CF5B975">
        <w:rPr>
          <w:rFonts w:asciiTheme="minorHAnsi" w:hAnsiTheme="minorHAnsi"/>
          <w:vertAlign w:val="superscript"/>
        </w:rPr>
        <w:footnoteReference w:id="51"/>
      </w:r>
      <w:r w:rsidR="008E65E8">
        <w:t xml:space="preserve"> This indicates that higher level vocational educational and training qualifications provides good labour market outcomes, close</w:t>
      </w:r>
      <w:r w:rsidR="00135BCE">
        <w:t>r</w:t>
      </w:r>
      <w:r w:rsidR="008E65E8">
        <w:t xml:space="preserve"> to those observed for people with higher education qualifications.</w:t>
      </w:r>
    </w:p>
    <w:p w14:paraId="06130F80" w14:textId="0BF12C6A" w:rsidR="00A46F75" w:rsidRPr="00253F48" w:rsidRDefault="007218B8" w:rsidP="00465BE3">
      <w:pPr>
        <w:pStyle w:val="Heading3"/>
      </w:pPr>
      <w:r w:rsidRPr="00253F48">
        <w:t xml:space="preserve">Educational </w:t>
      </w:r>
      <w:r w:rsidR="00C52C28" w:rsidRPr="00253F48">
        <w:t>a</w:t>
      </w:r>
      <w:r w:rsidR="00A46F75" w:rsidRPr="00253F48">
        <w:t xml:space="preserve">ttainment </w:t>
      </w:r>
      <w:r w:rsidR="00C52C28" w:rsidRPr="00465BE3">
        <w:t>declines</w:t>
      </w:r>
      <w:r w:rsidR="00C52C28" w:rsidRPr="00253F48">
        <w:t xml:space="preserve"> with increasing r</w:t>
      </w:r>
      <w:r w:rsidR="00A46F75" w:rsidRPr="00253F48">
        <w:t>emoteness</w:t>
      </w:r>
      <w:bookmarkEnd w:id="66"/>
    </w:p>
    <w:p w14:paraId="72805268" w14:textId="008DEF1B" w:rsidR="009B4B1D" w:rsidRDefault="008E65E8" w:rsidP="008E65E8">
      <w:r>
        <w:t>E</w:t>
      </w:r>
      <w:r w:rsidR="00A46F75" w:rsidRPr="00C14B49">
        <w:t>ducation attainment rates decline with increased remoteness</w:t>
      </w:r>
      <w:r w:rsidR="0010755F" w:rsidRPr="00C14B49">
        <w:t>, with</w:t>
      </w:r>
      <w:r w:rsidR="005C5643">
        <w:t xml:space="preserve"> major</w:t>
      </w:r>
      <w:r w:rsidR="0010755F" w:rsidRPr="00C14B49">
        <w:t xml:space="preserve"> cities having the highest proportion of people with a </w:t>
      </w:r>
      <w:r w:rsidR="00071B96">
        <w:t>B</w:t>
      </w:r>
      <w:r w:rsidR="0010755F" w:rsidRPr="00C14B49">
        <w:t xml:space="preserve">achelor </w:t>
      </w:r>
      <w:r w:rsidR="00071B96">
        <w:t>D</w:t>
      </w:r>
      <w:r w:rsidR="0010755F" w:rsidRPr="00C14B49">
        <w:t>egree or higher level qualification</w:t>
      </w:r>
      <w:r w:rsidR="006216B9">
        <w:t xml:space="preserve"> (43%)</w:t>
      </w:r>
      <w:r w:rsidR="0010755F" w:rsidRPr="00C14B49">
        <w:t>,</w:t>
      </w:r>
      <w:r w:rsidR="00135BCE">
        <w:t xml:space="preserve"> those from inner and outer regional areas are more likely to have Certificate level III or IV as their highest educational attainment</w:t>
      </w:r>
      <w:r w:rsidR="008C4E33" w:rsidRPr="00C14B49">
        <w:t xml:space="preserve"> </w:t>
      </w:r>
      <w:r w:rsidR="00135BCE">
        <w:t>(both 29%) and people from</w:t>
      </w:r>
      <w:r w:rsidR="008C4E33" w:rsidRPr="00C14B49">
        <w:t xml:space="preserve"> remote and very remote</w:t>
      </w:r>
      <w:r w:rsidR="00340566">
        <w:t xml:space="preserve"> areas</w:t>
      </w:r>
      <w:r w:rsidR="008C4E33" w:rsidRPr="00C14B49">
        <w:t xml:space="preserve"> of Australia hav</w:t>
      </w:r>
      <w:r w:rsidR="00135BCE">
        <w:t xml:space="preserve">e </w:t>
      </w:r>
      <w:r w:rsidR="008C4E33" w:rsidRPr="00C14B49">
        <w:t xml:space="preserve">the highest proportion of people with Year 12 or below </w:t>
      </w:r>
      <w:r w:rsidR="00E65C8F">
        <w:t>(</w:t>
      </w:r>
      <w:r w:rsidR="00135BCE">
        <w:t xml:space="preserve">42% and </w:t>
      </w:r>
      <w:r w:rsidR="00E65C8F">
        <w:t>53%</w:t>
      </w:r>
      <w:r w:rsidR="00135BCE">
        <w:t xml:space="preserve"> respectively</w:t>
      </w:r>
      <w:r w:rsidR="00E65C8F">
        <w:t>) (Figure </w:t>
      </w:r>
      <w:r>
        <w:t>31</w:t>
      </w:r>
      <w:r w:rsidR="00E65C8F">
        <w:t>)</w:t>
      </w:r>
      <w:r w:rsidR="00135BCE">
        <w:t>.</w:t>
      </w:r>
      <w:r w:rsidR="002E2A2C">
        <w:t xml:space="preserve"> p</w:t>
      </w:r>
      <w:r w:rsidR="002E2A2C" w:rsidRPr="0099288C">
        <w:t xml:space="preserve">eople living in </w:t>
      </w:r>
      <w:r w:rsidR="002E2A2C">
        <w:t>major cities</w:t>
      </w:r>
      <w:r w:rsidR="002E2A2C" w:rsidRPr="0099288C">
        <w:t xml:space="preserve"> are almost twice as likely to have a </w:t>
      </w:r>
      <w:r w:rsidR="002E2A2C">
        <w:t>Bachelor D</w:t>
      </w:r>
      <w:r w:rsidR="002E2A2C" w:rsidRPr="0099288C">
        <w:t>egree compared with people living in regional or remote Australia</w:t>
      </w:r>
    </w:p>
    <w:p w14:paraId="1F550AA3" w14:textId="7C1F083D" w:rsidR="007F315C" w:rsidRDefault="007F315C" w:rsidP="008E65E8">
      <w:r>
        <w:t>Within the secondary education group there is also a significant difference by remoteness, with only 1.5% of students in major cities completing only year 9 education or lower compared to 8.8% in very remote areas.</w:t>
      </w:r>
    </w:p>
    <w:p w14:paraId="37B63676" w14:textId="6A8DDFDB" w:rsidR="00AB6BFF" w:rsidRPr="008E65E8" w:rsidRDefault="17759D42" w:rsidP="008E65E8">
      <w:pPr>
        <w:pStyle w:val="Caption"/>
        <w:rPr>
          <w:rFonts w:asciiTheme="minorHAnsi" w:hAnsiTheme="minorHAnsi" w:cstheme="minorHAnsi"/>
          <w:szCs w:val="20"/>
        </w:rPr>
      </w:pPr>
      <w:r w:rsidRPr="008E65E8">
        <w:rPr>
          <w:rFonts w:asciiTheme="minorHAnsi" w:hAnsiTheme="minorHAnsi" w:cstheme="minorHAnsi"/>
          <w:szCs w:val="20"/>
        </w:rPr>
        <w:t>Figure</w:t>
      </w:r>
      <w:r w:rsidR="004239DF" w:rsidRPr="008E65E8">
        <w:rPr>
          <w:rFonts w:asciiTheme="minorHAnsi" w:hAnsiTheme="minorHAnsi" w:cstheme="minorHAnsi"/>
          <w:szCs w:val="20"/>
        </w:rPr>
        <w:t xml:space="preserve"> </w:t>
      </w:r>
      <w:r w:rsidR="008E65E8" w:rsidRPr="008E65E8">
        <w:rPr>
          <w:rFonts w:asciiTheme="minorHAnsi" w:hAnsiTheme="minorHAnsi" w:cstheme="minorHAnsi"/>
          <w:szCs w:val="20"/>
        </w:rPr>
        <w:t>31</w:t>
      </w:r>
      <w:r w:rsidR="004239DF" w:rsidRPr="008E65E8">
        <w:rPr>
          <w:rFonts w:asciiTheme="minorHAnsi" w:hAnsiTheme="minorHAnsi" w:cstheme="minorHAnsi"/>
          <w:szCs w:val="20"/>
        </w:rPr>
        <w:t xml:space="preserve">: </w:t>
      </w:r>
      <w:r w:rsidR="00780CA1" w:rsidRPr="008E65E8">
        <w:rPr>
          <w:rFonts w:asciiTheme="minorHAnsi" w:hAnsiTheme="minorHAnsi" w:cstheme="minorHAnsi"/>
          <w:szCs w:val="20"/>
        </w:rPr>
        <w:t>Highest educational attainment</w:t>
      </w:r>
      <w:r w:rsidR="00800394" w:rsidRPr="008E65E8">
        <w:rPr>
          <w:rFonts w:asciiTheme="minorHAnsi" w:hAnsiTheme="minorHAnsi" w:cstheme="minorHAnsi"/>
          <w:szCs w:val="20"/>
        </w:rPr>
        <w:t>,</w:t>
      </w:r>
      <w:r w:rsidR="00780CA1" w:rsidRPr="008E65E8">
        <w:rPr>
          <w:rFonts w:asciiTheme="minorHAnsi" w:hAnsiTheme="minorHAnsi" w:cstheme="minorHAnsi"/>
          <w:szCs w:val="20"/>
        </w:rPr>
        <w:t xml:space="preserve"> persons aged 25 to 64 years, by remoteness, 2021</w:t>
      </w:r>
    </w:p>
    <w:p w14:paraId="64541C11" w14:textId="77777777" w:rsidR="00AB6BFF" w:rsidRPr="00DE747F" w:rsidRDefault="00AB6BFF" w:rsidP="00854B77">
      <w:pPr>
        <w:keepNext/>
        <w:rPr>
          <w:rFonts w:cs="Arial"/>
          <w:color w:val="222222"/>
          <w:sz w:val="23"/>
          <w:szCs w:val="23"/>
          <w:shd w:val="clear" w:color="auto" w:fill="FFFFFF"/>
        </w:rPr>
      </w:pPr>
      <w:r w:rsidRPr="00DE747F">
        <w:rPr>
          <w:rFonts w:cs="Arial"/>
          <w:noProof/>
        </w:rPr>
        <w:drawing>
          <wp:inline distT="0" distB="0" distL="0" distR="0" wp14:anchorId="7B76D582" wp14:editId="72355233">
            <wp:extent cx="5759450" cy="3524250"/>
            <wp:effectExtent l="0" t="0" r="0" b="0"/>
            <wp:docPr id="1616693168" name="Chart 1" descr="This graph shows data for highest educational attainment for persons aged 25 to 64 years by remoteness categories by remoteness categories (major cities, inner regional, outer regional, remote and very remote)  2021. Higher levels of educational attainment correlate with increasing urbanisation.">
              <a:extLst xmlns:a="http://schemas.openxmlformats.org/drawingml/2006/main">
                <a:ext uri="{FF2B5EF4-FFF2-40B4-BE49-F238E27FC236}">
                  <a16:creationId xmlns:a16="http://schemas.microsoft.com/office/drawing/2014/main" id="{BEBD7C77-F89E-9F69-B95E-9B8CC2D3B1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5194EC1" w14:textId="55373AF7" w:rsidR="00AB6BFF" w:rsidRPr="00135BCE" w:rsidRDefault="00AB6BFF" w:rsidP="00135BCE">
      <w:pPr>
        <w:pStyle w:val="Source"/>
        <w:rPr>
          <w:rFonts w:asciiTheme="minorHAnsi" w:hAnsiTheme="minorHAnsi" w:cstheme="minorHAnsi"/>
          <w:shd w:val="clear" w:color="auto" w:fill="FFFFFF"/>
        </w:rPr>
      </w:pPr>
      <w:r w:rsidRPr="00135BCE">
        <w:rPr>
          <w:rFonts w:asciiTheme="minorHAnsi" w:hAnsiTheme="minorHAnsi" w:cstheme="minorHAnsi"/>
          <w:shd w:val="clear" w:color="auto" w:fill="FFFFFF"/>
        </w:rPr>
        <w:t xml:space="preserve">Source: ABS, </w:t>
      </w:r>
      <w:r w:rsidR="00A12143" w:rsidRPr="00901A26">
        <w:rPr>
          <w:rFonts w:asciiTheme="minorHAnsi" w:hAnsiTheme="minorHAnsi" w:cstheme="minorHAnsi"/>
          <w:i/>
          <w:iCs/>
          <w:shd w:val="clear" w:color="auto" w:fill="FFFFFF"/>
        </w:rPr>
        <w:t>Census of P</w:t>
      </w:r>
      <w:r w:rsidRPr="00901A26">
        <w:rPr>
          <w:rFonts w:asciiTheme="minorHAnsi" w:hAnsiTheme="minorHAnsi" w:cstheme="minorHAnsi"/>
          <w:i/>
          <w:iCs/>
          <w:shd w:val="clear" w:color="auto" w:fill="FFFFFF"/>
        </w:rPr>
        <w:t xml:space="preserve">opulation </w:t>
      </w:r>
      <w:r w:rsidR="00A12143" w:rsidRPr="00901A26">
        <w:rPr>
          <w:rFonts w:asciiTheme="minorHAnsi" w:hAnsiTheme="minorHAnsi" w:cstheme="minorHAnsi"/>
          <w:i/>
          <w:iCs/>
          <w:shd w:val="clear" w:color="auto" w:fill="FFFFFF"/>
        </w:rPr>
        <w:t>a</w:t>
      </w:r>
      <w:r w:rsidRPr="00901A26">
        <w:rPr>
          <w:rFonts w:asciiTheme="minorHAnsi" w:hAnsiTheme="minorHAnsi" w:cstheme="minorHAnsi"/>
          <w:i/>
          <w:iCs/>
          <w:shd w:val="clear" w:color="auto" w:fill="FFFFFF"/>
        </w:rPr>
        <w:t>nd Housing</w:t>
      </w:r>
      <w:r w:rsidRPr="00135BCE">
        <w:rPr>
          <w:rFonts w:asciiTheme="minorHAnsi" w:hAnsiTheme="minorHAnsi" w:cstheme="minorHAnsi"/>
          <w:shd w:val="clear" w:color="auto" w:fill="FFFFFF"/>
        </w:rPr>
        <w:t xml:space="preserve">, 2021 </w:t>
      </w:r>
    </w:p>
    <w:p w14:paraId="5DED502C" w14:textId="4CF747F4" w:rsidR="00DE1148" w:rsidRPr="00135BCE" w:rsidRDefault="00DE1148" w:rsidP="00465BE3">
      <w:pPr>
        <w:pStyle w:val="Heading4"/>
      </w:pPr>
      <w:r w:rsidRPr="00135BCE">
        <w:t xml:space="preserve">Trends in </w:t>
      </w:r>
      <w:r w:rsidRPr="00465BE3">
        <w:t>University</w:t>
      </w:r>
      <w:r w:rsidRPr="00135BCE">
        <w:t xml:space="preserve"> level attainment</w:t>
      </w:r>
    </w:p>
    <w:p w14:paraId="148B57A3" w14:textId="514BF200" w:rsidR="007402E0" w:rsidRDefault="007402E0" w:rsidP="007402E0">
      <w:pPr>
        <w:rPr>
          <w:shd w:val="clear" w:color="auto" w:fill="FFFFFF"/>
        </w:rPr>
      </w:pPr>
      <w:r>
        <w:rPr>
          <w:shd w:val="clear" w:color="auto" w:fill="FFFFFF"/>
        </w:rPr>
        <w:t>As at</w:t>
      </w:r>
      <w:r w:rsidRPr="0099288C">
        <w:rPr>
          <w:shd w:val="clear" w:color="auto" w:fill="FFFFFF"/>
        </w:rPr>
        <w:t xml:space="preserve"> May 2023</w:t>
      </w:r>
      <w:r>
        <w:rPr>
          <w:shd w:val="clear" w:color="auto" w:fill="FFFFFF"/>
        </w:rPr>
        <w:t>, some</w:t>
      </w:r>
      <w:r w:rsidRPr="0099288C">
        <w:rPr>
          <w:shd w:val="clear" w:color="auto" w:fill="FFFFFF"/>
        </w:rPr>
        <w:t xml:space="preserve"> 43% of pe</w:t>
      </w:r>
      <w:r>
        <w:rPr>
          <w:shd w:val="clear" w:color="auto" w:fill="FFFFFF"/>
        </w:rPr>
        <w:t>ople</w:t>
      </w:r>
      <w:r w:rsidRPr="0099288C">
        <w:rPr>
          <w:shd w:val="clear" w:color="auto" w:fill="FFFFFF"/>
        </w:rPr>
        <w:t xml:space="preserve"> aged 25 to 64 years living in</w:t>
      </w:r>
      <w:r>
        <w:rPr>
          <w:shd w:val="clear" w:color="auto" w:fill="FFFFFF"/>
        </w:rPr>
        <w:t xml:space="preserve"> major</w:t>
      </w:r>
      <w:r w:rsidRPr="0099288C">
        <w:rPr>
          <w:shd w:val="clear" w:color="auto" w:fill="FFFFFF"/>
        </w:rPr>
        <w:t xml:space="preserve"> cities had attained a qualification at the </w:t>
      </w:r>
      <w:r>
        <w:rPr>
          <w:shd w:val="clear" w:color="auto" w:fill="FFFFFF"/>
        </w:rPr>
        <w:t>B</w:t>
      </w:r>
      <w:r w:rsidRPr="0099288C">
        <w:rPr>
          <w:shd w:val="clear" w:color="auto" w:fill="FFFFFF"/>
        </w:rPr>
        <w:t xml:space="preserve">achelor </w:t>
      </w:r>
      <w:r>
        <w:rPr>
          <w:shd w:val="clear" w:color="auto" w:fill="FFFFFF"/>
        </w:rPr>
        <w:t xml:space="preserve">Degree </w:t>
      </w:r>
      <w:r w:rsidRPr="0099288C">
        <w:rPr>
          <w:shd w:val="clear" w:color="auto" w:fill="FFFFFF"/>
        </w:rPr>
        <w:t xml:space="preserve">level or above, compared to </w:t>
      </w:r>
      <w:r>
        <w:rPr>
          <w:shd w:val="clear" w:color="auto" w:fill="FFFFFF"/>
        </w:rPr>
        <w:t xml:space="preserve">just </w:t>
      </w:r>
      <w:r w:rsidRPr="0099288C">
        <w:rPr>
          <w:shd w:val="clear" w:color="auto" w:fill="FFFFFF"/>
        </w:rPr>
        <w:t>2</w:t>
      </w:r>
      <w:r>
        <w:rPr>
          <w:shd w:val="clear" w:color="auto" w:fill="FFFFFF"/>
        </w:rPr>
        <w:t>9</w:t>
      </w:r>
      <w:r w:rsidRPr="0099288C">
        <w:rPr>
          <w:shd w:val="clear" w:color="auto" w:fill="FFFFFF"/>
        </w:rPr>
        <w:t>% for pe</w:t>
      </w:r>
      <w:r>
        <w:rPr>
          <w:shd w:val="clear" w:color="auto" w:fill="FFFFFF"/>
        </w:rPr>
        <w:t>ople</w:t>
      </w:r>
      <w:r w:rsidRPr="0099288C">
        <w:rPr>
          <w:shd w:val="clear" w:color="auto" w:fill="FFFFFF"/>
        </w:rPr>
        <w:t xml:space="preserve"> in inner regional</w:t>
      </w:r>
      <w:r>
        <w:rPr>
          <w:shd w:val="clear" w:color="auto" w:fill="FFFFFF"/>
        </w:rPr>
        <w:t xml:space="preserve"> areas</w:t>
      </w:r>
      <w:r w:rsidRPr="0099288C">
        <w:rPr>
          <w:shd w:val="clear" w:color="auto" w:fill="FFFFFF"/>
        </w:rPr>
        <w:t>, 23% for pe</w:t>
      </w:r>
      <w:r>
        <w:rPr>
          <w:shd w:val="clear" w:color="auto" w:fill="FFFFFF"/>
        </w:rPr>
        <w:t>ople</w:t>
      </w:r>
      <w:r w:rsidRPr="0099288C">
        <w:rPr>
          <w:shd w:val="clear" w:color="auto" w:fill="FFFFFF"/>
        </w:rPr>
        <w:t xml:space="preserve"> living in outer regional areas and 21% for those people living in remote and very remote areas</w:t>
      </w:r>
      <w:r>
        <w:rPr>
          <w:shd w:val="clear" w:color="auto" w:fill="FFFFFF"/>
        </w:rPr>
        <w:t>.</w:t>
      </w:r>
      <w:r w:rsidRPr="0099288C">
        <w:rPr>
          <w:rStyle w:val="FootnoteReference"/>
          <w:rFonts w:asciiTheme="minorHAnsi" w:hAnsiTheme="minorHAnsi"/>
          <w:color w:val="222222"/>
          <w:shd w:val="clear" w:color="auto" w:fill="FFFFFF"/>
        </w:rPr>
        <w:footnoteReference w:id="52"/>
      </w:r>
      <w:r>
        <w:rPr>
          <w:shd w:val="clear" w:color="auto" w:fill="FFFFFF"/>
        </w:rPr>
        <w:t xml:space="preserve">  </w:t>
      </w:r>
    </w:p>
    <w:p w14:paraId="5013F1C2" w14:textId="77C5E884" w:rsidR="00A957DB" w:rsidRDefault="007402E0" w:rsidP="007402E0">
      <w:pPr>
        <w:rPr>
          <w:shd w:val="clear" w:color="auto" w:fill="FFFFFF"/>
        </w:rPr>
      </w:pPr>
      <w:r>
        <w:rPr>
          <w:shd w:val="clear" w:color="auto" w:fill="FFFFFF"/>
        </w:rPr>
        <w:t xml:space="preserve">Further, </w:t>
      </w:r>
      <w:r w:rsidR="00CD0AE5">
        <w:rPr>
          <w:shd w:val="clear" w:color="auto" w:fill="FFFFFF"/>
        </w:rPr>
        <w:t xml:space="preserve">in </w:t>
      </w:r>
      <w:r w:rsidR="00587E6B">
        <w:rPr>
          <w:shd w:val="clear" w:color="auto" w:fill="FFFFFF"/>
        </w:rPr>
        <w:t>the six years to 2023</w:t>
      </w:r>
      <w:r w:rsidR="00587E6B" w:rsidRPr="0099288C">
        <w:rPr>
          <w:shd w:val="clear" w:color="auto" w:fill="FFFFFF"/>
        </w:rPr>
        <w:t xml:space="preserve">, </w:t>
      </w:r>
      <w:r w:rsidR="00135BCE">
        <w:rPr>
          <w:shd w:val="clear" w:color="auto" w:fill="FFFFFF"/>
        </w:rPr>
        <w:t>the number of people aged 25</w:t>
      </w:r>
      <w:r w:rsidR="007D1B04">
        <w:rPr>
          <w:shd w:val="clear" w:color="auto" w:fill="FFFFFF"/>
        </w:rPr>
        <w:t>–</w:t>
      </w:r>
      <w:r w:rsidR="00135BCE">
        <w:rPr>
          <w:shd w:val="clear" w:color="auto" w:fill="FFFFFF"/>
        </w:rPr>
        <w:t xml:space="preserve">64 years with a </w:t>
      </w:r>
      <w:r w:rsidR="00CD0AE5">
        <w:rPr>
          <w:shd w:val="clear" w:color="auto" w:fill="FFFFFF"/>
        </w:rPr>
        <w:t>Bachelor degree</w:t>
      </w:r>
      <w:r w:rsidR="00135BCE">
        <w:rPr>
          <w:shd w:val="clear" w:color="auto" w:fill="FFFFFF"/>
        </w:rPr>
        <w:t xml:space="preserve"> or higher qualification increased </w:t>
      </w:r>
      <w:r w:rsidR="00587E6B" w:rsidRPr="0099288C">
        <w:rPr>
          <w:shd w:val="clear" w:color="auto" w:fill="FFFFFF"/>
        </w:rPr>
        <w:t>across</w:t>
      </w:r>
      <w:r w:rsidR="00587E6B">
        <w:rPr>
          <w:shd w:val="clear" w:color="auto" w:fill="FFFFFF"/>
        </w:rPr>
        <w:t xml:space="preserve"> inner regional and major city areas, with</w:t>
      </w:r>
      <w:r w:rsidR="00587E6B" w:rsidRPr="0099288C">
        <w:rPr>
          <w:shd w:val="clear" w:color="auto" w:fill="FFFFFF"/>
        </w:rPr>
        <w:t xml:space="preserve"> </w:t>
      </w:r>
      <w:r w:rsidR="00587E6B">
        <w:rPr>
          <w:shd w:val="clear" w:color="auto" w:fill="FFFFFF"/>
        </w:rPr>
        <w:t>t</w:t>
      </w:r>
      <w:r w:rsidR="00587E6B" w:rsidRPr="0099288C">
        <w:rPr>
          <w:shd w:val="clear" w:color="auto" w:fill="FFFFFF"/>
        </w:rPr>
        <w:t>h</w:t>
      </w:r>
      <w:r w:rsidR="00E72C35">
        <w:rPr>
          <w:shd w:val="clear" w:color="auto" w:fill="FFFFFF"/>
        </w:rPr>
        <w:t>ose</w:t>
      </w:r>
      <w:r w:rsidR="00587E6B" w:rsidRPr="0099288C">
        <w:rPr>
          <w:shd w:val="clear" w:color="auto" w:fill="FFFFFF"/>
        </w:rPr>
        <w:t xml:space="preserve"> from inner regional areas </w:t>
      </w:r>
      <w:r w:rsidR="00587E6B">
        <w:rPr>
          <w:shd w:val="clear" w:color="auto" w:fill="FFFFFF"/>
        </w:rPr>
        <w:t xml:space="preserve">seeing the greatest </w:t>
      </w:r>
      <w:r w:rsidR="00587E6B" w:rsidRPr="0099288C">
        <w:rPr>
          <w:shd w:val="clear" w:color="auto" w:fill="FFFFFF"/>
        </w:rPr>
        <w:t>increas</w:t>
      </w:r>
      <w:r w:rsidR="00587E6B">
        <w:rPr>
          <w:shd w:val="clear" w:color="auto" w:fill="FFFFFF"/>
        </w:rPr>
        <w:t>e (up 59%)</w:t>
      </w:r>
      <w:r w:rsidR="00135BCE">
        <w:rPr>
          <w:shd w:val="clear" w:color="auto" w:fill="FFFFFF"/>
        </w:rPr>
        <w:t xml:space="preserve"> with those </w:t>
      </w:r>
      <w:r w:rsidR="00587E6B">
        <w:rPr>
          <w:shd w:val="clear" w:color="auto" w:fill="FFFFFF"/>
        </w:rPr>
        <w:t>major</w:t>
      </w:r>
      <w:r w:rsidR="00587E6B" w:rsidRPr="0099288C">
        <w:rPr>
          <w:shd w:val="clear" w:color="auto" w:fill="FFFFFF"/>
        </w:rPr>
        <w:t xml:space="preserve"> cities</w:t>
      </w:r>
      <w:r w:rsidR="00587E6B">
        <w:rPr>
          <w:shd w:val="clear" w:color="auto" w:fill="FFFFFF"/>
        </w:rPr>
        <w:t xml:space="preserve"> </w:t>
      </w:r>
      <w:r w:rsidR="00135BCE">
        <w:rPr>
          <w:shd w:val="clear" w:color="auto" w:fill="FFFFFF"/>
        </w:rPr>
        <w:t xml:space="preserve">seeing a 25% increase </w:t>
      </w:r>
      <w:r w:rsidR="00587E6B">
        <w:rPr>
          <w:shd w:val="clear" w:color="auto" w:fill="FFFFFF"/>
        </w:rPr>
        <w:t>(Figure</w:t>
      </w:r>
      <w:r w:rsidR="00E72C35">
        <w:rPr>
          <w:shd w:val="clear" w:color="auto" w:fill="FFFFFF"/>
        </w:rPr>
        <w:t> </w:t>
      </w:r>
      <w:r w:rsidR="00135BCE">
        <w:rPr>
          <w:shd w:val="clear" w:color="auto" w:fill="FFFFFF"/>
        </w:rPr>
        <w:t>32</w:t>
      </w:r>
      <w:r w:rsidR="00587E6B">
        <w:rPr>
          <w:shd w:val="clear" w:color="auto" w:fill="FFFFFF"/>
        </w:rPr>
        <w:t>). O</w:t>
      </w:r>
      <w:r w:rsidR="002F60A4">
        <w:rPr>
          <w:shd w:val="clear" w:color="auto" w:fill="FFFFFF"/>
        </w:rPr>
        <w:t>ver this period, o</w:t>
      </w:r>
      <w:r w:rsidR="00587E6B">
        <w:rPr>
          <w:shd w:val="clear" w:color="auto" w:fill="FFFFFF"/>
        </w:rPr>
        <w:t xml:space="preserve">uter regional </w:t>
      </w:r>
      <w:r w:rsidR="00135BCE">
        <w:rPr>
          <w:shd w:val="clear" w:color="auto" w:fill="FFFFFF"/>
        </w:rPr>
        <w:t xml:space="preserve">areas also </w:t>
      </w:r>
      <w:r w:rsidR="00587E6B">
        <w:rPr>
          <w:shd w:val="clear" w:color="auto" w:fill="FFFFFF"/>
        </w:rPr>
        <w:t xml:space="preserve">saw </w:t>
      </w:r>
      <w:r w:rsidR="00AB709E">
        <w:rPr>
          <w:shd w:val="clear" w:color="auto" w:fill="FFFFFF"/>
        </w:rPr>
        <w:t xml:space="preserve">an increase of </w:t>
      </w:r>
      <w:r w:rsidR="002F60A4">
        <w:rPr>
          <w:shd w:val="clear" w:color="auto" w:fill="FFFFFF"/>
        </w:rPr>
        <w:t>17%</w:t>
      </w:r>
      <w:r w:rsidR="00756590">
        <w:rPr>
          <w:shd w:val="clear" w:color="auto" w:fill="FFFFFF"/>
        </w:rPr>
        <w:t xml:space="preserve">, while </w:t>
      </w:r>
      <w:r w:rsidR="0038018C">
        <w:rPr>
          <w:shd w:val="clear" w:color="auto" w:fill="FFFFFF"/>
        </w:rPr>
        <w:t xml:space="preserve">remote </w:t>
      </w:r>
      <w:r w:rsidR="004D18AB">
        <w:rPr>
          <w:shd w:val="clear" w:color="auto" w:fill="FFFFFF"/>
        </w:rPr>
        <w:t xml:space="preserve">and very remote areas experienced a </w:t>
      </w:r>
      <w:r w:rsidR="00720BBE">
        <w:rPr>
          <w:shd w:val="clear" w:color="auto" w:fill="FFFFFF"/>
        </w:rPr>
        <w:t xml:space="preserve">decline of </w:t>
      </w:r>
      <w:r w:rsidR="00356134">
        <w:rPr>
          <w:shd w:val="clear" w:color="auto" w:fill="FFFFFF"/>
        </w:rPr>
        <w:t>down 11%.</w:t>
      </w:r>
      <w:r w:rsidR="002F60A4">
        <w:rPr>
          <w:shd w:val="clear" w:color="auto" w:fill="FFFFFF"/>
        </w:rPr>
        <w:t xml:space="preserve"> </w:t>
      </w:r>
    </w:p>
    <w:p w14:paraId="70E6D37A" w14:textId="77777777" w:rsidR="00465BE3" w:rsidRDefault="67FB9B02" w:rsidP="00465BE3">
      <w:pPr>
        <w:pStyle w:val="Caption"/>
      </w:pPr>
      <w:r w:rsidRPr="00135BCE">
        <w:t>Figure</w:t>
      </w:r>
      <w:r w:rsidR="00D83568" w:rsidRPr="00135BCE">
        <w:t xml:space="preserve"> </w:t>
      </w:r>
      <w:r w:rsidR="00135BCE" w:rsidRPr="00135BCE">
        <w:t>32</w:t>
      </w:r>
      <w:r w:rsidR="00E04637" w:rsidRPr="00135BCE">
        <w:t>:</w:t>
      </w:r>
      <w:r w:rsidR="00BB0E79" w:rsidRPr="00135BCE">
        <w:t xml:space="preserve"> </w:t>
      </w:r>
      <w:r w:rsidR="00875F78" w:rsidRPr="00135BCE">
        <w:t>Persons (aged 25 to 64 years) with a Bachelor Degree or higher level qualification</w:t>
      </w:r>
      <w:r w:rsidR="00791A0F" w:rsidRPr="00135BCE">
        <w:t>, by remoteness, 2017 to 2023</w:t>
      </w:r>
    </w:p>
    <w:p w14:paraId="01E43990" w14:textId="5A89BB64" w:rsidR="009E33E5" w:rsidRPr="00135BCE" w:rsidRDefault="00090DA2" w:rsidP="00465BE3">
      <w:pPr>
        <w:pStyle w:val="Source"/>
        <w:rPr>
          <w:shd w:val="clear" w:color="auto" w:fill="FFFFFF"/>
        </w:rPr>
      </w:pPr>
      <w:r>
        <w:rPr>
          <w:noProof/>
        </w:rPr>
        <w:drawing>
          <wp:inline distT="0" distB="0" distL="0" distR="0" wp14:anchorId="60440E73" wp14:editId="58C8F699">
            <wp:extent cx="5704764" cy="4429125"/>
            <wp:effectExtent l="0" t="0" r="0" b="0"/>
            <wp:docPr id="778390568" name="Chart 1" descr="This graph shows data for persons aged 25 to 64 years with a bachelor degree or higher level qualification, 2017 to 2023 by remoteness categories (major cities, inner regional, outer regional, remote and very remote). A higher proportion of people from major cities have a bachelor degree compared to those from regional and remote areas with the proportions decreasing with increasing remoteness.">
              <a:extLst xmlns:a="http://schemas.openxmlformats.org/drawingml/2006/main">
                <a:ext uri="{FF2B5EF4-FFF2-40B4-BE49-F238E27FC236}">
                  <a16:creationId xmlns:a16="http://schemas.microsoft.com/office/drawing/2014/main" id="{948827D9-BABD-0036-1DCA-2EA19FF56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003676CE" w:rsidRPr="00135BCE">
        <w:rPr>
          <w:shd w:val="clear" w:color="auto" w:fill="FFFFFF"/>
        </w:rPr>
        <w:t xml:space="preserve">Source: ABS, </w:t>
      </w:r>
      <w:r w:rsidR="003676CE" w:rsidRPr="001D70FF">
        <w:rPr>
          <w:i/>
          <w:iCs/>
          <w:shd w:val="clear" w:color="auto" w:fill="FFFFFF"/>
        </w:rPr>
        <w:t>Survey of Education and Work</w:t>
      </w:r>
      <w:r w:rsidR="00F23018" w:rsidRPr="00135BCE">
        <w:rPr>
          <w:shd w:val="clear" w:color="auto" w:fill="FFFFFF"/>
        </w:rPr>
        <w:t>, 2023</w:t>
      </w:r>
    </w:p>
    <w:p w14:paraId="3DEE1EA9" w14:textId="4B589242" w:rsidR="00686E5E" w:rsidRDefault="00532F36" w:rsidP="007402E0">
      <w:bookmarkStart w:id="67" w:name="_Toc171937441"/>
      <w:r>
        <w:t>I</w:t>
      </w:r>
      <w:r w:rsidR="00122F2D">
        <w:t xml:space="preserve">ncreasing </w:t>
      </w:r>
      <w:r w:rsidR="00122F2D" w:rsidRPr="20A6F5DF">
        <w:t xml:space="preserve">numbers of regional and remote Australians completing a </w:t>
      </w:r>
      <w:r>
        <w:t xml:space="preserve">university level education </w:t>
      </w:r>
      <w:r w:rsidR="00FE722D">
        <w:t xml:space="preserve">will be vital </w:t>
      </w:r>
      <w:r>
        <w:t>to</w:t>
      </w:r>
      <w:r w:rsidR="00122F2D">
        <w:t xml:space="preserve"> </w:t>
      </w:r>
      <w:r w:rsidR="00EC2C1E">
        <w:t xml:space="preserve">help </w:t>
      </w:r>
      <w:r w:rsidR="00122F2D" w:rsidRPr="20A6F5DF">
        <w:t xml:space="preserve">meet the </w:t>
      </w:r>
      <w:r w:rsidR="00EC2C1E">
        <w:t>future skill needs of</w:t>
      </w:r>
      <w:r w:rsidR="00122F2D" w:rsidRPr="20A6F5DF">
        <w:t xml:space="preserve"> the nation’s </w:t>
      </w:r>
      <w:r w:rsidR="00EB0575">
        <w:t xml:space="preserve">increasingly </w:t>
      </w:r>
      <w:r w:rsidR="00122F2D" w:rsidRPr="20A6F5DF">
        <w:t>knowledge</w:t>
      </w:r>
      <w:r w:rsidR="00EB0575">
        <w:noBreakHyphen/>
      </w:r>
      <w:r w:rsidR="00EC2C1E">
        <w:t>driven economy</w:t>
      </w:r>
      <w:r w:rsidR="00604206">
        <w:t>. This</w:t>
      </w:r>
      <w:r w:rsidR="00EC2C1E">
        <w:t xml:space="preserve"> </w:t>
      </w:r>
      <w:r>
        <w:t xml:space="preserve">will require </w:t>
      </w:r>
      <w:r w:rsidR="00EC2C1E">
        <w:t xml:space="preserve">joined-up policy approaches </w:t>
      </w:r>
      <w:r w:rsidR="0035310A">
        <w:t>that focus on development foundation</w:t>
      </w:r>
      <w:r w:rsidR="00122F2D" w:rsidRPr="20A6F5DF">
        <w:t xml:space="preserve"> skills</w:t>
      </w:r>
      <w:r w:rsidR="0035310A">
        <w:t>.</w:t>
      </w:r>
      <w:r>
        <w:t xml:space="preserve"> </w:t>
      </w:r>
    </w:p>
    <w:p w14:paraId="3D755FC2" w14:textId="77777777" w:rsidR="005014D0" w:rsidRPr="007402E0" w:rsidRDefault="005014D0" w:rsidP="00F264FC">
      <w:pPr>
        <w:pStyle w:val="Heading4"/>
      </w:pPr>
      <w:r w:rsidRPr="007402E0">
        <w:t xml:space="preserve">Year 12 </w:t>
      </w:r>
      <w:r w:rsidRPr="00F264FC">
        <w:t>Attainment</w:t>
      </w:r>
      <w:r w:rsidRPr="007402E0">
        <w:t xml:space="preserve"> rates</w:t>
      </w:r>
    </w:p>
    <w:p w14:paraId="5AE76008" w14:textId="103C4241" w:rsidR="005014D0" w:rsidRDefault="005014D0" w:rsidP="007402E0">
      <w:r>
        <w:t>C</w:t>
      </w:r>
      <w:r w:rsidRPr="00C14B49">
        <w:t xml:space="preserve">ompletion of year 12 </w:t>
      </w:r>
      <w:r>
        <w:t xml:space="preserve">is </w:t>
      </w:r>
      <w:r w:rsidRPr="00C14B49">
        <w:t xml:space="preserve">generally a prerequisite for higher education study. Across the nation there are considerable differences in year 12 attainment rates by remoteness. The Productivity Commission </w:t>
      </w:r>
      <w:r>
        <w:t>R</w:t>
      </w:r>
      <w:r w:rsidRPr="00C14B49">
        <w:t>eport on Government Services outlined that in 2022, the</w:t>
      </w:r>
      <w:r>
        <w:t xml:space="preserve"> national </w:t>
      </w:r>
      <w:r w:rsidRPr="00C14B49">
        <w:t xml:space="preserve">year 12 attainment rate was 76%, </w:t>
      </w:r>
      <w:r>
        <w:t>and ranged from a</w:t>
      </w:r>
      <w:r w:rsidRPr="00C14B49">
        <w:t xml:space="preserve"> high of 79% in</w:t>
      </w:r>
      <w:r>
        <w:t xml:space="preserve"> major cities</w:t>
      </w:r>
      <w:r w:rsidRPr="00C14B49">
        <w:t xml:space="preserve"> </w:t>
      </w:r>
      <w:r>
        <w:t>to</w:t>
      </w:r>
      <w:r w:rsidRPr="00C14B49">
        <w:t xml:space="preserve"> a low of 4</w:t>
      </w:r>
      <w:r>
        <w:t>1</w:t>
      </w:r>
      <w:r w:rsidRPr="00C14B49">
        <w:t>% in very remote areas</w:t>
      </w:r>
      <w:r w:rsidR="007402E0">
        <w:t xml:space="preserve"> (Table 6)</w:t>
      </w:r>
      <w:r w:rsidRPr="00C14B49">
        <w:t xml:space="preserve">. </w:t>
      </w:r>
    </w:p>
    <w:p w14:paraId="795BEDF1" w14:textId="71BDEC22" w:rsidR="005014D0" w:rsidRPr="00C21473" w:rsidRDefault="005014D0" w:rsidP="007402E0">
      <w:r>
        <w:t xml:space="preserve">The year 12 attainment rate for major cities has increased from 76% in 2013 </w:t>
      </w:r>
      <w:r w:rsidR="007402E0">
        <w:t xml:space="preserve">to 82% in 2022, just below </w:t>
      </w:r>
      <w:r>
        <w:t xml:space="preserve">its 2021 peak. By contrast, inner and outer regional areas have the same year 12 attainment rate as in 2013, ten percentage points below the 2017 peak rate (of 78%). For remote areas, the 2022 rate of 67% is below the 2013 rate of 68% and </w:t>
      </w:r>
      <w:r w:rsidR="007402E0">
        <w:t xml:space="preserve">the </w:t>
      </w:r>
      <w:r>
        <w:t>peak rate</w:t>
      </w:r>
      <w:r w:rsidR="007402E0">
        <w:t xml:space="preserve"> in 2016</w:t>
      </w:r>
      <w:r>
        <w:t xml:space="preserve"> of 78%. Year 12 attainment rates in very remote areas are at their 2013 rate of 41%, far below all other remoteness areas.</w:t>
      </w:r>
    </w:p>
    <w:p w14:paraId="56C42AFD" w14:textId="6B3A2CCA" w:rsidR="005014D0" w:rsidRPr="00150241" w:rsidRDefault="005014D0" w:rsidP="00F264FC">
      <w:pPr>
        <w:pStyle w:val="Caption"/>
      </w:pPr>
      <w:r w:rsidRPr="00150241">
        <w:t xml:space="preserve">Table </w:t>
      </w:r>
      <w:r w:rsidR="007402E0">
        <w:t>6</w:t>
      </w:r>
      <w:r w:rsidRPr="00150241">
        <w:t>: Year 12 attainment rate (%), by State/Territory and remoteness, 2022</w:t>
      </w:r>
    </w:p>
    <w:tbl>
      <w:tblPr>
        <w:tblStyle w:val="JSATable1"/>
        <w:tblW w:w="5000" w:type="pct"/>
        <w:tblLook w:val="04A0" w:firstRow="1" w:lastRow="0" w:firstColumn="1" w:lastColumn="0" w:noHBand="0" w:noVBand="1"/>
      </w:tblPr>
      <w:tblGrid>
        <w:gridCol w:w="2687"/>
        <w:gridCol w:w="730"/>
        <w:gridCol w:w="678"/>
        <w:gridCol w:w="704"/>
        <w:gridCol w:w="704"/>
        <w:gridCol w:w="704"/>
        <w:gridCol w:w="705"/>
        <w:gridCol w:w="705"/>
        <w:gridCol w:w="705"/>
        <w:gridCol w:w="704"/>
      </w:tblGrid>
      <w:tr w:rsidR="005014D0" w:rsidRPr="00C23AF4" w14:paraId="29319373" w14:textId="77777777">
        <w:trPr>
          <w:cnfStyle w:val="100000000000" w:firstRow="1" w:lastRow="0" w:firstColumn="0" w:lastColumn="0" w:oddVBand="0" w:evenVBand="0" w:oddHBand="0" w:evenHBand="0" w:firstRowFirstColumn="0" w:firstRowLastColumn="0" w:lastRowFirstColumn="0" w:lastRowLastColumn="0"/>
          <w:trHeight w:val="300"/>
        </w:trPr>
        <w:tc>
          <w:tcPr>
            <w:tcW w:w="1320" w:type="pct"/>
            <w:noWrap/>
            <w:hideMark/>
          </w:tcPr>
          <w:p w14:paraId="3EB2103D" w14:textId="77777777" w:rsidR="005014D0" w:rsidRPr="004A21DD" w:rsidRDefault="005014D0">
            <w:pPr>
              <w:rPr>
                <w:rFonts w:eastAsia="Times New Roman" w:cs="Arial"/>
                <w:color w:val="FFFFFF" w:themeColor="background1"/>
              </w:rPr>
            </w:pPr>
            <w:r w:rsidRPr="004A21DD">
              <w:rPr>
                <w:rFonts w:eastAsia="Times New Roman" w:cs="Arial"/>
                <w:color w:val="FFFFFF" w:themeColor="background1"/>
              </w:rPr>
              <w:t>Remoteness</w:t>
            </w:r>
          </w:p>
        </w:tc>
        <w:tc>
          <w:tcPr>
            <w:tcW w:w="409" w:type="pct"/>
            <w:noWrap/>
            <w:hideMark/>
          </w:tcPr>
          <w:p w14:paraId="5025D651"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NSW</w:t>
            </w:r>
          </w:p>
        </w:tc>
        <w:tc>
          <w:tcPr>
            <w:tcW w:w="409" w:type="pct"/>
            <w:noWrap/>
            <w:hideMark/>
          </w:tcPr>
          <w:p w14:paraId="569BB951"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Vic</w:t>
            </w:r>
            <w:r>
              <w:rPr>
                <w:rFonts w:eastAsia="Times New Roman" w:cs="Arial"/>
                <w:color w:val="FFFFFF" w:themeColor="background1"/>
              </w:rPr>
              <w:t>.</w:t>
            </w:r>
          </w:p>
        </w:tc>
        <w:tc>
          <w:tcPr>
            <w:tcW w:w="409" w:type="pct"/>
            <w:noWrap/>
            <w:hideMark/>
          </w:tcPr>
          <w:p w14:paraId="2F2134BD"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Qld</w:t>
            </w:r>
            <w:r>
              <w:rPr>
                <w:rFonts w:eastAsia="Times New Roman" w:cs="Arial"/>
                <w:color w:val="FFFFFF" w:themeColor="background1"/>
              </w:rPr>
              <w:t>.</w:t>
            </w:r>
          </w:p>
        </w:tc>
        <w:tc>
          <w:tcPr>
            <w:tcW w:w="409" w:type="pct"/>
            <w:noWrap/>
            <w:hideMark/>
          </w:tcPr>
          <w:p w14:paraId="27F1081C"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WA</w:t>
            </w:r>
          </w:p>
        </w:tc>
        <w:tc>
          <w:tcPr>
            <w:tcW w:w="409" w:type="pct"/>
            <w:noWrap/>
            <w:hideMark/>
          </w:tcPr>
          <w:p w14:paraId="64D0DEA8"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SA</w:t>
            </w:r>
          </w:p>
        </w:tc>
        <w:tc>
          <w:tcPr>
            <w:tcW w:w="409" w:type="pct"/>
            <w:noWrap/>
            <w:hideMark/>
          </w:tcPr>
          <w:p w14:paraId="3BFAAD9F"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Tas</w:t>
            </w:r>
            <w:r>
              <w:rPr>
                <w:rFonts w:eastAsia="Times New Roman" w:cs="Arial"/>
                <w:color w:val="FFFFFF" w:themeColor="background1"/>
              </w:rPr>
              <w:t>.</w:t>
            </w:r>
          </w:p>
        </w:tc>
        <w:tc>
          <w:tcPr>
            <w:tcW w:w="409" w:type="pct"/>
            <w:noWrap/>
            <w:hideMark/>
          </w:tcPr>
          <w:p w14:paraId="1AE37765"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ACT</w:t>
            </w:r>
          </w:p>
        </w:tc>
        <w:tc>
          <w:tcPr>
            <w:tcW w:w="409" w:type="pct"/>
            <w:noWrap/>
            <w:hideMark/>
          </w:tcPr>
          <w:p w14:paraId="23680DDF" w14:textId="77777777" w:rsidR="005014D0" w:rsidRPr="004A21DD" w:rsidRDefault="005014D0" w:rsidP="00465BE3">
            <w:pPr>
              <w:jc w:val="center"/>
              <w:rPr>
                <w:rFonts w:eastAsia="Times New Roman" w:cs="Arial"/>
                <w:color w:val="FFFFFF" w:themeColor="background1"/>
              </w:rPr>
            </w:pPr>
            <w:r w:rsidRPr="004A21DD">
              <w:rPr>
                <w:rFonts w:eastAsia="Times New Roman" w:cs="Arial"/>
                <w:color w:val="FFFFFF" w:themeColor="background1"/>
              </w:rPr>
              <w:t>NT</w:t>
            </w:r>
          </w:p>
        </w:tc>
        <w:tc>
          <w:tcPr>
            <w:tcW w:w="409" w:type="pct"/>
            <w:noWrap/>
            <w:hideMark/>
          </w:tcPr>
          <w:p w14:paraId="69E8F5FB" w14:textId="77777777" w:rsidR="005014D0" w:rsidRPr="004A21DD" w:rsidRDefault="005014D0" w:rsidP="00465BE3">
            <w:pPr>
              <w:jc w:val="center"/>
              <w:rPr>
                <w:rFonts w:eastAsia="Times New Roman" w:cs="Arial"/>
                <w:color w:val="FFFFFF" w:themeColor="background1"/>
              </w:rPr>
            </w:pPr>
            <w:r>
              <w:rPr>
                <w:rFonts w:eastAsia="Times New Roman" w:cs="Arial"/>
                <w:color w:val="FFFFFF" w:themeColor="background1"/>
              </w:rPr>
              <w:t>Aus.</w:t>
            </w:r>
          </w:p>
        </w:tc>
      </w:tr>
      <w:tr w:rsidR="005014D0" w:rsidRPr="00C23AF4" w14:paraId="256D2F7C" w14:textId="77777777">
        <w:trPr>
          <w:trHeight w:val="300"/>
        </w:trPr>
        <w:tc>
          <w:tcPr>
            <w:tcW w:w="1320" w:type="pct"/>
            <w:noWrap/>
            <w:vAlign w:val="center"/>
            <w:hideMark/>
          </w:tcPr>
          <w:p w14:paraId="6DF26084" w14:textId="77777777" w:rsidR="005014D0" w:rsidRPr="00774534" w:rsidRDefault="005014D0" w:rsidP="003D070F">
            <w:r>
              <w:t>Major</w:t>
            </w:r>
            <w:r w:rsidRPr="00774534">
              <w:t xml:space="preserve"> cities</w:t>
            </w:r>
          </w:p>
        </w:tc>
        <w:tc>
          <w:tcPr>
            <w:tcW w:w="409" w:type="pct"/>
            <w:noWrap/>
            <w:vAlign w:val="center"/>
            <w:hideMark/>
          </w:tcPr>
          <w:p w14:paraId="066D9B92" w14:textId="77777777" w:rsidR="005014D0" w:rsidRPr="00774534" w:rsidRDefault="005014D0" w:rsidP="00DD2A23">
            <w:pPr>
              <w:jc w:val="right"/>
            </w:pPr>
            <w:r w:rsidRPr="00774534">
              <w:t>75</w:t>
            </w:r>
          </w:p>
        </w:tc>
        <w:tc>
          <w:tcPr>
            <w:tcW w:w="409" w:type="pct"/>
            <w:noWrap/>
            <w:vAlign w:val="center"/>
            <w:hideMark/>
          </w:tcPr>
          <w:p w14:paraId="35F5EE01" w14:textId="77777777" w:rsidR="005014D0" w:rsidRPr="00774534" w:rsidRDefault="005014D0" w:rsidP="00DD2A23">
            <w:pPr>
              <w:jc w:val="right"/>
            </w:pPr>
            <w:r w:rsidRPr="00774534">
              <w:t>8</w:t>
            </w:r>
            <w:r>
              <w:t>5</w:t>
            </w:r>
          </w:p>
        </w:tc>
        <w:tc>
          <w:tcPr>
            <w:tcW w:w="409" w:type="pct"/>
            <w:noWrap/>
            <w:vAlign w:val="center"/>
            <w:hideMark/>
          </w:tcPr>
          <w:p w14:paraId="36B87E85" w14:textId="77777777" w:rsidR="005014D0" w:rsidRPr="00774534" w:rsidRDefault="005014D0" w:rsidP="00DD2A23">
            <w:pPr>
              <w:jc w:val="right"/>
            </w:pPr>
            <w:r w:rsidRPr="00774534">
              <w:t>79</w:t>
            </w:r>
          </w:p>
        </w:tc>
        <w:tc>
          <w:tcPr>
            <w:tcW w:w="409" w:type="pct"/>
            <w:noWrap/>
            <w:vAlign w:val="center"/>
            <w:hideMark/>
          </w:tcPr>
          <w:p w14:paraId="5EDA8C35" w14:textId="77777777" w:rsidR="005014D0" w:rsidRPr="00774534" w:rsidRDefault="005014D0" w:rsidP="00DD2A23">
            <w:pPr>
              <w:jc w:val="right"/>
            </w:pPr>
            <w:r w:rsidRPr="00774534">
              <w:t>75</w:t>
            </w:r>
          </w:p>
        </w:tc>
        <w:tc>
          <w:tcPr>
            <w:tcW w:w="409" w:type="pct"/>
            <w:noWrap/>
            <w:vAlign w:val="center"/>
            <w:hideMark/>
          </w:tcPr>
          <w:p w14:paraId="0141A992" w14:textId="77777777" w:rsidR="005014D0" w:rsidRPr="00774534" w:rsidRDefault="005014D0" w:rsidP="00DD2A23">
            <w:pPr>
              <w:jc w:val="right"/>
            </w:pPr>
            <w:r w:rsidRPr="00774534">
              <w:t>91</w:t>
            </w:r>
          </w:p>
        </w:tc>
        <w:tc>
          <w:tcPr>
            <w:tcW w:w="409" w:type="pct"/>
            <w:noWrap/>
            <w:vAlign w:val="center"/>
            <w:hideMark/>
          </w:tcPr>
          <w:p w14:paraId="4F12F11F" w14:textId="77777777" w:rsidR="005014D0" w:rsidRPr="00774534" w:rsidRDefault="005014D0" w:rsidP="00DD2A23">
            <w:pPr>
              <w:jc w:val="right"/>
            </w:pPr>
            <w:r w:rsidRPr="00774534">
              <w:t>N/A</w:t>
            </w:r>
          </w:p>
        </w:tc>
        <w:tc>
          <w:tcPr>
            <w:tcW w:w="409" w:type="pct"/>
            <w:noWrap/>
            <w:vAlign w:val="center"/>
            <w:hideMark/>
          </w:tcPr>
          <w:p w14:paraId="24B91D1D" w14:textId="77777777" w:rsidR="005014D0" w:rsidRPr="00774534" w:rsidRDefault="005014D0" w:rsidP="00DD2A23">
            <w:pPr>
              <w:jc w:val="right"/>
            </w:pPr>
            <w:r w:rsidRPr="00774534">
              <w:t>7</w:t>
            </w:r>
            <w:r>
              <w:t>4</w:t>
            </w:r>
          </w:p>
        </w:tc>
        <w:tc>
          <w:tcPr>
            <w:tcW w:w="409" w:type="pct"/>
            <w:noWrap/>
            <w:vAlign w:val="center"/>
            <w:hideMark/>
          </w:tcPr>
          <w:p w14:paraId="6C9EA139" w14:textId="77777777" w:rsidR="005014D0" w:rsidRPr="00774534" w:rsidRDefault="005014D0" w:rsidP="00DD2A23">
            <w:pPr>
              <w:jc w:val="right"/>
            </w:pPr>
            <w:r w:rsidRPr="00774534">
              <w:t>N/A</w:t>
            </w:r>
          </w:p>
        </w:tc>
        <w:tc>
          <w:tcPr>
            <w:tcW w:w="409" w:type="pct"/>
            <w:noWrap/>
            <w:vAlign w:val="center"/>
            <w:hideMark/>
          </w:tcPr>
          <w:p w14:paraId="1C9BF0AF" w14:textId="27E47622" w:rsidR="005014D0" w:rsidRPr="00774534" w:rsidRDefault="005014D0" w:rsidP="00DD2A23">
            <w:pPr>
              <w:jc w:val="right"/>
            </w:pPr>
            <w:r w:rsidRPr="00774534">
              <w:t>79</w:t>
            </w:r>
          </w:p>
        </w:tc>
      </w:tr>
      <w:tr w:rsidR="005014D0" w:rsidRPr="00C23AF4" w14:paraId="4D8AD147" w14:textId="77777777">
        <w:trPr>
          <w:cnfStyle w:val="000000010000" w:firstRow="0" w:lastRow="0" w:firstColumn="0" w:lastColumn="0" w:oddVBand="0" w:evenVBand="0" w:oddHBand="0" w:evenHBand="1" w:firstRowFirstColumn="0" w:firstRowLastColumn="0" w:lastRowFirstColumn="0" w:lastRowLastColumn="0"/>
          <w:trHeight w:val="300"/>
        </w:trPr>
        <w:tc>
          <w:tcPr>
            <w:tcW w:w="1320" w:type="pct"/>
            <w:noWrap/>
            <w:vAlign w:val="center"/>
            <w:hideMark/>
          </w:tcPr>
          <w:p w14:paraId="68C36D94" w14:textId="77777777" w:rsidR="005014D0" w:rsidRPr="00774534" w:rsidRDefault="005014D0" w:rsidP="003D070F">
            <w:r w:rsidRPr="00774534">
              <w:t>Inner and Outer Regional</w:t>
            </w:r>
          </w:p>
        </w:tc>
        <w:tc>
          <w:tcPr>
            <w:tcW w:w="409" w:type="pct"/>
            <w:noWrap/>
            <w:vAlign w:val="center"/>
            <w:hideMark/>
          </w:tcPr>
          <w:p w14:paraId="2C4FB62F" w14:textId="77777777" w:rsidR="005014D0" w:rsidRPr="00774534" w:rsidRDefault="005014D0" w:rsidP="00DD2A23">
            <w:pPr>
              <w:jc w:val="right"/>
            </w:pPr>
            <w:r w:rsidRPr="00774534">
              <w:t>5</w:t>
            </w:r>
            <w:r>
              <w:t>9</w:t>
            </w:r>
          </w:p>
        </w:tc>
        <w:tc>
          <w:tcPr>
            <w:tcW w:w="409" w:type="pct"/>
            <w:noWrap/>
            <w:vAlign w:val="center"/>
            <w:hideMark/>
          </w:tcPr>
          <w:p w14:paraId="090D06BD" w14:textId="77777777" w:rsidR="005014D0" w:rsidRPr="00774534" w:rsidRDefault="005014D0" w:rsidP="00DD2A23">
            <w:pPr>
              <w:jc w:val="right"/>
            </w:pPr>
            <w:r w:rsidRPr="00774534">
              <w:t>7</w:t>
            </w:r>
            <w:r>
              <w:t>6</w:t>
            </w:r>
          </w:p>
        </w:tc>
        <w:tc>
          <w:tcPr>
            <w:tcW w:w="409" w:type="pct"/>
            <w:noWrap/>
            <w:vAlign w:val="center"/>
            <w:hideMark/>
          </w:tcPr>
          <w:p w14:paraId="53C83615" w14:textId="77777777" w:rsidR="005014D0" w:rsidRPr="00774534" w:rsidRDefault="005014D0" w:rsidP="00DD2A23">
            <w:pPr>
              <w:jc w:val="right"/>
            </w:pPr>
            <w:r w:rsidRPr="00774534">
              <w:t>7</w:t>
            </w:r>
            <w:r>
              <w:t>5</w:t>
            </w:r>
          </w:p>
        </w:tc>
        <w:tc>
          <w:tcPr>
            <w:tcW w:w="409" w:type="pct"/>
            <w:noWrap/>
            <w:vAlign w:val="center"/>
            <w:hideMark/>
          </w:tcPr>
          <w:p w14:paraId="42CFB106" w14:textId="77777777" w:rsidR="005014D0" w:rsidRPr="00774534" w:rsidRDefault="005014D0" w:rsidP="00DD2A23">
            <w:pPr>
              <w:jc w:val="right"/>
            </w:pPr>
            <w:r w:rsidRPr="00774534">
              <w:t>69</w:t>
            </w:r>
          </w:p>
        </w:tc>
        <w:tc>
          <w:tcPr>
            <w:tcW w:w="409" w:type="pct"/>
            <w:noWrap/>
            <w:vAlign w:val="center"/>
            <w:hideMark/>
          </w:tcPr>
          <w:p w14:paraId="34C71483" w14:textId="77777777" w:rsidR="005014D0" w:rsidRPr="00774534" w:rsidRDefault="005014D0" w:rsidP="00DD2A23">
            <w:pPr>
              <w:jc w:val="right"/>
            </w:pPr>
            <w:r w:rsidRPr="00774534">
              <w:t>80</w:t>
            </w:r>
          </w:p>
        </w:tc>
        <w:tc>
          <w:tcPr>
            <w:tcW w:w="409" w:type="pct"/>
            <w:noWrap/>
            <w:vAlign w:val="center"/>
            <w:hideMark/>
          </w:tcPr>
          <w:p w14:paraId="546ABD8E" w14:textId="77777777" w:rsidR="005014D0" w:rsidRPr="00774534" w:rsidRDefault="005014D0" w:rsidP="00DD2A23">
            <w:pPr>
              <w:jc w:val="right"/>
            </w:pPr>
            <w:r w:rsidRPr="00774534">
              <w:t>53</w:t>
            </w:r>
          </w:p>
        </w:tc>
        <w:tc>
          <w:tcPr>
            <w:tcW w:w="409" w:type="pct"/>
            <w:noWrap/>
            <w:vAlign w:val="center"/>
            <w:hideMark/>
          </w:tcPr>
          <w:p w14:paraId="1DF6D3DE" w14:textId="77777777" w:rsidR="005014D0" w:rsidRPr="00774534" w:rsidRDefault="005014D0" w:rsidP="00DD2A23">
            <w:pPr>
              <w:jc w:val="right"/>
            </w:pPr>
            <w:r w:rsidRPr="00774534">
              <w:t>N/A</w:t>
            </w:r>
          </w:p>
        </w:tc>
        <w:tc>
          <w:tcPr>
            <w:tcW w:w="409" w:type="pct"/>
            <w:noWrap/>
            <w:vAlign w:val="center"/>
            <w:hideMark/>
          </w:tcPr>
          <w:p w14:paraId="212AB8FA" w14:textId="77777777" w:rsidR="005014D0" w:rsidRPr="00774534" w:rsidRDefault="005014D0" w:rsidP="00DD2A23">
            <w:pPr>
              <w:jc w:val="right"/>
            </w:pPr>
            <w:r w:rsidRPr="00774534">
              <w:t>6</w:t>
            </w:r>
            <w:r>
              <w:t>4</w:t>
            </w:r>
          </w:p>
        </w:tc>
        <w:tc>
          <w:tcPr>
            <w:tcW w:w="409" w:type="pct"/>
            <w:noWrap/>
            <w:vAlign w:val="center"/>
            <w:hideMark/>
          </w:tcPr>
          <w:p w14:paraId="7F0713AD" w14:textId="77777777" w:rsidR="005014D0" w:rsidRPr="00774534" w:rsidRDefault="005014D0" w:rsidP="00DD2A23">
            <w:pPr>
              <w:jc w:val="right"/>
            </w:pPr>
            <w:r w:rsidRPr="00774534">
              <w:t>68</w:t>
            </w:r>
          </w:p>
        </w:tc>
      </w:tr>
      <w:tr w:rsidR="005014D0" w:rsidRPr="00C23AF4" w14:paraId="56725180" w14:textId="77777777">
        <w:trPr>
          <w:trHeight w:val="300"/>
        </w:trPr>
        <w:tc>
          <w:tcPr>
            <w:tcW w:w="1320" w:type="pct"/>
            <w:noWrap/>
            <w:vAlign w:val="center"/>
            <w:hideMark/>
          </w:tcPr>
          <w:p w14:paraId="618B6D54" w14:textId="77777777" w:rsidR="005014D0" w:rsidRPr="00774534" w:rsidRDefault="005014D0" w:rsidP="003D070F">
            <w:r w:rsidRPr="00774534">
              <w:t>Remote</w:t>
            </w:r>
          </w:p>
        </w:tc>
        <w:tc>
          <w:tcPr>
            <w:tcW w:w="409" w:type="pct"/>
            <w:noWrap/>
            <w:vAlign w:val="center"/>
            <w:hideMark/>
          </w:tcPr>
          <w:p w14:paraId="3CEE15DE" w14:textId="77777777" w:rsidR="005014D0" w:rsidRPr="00774534" w:rsidRDefault="005014D0" w:rsidP="00DD2A23">
            <w:pPr>
              <w:jc w:val="right"/>
            </w:pPr>
            <w:r w:rsidRPr="00774534">
              <w:t>6</w:t>
            </w:r>
            <w:r>
              <w:t>2</w:t>
            </w:r>
          </w:p>
        </w:tc>
        <w:tc>
          <w:tcPr>
            <w:tcW w:w="409" w:type="pct"/>
            <w:noWrap/>
            <w:vAlign w:val="center"/>
            <w:hideMark/>
          </w:tcPr>
          <w:p w14:paraId="14C9C423" w14:textId="77777777" w:rsidR="005014D0" w:rsidRPr="00774534" w:rsidRDefault="005014D0" w:rsidP="00DD2A23">
            <w:pPr>
              <w:jc w:val="right"/>
            </w:pPr>
            <w:r w:rsidRPr="00774534">
              <w:t>81</w:t>
            </w:r>
          </w:p>
        </w:tc>
        <w:tc>
          <w:tcPr>
            <w:tcW w:w="409" w:type="pct"/>
            <w:noWrap/>
            <w:vAlign w:val="center"/>
            <w:hideMark/>
          </w:tcPr>
          <w:p w14:paraId="1B762811" w14:textId="77777777" w:rsidR="005014D0" w:rsidRPr="00774534" w:rsidRDefault="005014D0" w:rsidP="00DD2A23">
            <w:pPr>
              <w:jc w:val="right"/>
            </w:pPr>
            <w:r w:rsidRPr="00774534">
              <w:t>74</w:t>
            </w:r>
          </w:p>
        </w:tc>
        <w:tc>
          <w:tcPr>
            <w:tcW w:w="409" w:type="pct"/>
            <w:noWrap/>
            <w:vAlign w:val="center"/>
            <w:hideMark/>
          </w:tcPr>
          <w:p w14:paraId="1EEBD43E" w14:textId="77777777" w:rsidR="005014D0" w:rsidRPr="00774534" w:rsidRDefault="005014D0" w:rsidP="00DD2A23">
            <w:pPr>
              <w:jc w:val="right"/>
            </w:pPr>
            <w:r w:rsidRPr="00774534">
              <w:t>78</w:t>
            </w:r>
          </w:p>
        </w:tc>
        <w:tc>
          <w:tcPr>
            <w:tcW w:w="409" w:type="pct"/>
            <w:noWrap/>
            <w:vAlign w:val="center"/>
            <w:hideMark/>
          </w:tcPr>
          <w:p w14:paraId="583A0D9D" w14:textId="77777777" w:rsidR="005014D0" w:rsidRPr="00774534" w:rsidRDefault="005014D0" w:rsidP="00DD2A23">
            <w:pPr>
              <w:jc w:val="right"/>
            </w:pPr>
            <w:r w:rsidRPr="00774534">
              <w:t>9</w:t>
            </w:r>
            <w:r>
              <w:t>2</w:t>
            </w:r>
          </w:p>
        </w:tc>
        <w:tc>
          <w:tcPr>
            <w:tcW w:w="409" w:type="pct"/>
            <w:noWrap/>
            <w:vAlign w:val="center"/>
            <w:hideMark/>
          </w:tcPr>
          <w:p w14:paraId="462917A0" w14:textId="77777777" w:rsidR="005014D0" w:rsidRPr="00774534" w:rsidRDefault="005014D0" w:rsidP="00DD2A23">
            <w:pPr>
              <w:jc w:val="right"/>
            </w:pPr>
            <w:r w:rsidRPr="00774534">
              <w:t>47</w:t>
            </w:r>
          </w:p>
        </w:tc>
        <w:tc>
          <w:tcPr>
            <w:tcW w:w="409" w:type="pct"/>
            <w:noWrap/>
            <w:vAlign w:val="center"/>
            <w:hideMark/>
          </w:tcPr>
          <w:p w14:paraId="317C3BEE" w14:textId="77777777" w:rsidR="005014D0" w:rsidRPr="00774534" w:rsidRDefault="005014D0" w:rsidP="00DD2A23">
            <w:pPr>
              <w:jc w:val="right"/>
            </w:pPr>
            <w:r w:rsidRPr="00774534">
              <w:t>N/A</w:t>
            </w:r>
          </w:p>
        </w:tc>
        <w:tc>
          <w:tcPr>
            <w:tcW w:w="409" w:type="pct"/>
            <w:noWrap/>
            <w:vAlign w:val="center"/>
            <w:hideMark/>
          </w:tcPr>
          <w:p w14:paraId="0613D508" w14:textId="77777777" w:rsidR="005014D0" w:rsidRPr="00774534" w:rsidRDefault="005014D0" w:rsidP="00DD2A23">
            <w:pPr>
              <w:jc w:val="right"/>
            </w:pPr>
            <w:r w:rsidRPr="00774534">
              <w:t>3</w:t>
            </w:r>
            <w:r>
              <w:t>1</w:t>
            </w:r>
          </w:p>
        </w:tc>
        <w:tc>
          <w:tcPr>
            <w:tcW w:w="409" w:type="pct"/>
            <w:noWrap/>
            <w:vAlign w:val="center"/>
            <w:hideMark/>
          </w:tcPr>
          <w:p w14:paraId="41E056E4" w14:textId="77777777" w:rsidR="005014D0" w:rsidRPr="00774534" w:rsidRDefault="005014D0" w:rsidP="00DD2A23">
            <w:pPr>
              <w:jc w:val="right"/>
            </w:pPr>
            <w:r w:rsidRPr="00774534">
              <w:t>67</w:t>
            </w:r>
          </w:p>
        </w:tc>
      </w:tr>
      <w:tr w:rsidR="005014D0" w:rsidRPr="00C23AF4" w14:paraId="23311BFE" w14:textId="77777777">
        <w:trPr>
          <w:cnfStyle w:val="000000010000" w:firstRow="0" w:lastRow="0" w:firstColumn="0" w:lastColumn="0" w:oddVBand="0" w:evenVBand="0" w:oddHBand="0" w:evenHBand="1" w:firstRowFirstColumn="0" w:firstRowLastColumn="0" w:lastRowFirstColumn="0" w:lastRowLastColumn="0"/>
          <w:trHeight w:val="300"/>
        </w:trPr>
        <w:tc>
          <w:tcPr>
            <w:tcW w:w="1320" w:type="pct"/>
            <w:noWrap/>
            <w:vAlign w:val="center"/>
            <w:hideMark/>
          </w:tcPr>
          <w:p w14:paraId="7AAD922F" w14:textId="77777777" w:rsidR="005014D0" w:rsidRPr="00774534" w:rsidRDefault="005014D0" w:rsidP="003D070F">
            <w:r w:rsidRPr="00774534">
              <w:t>Very Remote</w:t>
            </w:r>
          </w:p>
        </w:tc>
        <w:tc>
          <w:tcPr>
            <w:tcW w:w="409" w:type="pct"/>
            <w:noWrap/>
            <w:vAlign w:val="center"/>
            <w:hideMark/>
          </w:tcPr>
          <w:p w14:paraId="6FCE0A7C" w14:textId="77777777" w:rsidR="005014D0" w:rsidRPr="00774534" w:rsidRDefault="005014D0" w:rsidP="00DD2A23">
            <w:pPr>
              <w:jc w:val="right"/>
            </w:pPr>
            <w:r w:rsidRPr="00774534">
              <w:t>7</w:t>
            </w:r>
            <w:r>
              <w:t>3</w:t>
            </w:r>
          </w:p>
        </w:tc>
        <w:tc>
          <w:tcPr>
            <w:tcW w:w="409" w:type="pct"/>
            <w:noWrap/>
            <w:vAlign w:val="center"/>
            <w:hideMark/>
          </w:tcPr>
          <w:p w14:paraId="4E75292A" w14:textId="77777777" w:rsidR="005014D0" w:rsidRPr="00774534" w:rsidRDefault="005014D0" w:rsidP="00DD2A23">
            <w:pPr>
              <w:jc w:val="right"/>
            </w:pPr>
            <w:r w:rsidRPr="00774534">
              <w:t>N/A</w:t>
            </w:r>
          </w:p>
        </w:tc>
        <w:tc>
          <w:tcPr>
            <w:tcW w:w="409" w:type="pct"/>
            <w:noWrap/>
            <w:vAlign w:val="center"/>
            <w:hideMark/>
          </w:tcPr>
          <w:p w14:paraId="7FB8FC4E" w14:textId="77777777" w:rsidR="005014D0" w:rsidRPr="00774534" w:rsidRDefault="005014D0" w:rsidP="00DD2A23">
            <w:pPr>
              <w:jc w:val="right"/>
            </w:pPr>
            <w:r w:rsidRPr="00774534">
              <w:t>69</w:t>
            </w:r>
          </w:p>
        </w:tc>
        <w:tc>
          <w:tcPr>
            <w:tcW w:w="409" w:type="pct"/>
            <w:noWrap/>
            <w:vAlign w:val="center"/>
            <w:hideMark/>
          </w:tcPr>
          <w:p w14:paraId="76B44A8C" w14:textId="77777777" w:rsidR="005014D0" w:rsidRPr="00774534" w:rsidRDefault="005014D0" w:rsidP="00DD2A23">
            <w:pPr>
              <w:jc w:val="right"/>
            </w:pPr>
            <w:r w:rsidRPr="00774534">
              <w:t>46</w:t>
            </w:r>
          </w:p>
        </w:tc>
        <w:tc>
          <w:tcPr>
            <w:tcW w:w="409" w:type="pct"/>
            <w:noWrap/>
            <w:vAlign w:val="center"/>
            <w:hideMark/>
          </w:tcPr>
          <w:p w14:paraId="7D9CD3C4" w14:textId="77777777" w:rsidR="005014D0" w:rsidRPr="00774534" w:rsidRDefault="005014D0" w:rsidP="00DD2A23">
            <w:pPr>
              <w:jc w:val="right"/>
            </w:pPr>
            <w:r w:rsidRPr="00774534">
              <w:t>58</w:t>
            </w:r>
          </w:p>
        </w:tc>
        <w:tc>
          <w:tcPr>
            <w:tcW w:w="409" w:type="pct"/>
            <w:noWrap/>
            <w:vAlign w:val="center"/>
            <w:hideMark/>
          </w:tcPr>
          <w:p w14:paraId="0475109A" w14:textId="77777777" w:rsidR="005014D0" w:rsidRPr="00774534" w:rsidRDefault="005014D0" w:rsidP="00DD2A23">
            <w:pPr>
              <w:jc w:val="right"/>
            </w:pPr>
            <w:r w:rsidRPr="00774534">
              <w:t>6</w:t>
            </w:r>
            <w:r>
              <w:t>9</w:t>
            </w:r>
          </w:p>
        </w:tc>
        <w:tc>
          <w:tcPr>
            <w:tcW w:w="409" w:type="pct"/>
            <w:noWrap/>
            <w:vAlign w:val="center"/>
            <w:hideMark/>
          </w:tcPr>
          <w:p w14:paraId="1A0A83F1" w14:textId="77777777" w:rsidR="005014D0" w:rsidRPr="00774534" w:rsidRDefault="005014D0" w:rsidP="00DD2A23">
            <w:pPr>
              <w:jc w:val="right"/>
            </w:pPr>
            <w:r w:rsidRPr="00774534">
              <w:t>N/A</w:t>
            </w:r>
          </w:p>
        </w:tc>
        <w:tc>
          <w:tcPr>
            <w:tcW w:w="409" w:type="pct"/>
            <w:noWrap/>
            <w:vAlign w:val="center"/>
            <w:hideMark/>
          </w:tcPr>
          <w:p w14:paraId="20747D88" w14:textId="77777777" w:rsidR="005014D0" w:rsidRPr="00774534" w:rsidRDefault="005014D0" w:rsidP="00DD2A23">
            <w:pPr>
              <w:jc w:val="right"/>
            </w:pPr>
            <w:r>
              <w:t>10</w:t>
            </w:r>
          </w:p>
        </w:tc>
        <w:tc>
          <w:tcPr>
            <w:tcW w:w="409" w:type="pct"/>
            <w:noWrap/>
            <w:vAlign w:val="center"/>
            <w:hideMark/>
          </w:tcPr>
          <w:p w14:paraId="3000A119" w14:textId="77777777" w:rsidR="005014D0" w:rsidRPr="00774534" w:rsidRDefault="005014D0" w:rsidP="00DD2A23">
            <w:pPr>
              <w:jc w:val="right"/>
            </w:pPr>
            <w:r w:rsidRPr="00774534">
              <w:t>4</w:t>
            </w:r>
            <w:r>
              <w:t>1</w:t>
            </w:r>
          </w:p>
        </w:tc>
      </w:tr>
      <w:tr w:rsidR="005014D0" w:rsidRPr="00C23AF4" w14:paraId="5107BD28" w14:textId="77777777">
        <w:trPr>
          <w:trHeight w:val="300"/>
        </w:trPr>
        <w:tc>
          <w:tcPr>
            <w:tcW w:w="1320" w:type="pct"/>
            <w:noWrap/>
            <w:vAlign w:val="center"/>
            <w:hideMark/>
          </w:tcPr>
          <w:p w14:paraId="2E0BA5EF" w14:textId="77777777" w:rsidR="005014D0" w:rsidRPr="00774534" w:rsidRDefault="005014D0" w:rsidP="003D070F">
            <w:r w:rsidRPr="00774534">
              <w:t>Total</w:t>
            </w:r>
          </w:p>
        </w:tc>
        <w:tc>
          <w:tcPr>
            <w:tcW w:w="409" w:type="pct"/>
            <w:noWrap/>
            <w:vAlign w:val="center"/>
            <w:hideMark/>
          </w:tcPr>
          <w:p w14:paraId="0FE98051" w14:textId="77777777" w:rsidR="005014D0" w:rsidRPr="00774534" w:rsidRDefault="005014D0" w:rsidP="00DD2A23">
            <w:pPr>
              <w:jc w:val="right"/>
            </w:pPr>
            <w:r w:rsidRPr="00774534">
              <w:t>7</w:t>
            </w:r>
            <w:r>
              <w:t>1</w:t>
            </w:r>
          </w:p>
        </w:tc>
        <w:tc>
          <w:tcPr>
            <w:tcW w:w="409" w:type="pct"/>
            <w:noWrap/>
            <w:vAlign w:val="center"/>
            <w:hideMark/>
          </w:tcPr>
          <w:p w14:paraId="0BEC69A3" w14:textId="77777777" w:rsidR="005014D0" w:rsidRPr="00774534" w:rsidRDefault="005014D0" w:rsidP="00DD2A23">
            <w:pPr>
              <w:jc w:val="right"/>
            </w:pPr>
            <w:r w:rsidRPr="00774534">
              <w:t>8</w:t>
            </w:r>
            <w:r>
              <w:t>3</w:t>
            </w:r>
          </w:p>
        </w:tc>
        <w:tc>
          <w:tcPr>
            <w:tcW w:w="409" w:type="pct"/>
            <w:noWrap/>
            <w:vAlign w:val="center"/>
            <w:hideMark/>
          </w:tcPr>
          <w:p w14:paraId="079D4D43" w14:textId="77777777" w:rsidR="005014D0" w:rsidRPr="00774534" w:rsidRDefault="005014D0" w:rsidP="00DD2A23">
            <w:pPr>
              <w:jc w:val="right"/>
            </w:pPr>
            <w:r w:rsidRPr="00774534">
              <w:t>7</w:t>
            </w:r>
            <w:r>
              <w:t>8</w:t>
            </w:r>
          </w:p>
        </w:tc>
        <w:tc>
          <w:tcPr>
            <w:tcW w:w="409" w:type="pct"/>
            <w:noWrap/>
            <w:vAlign w:val="center"/>
            <w:hideMark/>
          </w:tcPr>
          <w:p w14:paraId="38A9BBE9" w14:textId="77777777" w:rsidR="005014D0" w:rsidRPr="00774534" w:rsidRDefault="005014D0" w:rsidP="00DD2A23">
            <w:pPr>
              <w:jc w:val="right"/>
            </w:pPr>
            <w:r w:rsidRPr="00774534">
              <w:t>76</w:t>
            </w:r>
          </w:p>
        </w:tc>
        <w:tc>
          <w:tcPr>
            <w:tcW w:w="409" w:type="pct"/>
            <w:noWrap/>
            <w:vAlign w:val="center"/>
            <w:hideMark/>
          </w:tcPr>
          <w:p w14:paraId="629AB8CD" w14:textId="77777777" w:rsidR="005014D0" w:rsidRPr="00774534" w:rsidRDefault="005014D0" w:rsidP="00DD2A23">
            <w:pPr>
              <w:jc w:val="right"/>
            </w:pPr>
            <w:r w:rsidRPr="00774534">
              <w:t>8</w:t>
            </w:r>
            <w:r>
              <w:t>9</w:t>
            </w:r>
          </w:p>
        </w:tc>
        <w:tc>
          <w:tcPr>
            <w:tcW w:w="409" w:type="pct"/>
            <w:noWrap/>
            <w:vAlign w:val="center"/>
            <w:hideMark/>
          </w:tcPr>
          <w:p w14:paraId="64B08489" w14:textId="77777777" w:rsidR="005014D0" w:rsidRPr="00774534" w:rsidRDefault="005014D0" w:rsidP="00DD2A23">
            <w:pPr>
              <w:jc w:val="right"/>
            </w:pPr>
            <w:r w:rsidRPr="00774534">
              <w:t>53</w:t>
            </w:r>
          </w:p>
        </w:tc>
        <w:tc>
          <w:tcPr>
            <w:tcW w:w="409" w:type="pct"/>
            <w:noWrap/>
            <w:vAlign w:val="center"/>
            <w:hideMark/>
          </w:tcPr>
          <w:p w14:paraId="62D96378" w14:textId="77777777" w:rsidR="005014D0" w:rsidRPr="00774534" w:rsidRDefault="005014D0" w:rsidP="00DD2A23">
            <w:pPr>
              <w:jc w:val="right"/>
            </w:pPr>
            <w:r w:rsidRPr="00774534">
              <w:t>7</w:t>
            </w:r>
            <w:r>
              <w:t>4</w:t>
            </w:r>
          </w:p>
        </w:tc>
        <w:tc>
          <w:tcPr>
            <w:tcW w:w="409" w:type="pct"/>
            <w:noWrap/>
            <w:vAlign w:val="center"/>
            <w:hideMark/>
          </w:tcPr>
          <w:p w14:paraId="48C9DB6B" w14:textId="77777777" w:rsidR="005014D0" w:rsidRPr="00774534" w:rsidRDefault="005014D0" w:rsidP="00DD2A23">
            <w:pPr>
              <w:jc w:val="right"/>
            </w:pPr>
            <w:r w:rsidRPr="00774534">
              <w:t>4</w:t>
            </w:r>
            <w:r>
              <w:t>2</w:t>
            </w:r>
          </w:p>
        </w:tc>
        <w:tc>
          <w:tcPr>
            <w:tcW w:w="409" w:type="pct"/>
            <w:noWrap/>
            <w:vAlign w:val="center"/>
            <w:hideMark/>
          </w:tcPr>
          <w:p w14:paraId="02F37623" w14:textId="77777777" w:rsidR="005014D0" w:rsidRPr="00774534" w:rsidRDefault="005014D0" w:rsidP="00DD2A23">
            <w:pPr>
              <w:jc w:val="right"/>
            </w:pPr>
            <w:r w:rsidRPr="00774534">
              <w:t>76</w:t>
            </w:r>
          </w:p>
        </w:tc>
      </w:tr>
    </w:tbl>
    <w:p w14:paraId="30F09A53" w14:textId="77777777" w:rsidR="005014D0" w:rsidRPr="007402E0" w:rsidRDefault="005014D0" w:rsidP="007402E0">
      <w:pPr>
        <w:pStyle w:val="Source"/>
        <w:rPr>
          <w:rFonts w:asciiTheme="minorHAnsi" w:hAnsiTheme="minorHAnsi" w:cstheme="minorHAnsi"/>
          <w:shd w:val="clear" w:color="auto" w:fill="FFFFFF"/>
        </w:rPr>
      </w:pPr>
      <w:r w:rsidRPr="007402E0">
        <w:rPr>
          <w:rFonts w:asciiTheme="minorHAnsi" w:hAnsiTheme="minorHAnsi" w:cstheme="minorHAnsi"/>
          <w:shd w:val="clear" w:color="auto" w:fill="FFFFFF"/>
        </w:rPr>
        <w:t xml:space="preserve">Source: Productivity Commission, </w:t>
      </w:r>
      <w:r w:rsidRPr="00901A26">
        <w:rPr>
          <w:rFonts w:asciiTheme="minorHAnsi" w:hAnsiTheme="minorHAnsi" w:cstheme="minorHAnsi"/>
          <w:i/>
          <w:iCs/>
          <w:shd w:val="clear" w:color="auto" w:fill="FFFFFF"/>
        </w:rPr>
        <w:t>Report on Government Services</w:t>
      </w:r>
      <w:r w:rsidRPr="007402E0">
        <w:rPr>
          <w:rFonts w:asciiTheme="minorHAnsi" w:hAnsiTheme="minorHAnsi" w:cstheme="minorHAnsi"/>
          <w:i/>
          <w:iCs/>
          <w:shd w:val="clear" w:color="auto" w:fill="FFFFFF"/>
        </w:rPr>
        <w:t>,</w:t>
      </w:r>
      <w:r w:rsidRPr="007402E0">
        <w:rPr>
          <w:rFonts w:asciiTheme="minorHAnsi" w:hAnsiTheme="minorHAnsi" w:cstheme="minorHAnsi"/>
          <w:shd w:val="clear" w:color="auto" w:fill="FFFFFF"/>
        </w:rPr>
        <w:t xml:space="preserve"> 2024</w:t>
      </w:r>
    </w:p>
    <w:p w14:paraId="0D5C1495" w14:textId="73C430B8" w:rsidR="005014D0" w:rsidRDefault="005014D0" w:rsidP="007402E0">
      <w:r>
        <w:t>S</w:t>
      </w:r>
      <w:r w:rsidRPr="00C14B49">
        <w:t xml:space="preserve">ignificant differences </w:t>
      </w:r>
      <w:r>
        <w:t xml:space="preserve">are also observed </w:t>
      </w:r>
      <w:r w:rsidRPr="00C14B49">
        <w:t xml:space="preserve">across </w:t>
      </w:r>
      <w:r>
        <w:t>jurisdictions,</w:t>
      </w:r>
      <w:r w:rsidRPr="00C14B49">
        <w:t xml:space="preserve"> with the Northern Territory and Tasmania having the lowest year 12 attainment across most remoteness categories</w:t>
      </w:r>
      <w:r>
        <w:t xml:space="preserve"> in 2022 (Table </w:t>
      </w:r>
      <w:r w:rsidR="007402E0">
        <w:t>6</w:t>
      </w:r>
      <w:r>
        <w:t>)</w:t>
      </w:r>
      <w:r w:rsidRPr="00C14B49">
        <w:t>.</w:t>
      </w:r>
      <w:r>
        <w:t xml:space="preserve"> In New South Wales, Victoria, Western Australia and South Australia, year 12 attainment rates were higher for remote areas than inner and outer regional areas. This may be related to increased availability and uptake of apprenticeships and trade related training opportunities in regional area compared to remote areas. However, the reasons for this need to be further investigated.</w:t>
      </w:r>
    </w:p>
    <w:p w14:paraId="3856B12A" w14:textId="77777777" w:rsidR="007402E0" w:rsidRDefault="007402E0" w:rsidP="007402E0">
      <w:pPr>
        <w:rPr>
          <w:color w:val="222222"/>
          <w:shd w:val="clear" w:color="auto" w:fill="FFFFFF"/>
        </w:rPr>
      </w:pPr>
      <w:r>
        <w:t>A 2019</w:t>
      </w:r>
      <w:r w:rsidRPr="00AD522B">
        <w:t xml:space="preserve"> </w:t>
      </w:r>
      <w:r>
        <w:t>Productivity Commission study</w:t>
      </w:r>
      <w:r>
        <w:rPr>
          <w:rStyle w:val="FootnoteReference"/>
          <w:rFonts w:asciiTheme="minorHAnsi" w:hAnsiTheme="minorHAnsi"/>
        </w:rPr>
        <w:footnoteReference w:id="53"/>
      </w:r>
      <w:r>
        <w:t xml:space="preserve"> found p</w:t>
      </w:r>
      <w:r w:rsidRPr="00532F36">
        <w:t>roficiency in literacy and numeracy at age 15 years is the strongest predictor of whether an individual will attend university</w:t>
      </w:r>
      <w:r>
        <w:t>,</w:t>
      </w:r>
      <w:r w:rsidRPr="00532F36">
        <w:t xml:space="preserve"> and a major explanation for the under-representation of children from regional or remote</w:t>
      </w:r>
      <w:r>
        <w:t xml:space="preserve"> areas</w:t>
      </w:r>
      <w:r w:rsidRPr="00532F36">
        <w:t>.</w:t>
      </w:r>
      <w:r>
        <w:t xml:space="preserve"> Regional and remote students are 19 percentage points less likely to attend university by age 22 years than the rest of the population</w:t>
      </w:r>
      <w:r>
        <w:rPr>
          <w:color w:val="222222"/>
          <w:shd w:val="clear" w:color="auto" w:fill="FFFFFF"/>
        </w:rPr>
        <w:t>.</w:t>
      </w:r>
      <w:r>
        <w:rPr>
          <w:rStyle w:val="FootnoteReference"/>
          <w:rFonts w:asciiTheme="minorHAnsi" w:hAnsiTheme="minorHAnsi"/>
          <w:color w:val="222222"/>
          <w:shd w:val="clear" w:color="auto" w:fill="FFFFFF"/>
        </w:rPr>
        <w:footnoteReference w:id="54"/>
      </w:r>
      <w:r>
        <w:rPr>
          <w:color w:val="222222"/>
          <w:shd w:val="clear" w:color="auto" w:fill="FFFFFF"/>
        </w:rPr>
        <w:t xml:space="preserve"> </w:t>
      </w:r>
    </w:p>
    <w:p w14:paraId="70D774A4" w14:textId="77777777" w:rsidR="007402E0" w:rsidRPr="007402E0" w:rsidRDefault="007402E0" w:rsidP="007402E0">
      <w:r w:rsidRPr="007402E0">
        <w:t>Strong foundational skills in literacy and numeracy are a powerful protective factor for children growing up in equity groups or from disadvantaged backgrounds. Those children that succeed in school and attain literacy and numeracy in the top quartile attend university at fairly similar rates regardless of their background. By contrast, children from regional and remote areas or other equity groups with literacy and numeracy in the bottom quartile are about half as likely to attend university as equivalently capable children from more privileged backgrounds.</w:t>
      </w:r>
      <w:r w:rsidRPr="007402E0">
        <w:rPr>
          <w:rStyle w:val="FootnoteReference"/>
        </w:rPr>
        <w:footnoteReference w:id="55"/>
      </w:r>
    </w:p>
    <w:p w14:paraId="48D198CB" w14:textId="5B16C925" w:rsidR="00835D23" w:rsidRPr="005970C5" w:rsidRDefault="00835D23" w:rsidP="00835D23">
      <w:pPr>
        <w:pStyle w:val="Heading2"/>
        <w:rPr>
          <w:rFonts w:asciiTheme="minorHAnsi" w:hAnsiTheme="minorHAnsi" w:cstheme="minorBidi"/>
        </w:rPr>
      </w:pPr>
      <w:bookmarkStart w:id="68" w:name="_Toc178173743"/>
      <w:bookmarkStart w:id="69" w:name="_Toc171937437"/>
      <w:bookmarkStart w:id="70" w:name="_Toc170456994"/>
      <w:bookmarkStart w:id="71" w:name="_Toc171937442"/>
      <w:bookmarkEnd w:id="67"/>
      <w:r w:rsidRPr="0CF5B975">
        <w:rPr>
          <w:rFonts w:asciiTheme="minorHAnsi" w:hAnsiTheme="minorHAnsi" w:cstheme="minorBidi"/>
        </w:rPr>
        <w:t>Performance of the regional higher education system</w:t>
      </w:r>
      <w:bookmarkEnd w:id="68"/>
    </w:p>
    <w:p w14:paraId="4FF675F1" w14:textId="51DB7FE6" w:rsidR="00AE7E06" w:rsidRDefault="00AE7E06" w:rsidP="007402E0">
      <w:r w:rsidRPr="0099288C">
        <w:t xml:space="preserve">Access </w:t>
      </w:r>
      <w:r w:rsidR="007402E0">
        <w:t xml:space="preserve">to, </w:t>
      </w:r>
      <w:r w:rsidRPr="0099288C">
        <w:t>and completion of</w:t>
      </w:r>
      <w:r w:rsidR="007402E0">
        <w:t>,</w:t>
      </w:r>
      <w:r w:rsidRPr="0099288C">
        <w:t xml:space="preserve"> higher education among Australia</w:t>
      </w:r>
      <w:r>
        <w:t>ns from</w:t>
      </w:r>
      <w:r w:rsidRPr="0099288C">
        <w:t xml:space="preserve"> regional and remote Australia is critical to the nation meeting its acute skills shortages. Pressure on the regional higher education system is already evident with chronic shortages of many skilled professionals, including </w:t>
      </w:r>
      <w:r>
        <w:t>R</w:t>
      </w:r>
      <w:r w:rsidRPr="0099288C">
        <w:t xml:space="preserve">egistered </w:t>
      </w:r>
      <w:r>
        <w:t>N</w:t>
      </w:r>
      <w:r w:rsidRPr="0099288C">
        <w:t xml:space="preserve">urses, </w:t>
      </w:r>
      <w:r>
        <w:t>G</w:t>
      </w:r>
      <w:r w:rsidRPr="0099288C">
        <w:t xml:space="preserve">eneral </w:t>
      </w:r>
      <w:r>
        <w:t>P</w:t>
      </w:r>
      <w:r w:rsidRPr="0099288C">
        <w:t>ractitioners</w:t>
      </w:r>
      <w:r>
        <w:t xml:space="preserve"> and Resident Medical Officers</w:t>
      </w:r>
      <w:r w:rsidRPr="0099288C">
        <w:t xml:space="preserve">, </w:t>
      </w:r>
      <w:r>
        <w:t>Engineers</w:t>
      </w:r>
      <w:r w:rsidRPr="0099288C">
        <w:t xml:space="preserve">, </w:t>
      </w:r>
      <w:r>
        <w:t>T</w:t>
      </w:r>
      <w:r w:rsidRPr="0099288C">
        <w:t xml:space="preserve">eachers and </w:t>
      </w:r>
      <w:r>
        <w:t>E</w:t>
      </w:r>
      <w:r w:rsidRPr="0099288C">
        <w:t xml:space="preserve">arly </w:t>
      </w:r>
      <w:r>
        <w:t>C</w:t>
      </w:r>
      <w:r w:rsidRPr="0099288C">
        <w:t xml:space="preserve">hildhood </w:t>
      </w:r>
      <w:r>
        <w:t>E</w:t>
      </w:r>
      <w:r w:rsidRPr="0099288C">
        <w:t>ducators</w:t>
      </w:r>
      <w:r>
        <w:t>.</w:t>
      </w:r>
      <w:r>
        <w:rPr>
          <w:rStyle w:val="FootnoteReference"/>
        </w:rPr>
        <w:footnoteReference w:id="56"/>
      </w:r>
      <w:r w:rsidRPr="0099288C">
        <w:t xml:space="preserve"> As outlined </w:t>
      </w:r>
      <w:r>
        <w:t>earlier</w:t>
      </w:r>
      <w:r w:rsidRPr="0099288C">
        <w:t>, in the 24</w:t>
      </w:r>
      <w:r>
        <w:t> </w:t>
      </w:r>
      <w:r w:rsidRPr="0099288C">
        <w:t xml:space="preserve">months to March 2024, difficulty in filling job vacancies has </w:t>
      </w:r>
      <w:r w:rsidR="00B732CE">
        <w:t xml:space="preserve">been higher in regional areas than capital cities, </w:t>
      </w:r>
      <w:r w:rsidRPr="0099288C">
        <w:t xml:space="preserve">with rates of recruitment difficulty tending to increase with increasing remoteness. </w:t>
      </w:r>
    </w:p>
    <w:p w14:paraId="05EE0AEE" w14:textId="544BE39E" w:rsidR="00AE1E16" w:rsidRPr="0099288C" w:rsidRDefault="00AE1E16" w:rsidP="004C75F1">
      <w:r>
        <w:t xml:space="preserve">In presenting </w:t>
      </w:r>
      <w:r w:rsidR="004C75F1">
        <w:t xml:space="preserve">analysis of regional universities and higher education students from regional areas, </w:t>
      </w:r>
      <w:r>
        <w:t>we</w:t>
      </w:r>
      <w:r w:rsidRPr="0099288C">
        <w:t xml:space="preserve"> draw on </w:t>
      </w:r>
      <w:r>
        <w:t xml:space="preserve">some key </w:t>
      </w:r>
      <w:r w:rsidRPr="0099288C">
        <w:t>conclusions and recommendations of the comprehensive Australian Universities Accord Final Report</w:t>
      </w:r>
      <w:r w:rsidRPr="00646A98">
        <w:rPr>
          <w:rFonts w:asciiTheme="minorHAnsi" w:hAnsiTheme="minorHAnsi"/>
          <w:vertAlign w:val="superscript"/>
        </w:rPr>
        <w:footnoteReference w:id="57"/>
      </w:r>
      <w:r>
        <w:t xml:space="preserve"> relating to regional students and institutions. </w:t>
      </w:r>
    </w:p>
    <w:p w14:paraId="1E0C80C1" w14:textId="14B3C76E" w:rsidR="0092452D" w:rsidRPr="00226DA8" w:rsidRDefault="0092452D" w:rsidP="0092452D">
      <w:pPr>
        <w:pStyle w:val="Heading3"/>
        <w:rPr>
          <w:rFonts w:asciiTheme="majorHAnsi" w:hAnsiTheme="majorHAnsi" w:cstheme="majorHAnsi"/>
        </w:rPr>
      </w:pPr>
      <w:r w:rsidRPr="00226DA8">
        <w:rPr>
          <w:rFonts w:asciiTheme="majorHAnsi" w:hAnsiTheme="majorHAnsi" w:cstheme="majorHAnsi"/>
        </w:rPr>
        <w:t>Access to higher education institutions in regional Australia</w:t>
      </w:r>
      <w:bookmarkEnd w:id="69"/>
    </w:p>
    <w:p w14:paraId="60B4408E" w14:textId="05C5981B" w:rsidR="0092452D" w:rsidRDefault="0092452D" w:rsidP="004C75F1">
      <w:r w:rsidRPr="00184140">
        <w:t>Australia’s regiona</w:t>
      </w:r>
      <w:r w:rsidR="007A7A7C">
        <w:t>l</w:t>
      </w:r>
      <w:r w:rsidR="00CB3084">
        <w:t>ly-based</w:t>
      </w:r>
      <w:r w:rsidR="007A7A7C">
        <w:t xml:space="preserve"> </w:t>
      </w:r>
      <w:r w:rsidRPr="00184140">
        <w:t xml:space="preserve">universities have a well-established role providing </w:t>
      </w:r>
      <w:r w:rsidR="001F649E">
        <w:t xml:space="preserve">higher </w:t>
      </w:r>
      <w:r w:rsidRPr="00184140">
        <w:t>education in relatively smaller population centres across Australia</w:t>
      </w:r>
      <w:r w:rsidR="00A057EA">
        <w:t>,</w:t>
      </w:r>
      <w:r w:rsidRPr="00184140">
        <w:t xml:space="preserve"> and a vital role to play in addressing the nation’s skill shortages by equipping the workforce with the skills and capabilities required for the future. </w:t>
      </w:r>
    </w:p>
    <w:p w14:paraId="7E1D7C9F" w14:textId="77777777" w:rsidR="0092452D" w:rsidRPr="0099288C" w:rsidRDefault="0092452D" w:rsidP="004C75F1">
      <w:r w:rsidRPr="00184140">
        <w:rPr>
          <w:color w:val="222222"/>
        </w:rPr>
        <w:t>The </w:t>
      </w:r>
      <w:hyperlink r:id="rId81" w:history="1">
        <w:r w:rsidRPr="00184140">
          <w:rPr>
            <w:rStyle w:val="Hyperlink"/>
            <w:rFonts w:eastAsiaTheme="majorEastAsia" w:cs="Arial"/>
            <w:color w:val="1F538D"/>
          </w:rPr>
          <w:t>Regional Universities Network</w:t>
        </w:r>
      </w:hyperlink>
      <w:r w:rsidRPr="00184140">
        <w:rPr>
          <w:color w:val="222222"/>
        </w:rPr>
        <w:t> (RUN) is made up of </w:t>
      </w:r>
      <w:hyperlink r:id="rId82" w:history="1">
        <w:r w:rsidRPr="00184140">
          <w:rPr>
            <w:rStyle w:val="Hyperlink"/>
            <w:rFonts w:eastAsiaTheme="majorEastAsia" w:cs="Arial"/>
            <w:color w:val="1F538D"/>
          </w:rPr>
          <w:t>7</w:t>
        </w:r>
        <w:r>
          <w:rPr>
            <w:rStyle w:val="Hyperlink"/>
            <w:rFonts w:eastAsiaTheme="majorEastAsia" w:cs="Arial"/>
            <w:color w:val="1F538D"/>
          </w:rPr>
          <w:t> </w:t>
        </w:r>
        <w:r w:rsidRPr="00184140">
          <w:rPr>
            <w:rStyle w:val="Hyperlink"/>
            <w:rFonts w:eastAsiaTheme="majorEastAsia" w:cs="Arial"/>
            <w:color w:val="1F538D"/>
          </w:rPr>
          <w:t>universities</w:t>
        </w:r>
      </w:hyperlink>
      <w:r w:rsidRPr="00184140">
        <w:rPr>
          <w:color w:val="222222"/>
        </w:rPr>
        <w:t> </w:t>
      </w:r>
      <w:r w:rsidRPr="0099288C">
        <w:t>headquartered in regional Australia, that aim to ‘ensure that higher education is accessible and achievable, and produce qualified professionals needed for regional development’:</w:t>
      </w:r>
    </w:p>
    <w:p w14:paraId="1F2230C7" w14:textId="7BE89389" w:rsidR="004B580C" w:rsidRPr="004C75F1" w:rsidRDefault="00D73E8B" w:rsidP="00465BE3">
      <w:pPr>
        <w:pStyle w:val="ListBullet"/>
      </w:pPr>
      <w:hyperlink r:id="rId83">
        <w:r w:rsidR="004B580C" w:rsidRPr="004C75F1">
          <w:rPr>
            <w:rStyle w:val="Hyperlink"/>
            <w:rFonts w:asciiTheme="minorHAnsi" w:hAnsiTheme="minorHAnsi" w:cstheme="minorHAnsi"/>
            <w:color w:val="1F538D"/>
            <w:szCs w:val="22"/>
          </w:rPr>
          <w:t>University of the Sunshine Coast</w:t>
        </w:r>
      </w:hyperlink>
      <w:r w:rsidR="004B580C" w:rsidRPr="004C75F1">
        <w:t>, headquartered in the Sunshine Coast, Queenslan</w:t>
      </w:r>
      <w:r w:rsidR="00F01227" w:rsidRPr="004C75F1">
        <w:t>d</w:t>
      </w:r>
    </w:p>
    <w:p w14:paraId="4C42D553" w14:textId="6093BF63" w:rsidR="0092452D" w:rsidRPr="004C75F1" w:rsidRDefault="00D73E8B" w:rsidP="00465BE3">
      <w:pPr>
        <w:pStyle w:val="ListBullet"/>
        <w:rPr>
          <w:color w:val="222222"/>
        </w:rPr>
      </w:pPr>
      <w:hyperlink r:id="rId84" w:history="1">
        <w:r w:rsidR="0092452D" w:rsidRPr="004C75F1">
          <w:rPr>
            <w:rStyle w:val="Hyperlink"/>
            <w:rFonts w:asciiTheme="minorHAnsi" w:hAnsiTheme="minorHAnsi" w:cstheme="minorHAnsi"/>
            <w:color w:val="1F538D"/>
            <w:szCs w:val="22"/>
          </w:rPr>
          <w:t>CQUniversity Australia</w:t>
        </w:r>
      </w:hyperlink>
      <w:r w:rsidR="0092452D" w:rsidRPr="004C75F1">
        <w:rPr>
          <w:color w:val="222222"/>
        </w:rPr>
        <w:t>, headquartered in Rockhampton, Queensland</w:t>
      </w:r>
    </w:p>
    <w:p w14:paraId="7EC45224" w14:textId="39BB0B70" w:rsidR="00422C7B" w:rsidRPr="004C75F1" w:rsidRDefault="00D73E8B" w:rsidP="00465BE3">
      <w:pPr>
        <w:pStyle w:val="ListBullet"/>
        <w:rPr>
          <w:color w:val="222222"/>
        </w:rPr>
      </w:pPr>
      <w:hyperlink r:id="rId85" w:history="1">
        <w:r w:rsidR="00422C7B" w:rsidRPr="004C75F1">
          <w:rPr>
            <w:rStyle w:val="Hyperlink"/>
            <w:rFonts w:asciiTheme="minorHAnsi" w:hAnsiTheme="minorHAnsi" w:cstheme="minorHAnsi"/>
            <w:color w:val="1F538D"/>
            <w:szCs w:val="22"/>
          </w:rPr>
          <w:t>University of Southern Queensland</w:t>
        </w:r>
      </w:hyperlink>
      <w:r w:rsidR="00422C7B" w:rsidRPr="004C75F1">
        <w:rPr>
          <w:color w:val="222222"/>
        </w:rPr>
        <w:t>, headquartered in Toowoomba, Queensland</w:t>
      </w:r>
    </w:p>
    <w:p w14:paraId="30023838" w14:textId="77777777" w:rsidR="00647595" w:rsidRPr="004C75F1" w:rsidRDefault="00D73E8B" w:rsidP="00465BE3">
      <w:pPr>
        <w:pStyle w:val="ListBullet"/>
        <w:rPr>
          <w:color w:val="222222"/>
        </w:rPr>
      </w:pPr>
      <w:hyperlink r:id="rId86" w:history="1">
        <w:r w:rsidR="00647595" w:rsidRPr="004C75F1">
          <w:rPr>
            <w:rStyle w:val="Hyperlink"/>
            <w:rFonts w:asciiTheme="minorHAnsi" w:hAnsiTheme="minorHAnsi" w:cstheme="minorHAnsi"/>
            <w:color w:val="1F538D"/>
            <w:szCs w:val="22"/>
          </w:rPr>
          <w:t>University of New England</w:t>
        </w:r>
      </w:hyperlink>
      <w:r w:rsidR="00647595" w:rsidRPr="004C75F1">
        <w:rPr>
          <w:color w:val="222222"/>
        </w:rPr>
        <w:t>, headquartered in Armidale, New South Wales</w:t>
      </w:r>
    </w:p>
    <w:p w14:paraId="53673D41" w14:textId="06CC14A5" w:rsidR="00647595" w:rsidRPr="004C75F1" w:rsidRDefault="00D73E8B" w:rsidP="00465BE3">
      <w:pPr>
        <w:pStyle w:val="ListBullet"/>
        <w:rPr>
          <w:color w:val="222222"/>
        </w:rPr>
      </w:pPr>
      <w:hyperlink r:id="rId87" w:history="1">
        <w:r w:rsidR="00647595" w:rsidRPr="004C75F1">
          <w:rPr>
            <w:rStyle w:val="Hyperlink"/>
            <w:rFonts w:asciiTheme="minorHAnsi" w:hAnsiTheme="minorHAnsi" w:cstheme="minorHAnsi"/>
            <w:color w:val="1F538D"/>
            <w:szCs w:val="22"/>
          </w:rPr>
          <w:t>Southern Cross University</w:t>
        </w:r>
      </w:hyperlink>
      <w:r w:rsidR="00647595" w:rsidRPr="004C75F1">
        <w:rPr>
          <w:color w:val="222222"/>
        </w:rPr>
        <w:t>, headquartered in Lismore, New South Wales</w:t>
      </w:r>
    </w:p>
    <w:p w14:paraId="3AFEAAD8" w14:textId="77777777" w:rsidR="0092452D" w:rsidRPr="004C75F1" w:rsidRDefault="00D73E8B" w:rsidP="00465BE3">
      <w:pPr>
        <w:pStyle w:val="ListBullet"/>
      </w:pPr>
      <w:hyperlink r:id="rId88" w:history="1">
        <w:r w:rsidR="0092452D" w:rsidRPr="004C75F1">
          <w:rPr>
            <w:rStyle w:val="Hyperlink"/>
            <w:rFonts w:asciiTheme="minorHAnsi" w:hAnsiTheme="minorHAnsi" w:cstheme="minorHAnsi"/>
            <w:color w:val="1F538D"/>
            <w:szCs w:val="22"/>
          </w:rPr>
          <w:t>Charles Sturt University</w:t>
        </w:r>
      </w:hyperlink>
      <w:r w:rsidR="0092452D" w:rsidRPr="004C75F1">
        <w:t>, headquartered in Bathurst, New South Wales</w:t>
      </w:r>
    </w:p>
    <w:p w14:paraId="56ECE434" w14:textId="77777777" w:rsidR="0092452D" w:rsidRPr="004C75F1" w:rsidRDefault="00D73E8B" w:rsidP="00465BE3">
      <w:pPr>
        <w:pStyle w:val="ListBullet"/>
        <w:rPr>
          <w:color w:val="222222"/>
        </w:rPr>
      </w:pPr>
      <w:hyperlink r:id="rId89" w:history="1">
        <w:r w:rsidR="0092452D" w:rsidRPr="004C75F1">
          <w:rPr>
            <w:rStyle w:val="Hyperlink"/>
            <w:rFonts w:asciiTheme="minorHAnsi" w:hAnsiTheme="minorHAnsi" w:cstheme="minorHAnsi"/>
            <w:color w:val="1F538D"/>
            <w:szCs w:val="22"/>
          </w:rPr>
          <w:t>Federation University</w:t>
        </w:r>
      </w:hyperlink>
      <w:r w:rsidR="0092452D" w:rsidRPr="004C75F1">
        <w:rPr>
          <w:color w:val="222222"/>
        </w:rPr>
        <w:t>, headquartered in Ballarat, Victoria</w:t>
      </w:r>
    </w:p>
    <w:p w14:paraId="3CD7EDCB" w14:textId="5A3D8221" w:rsidR="00211C28" w:rsidRPr="00211C28" w:rsidRDefault="00211C28" w:rsidP="004C75F1">
      <w:r w:rsidRPr="00211C28">
        <w:t>In addition to the RUN universities, the following are also based in regional Australia</w:t>
      </w:r>
      <w:r w:rsidR="00931DBF">
        <w:t>.</w:t>
      </w:r>
      <w:r w:rsidR="00536E3D">
        <w:rPr>
          <w:rStyle w:val="FootnoteReference"/>
          <w:rFonts w:cs="Arial"/>
          <w:color w:val="222222"/>
        </w:rPr>
        <w:footnoteReference w:id="58"/>
      </w:r>
    </w:p>
    <w:p w14:paraId="6687AA16" w14:textId="403CE34B" w:rsidR="00211C28" w:rsidRPr="00211C28" w:rsidRDefault="00D73E8B" w:rsidP="00465BE3">
      <w:pPr>
        <w:pStyle w:val="ListBullet"/>
      </w:pPr>
      <w:hyperlink r:id="rId90" w:history="1">
        <w:r w:rsidR="00211C28" w:rsidRPr="00211C28">
          <w:rPr>
            <w:rStyle w:val="Hyperlink"/>
            <w:rFonts w:cs="Arial"/>
            <w:szCs w:val="22"/>
          </w:rPr>
          <w:t>James Cook University</w:t>
        </w:r>
      </w:hyperlink>
      <w:r w:rsidR="00211C28" w:rsidRPr="00211C28">
        <w:t>, headquartered in Townsville, Queensland</w:t>
      </w:r>
      <w:r w:rsidR="000C0A6F">
        <w:t>,</w:t>
      </w:r>
    </w:p>
    <w:p w14:paraId="67EBAEAE" w14:textId="5E0E17E9" w:rsidR="000962EE" w:rsidRDefault="00D73E8B" w:rsidP="00465BE3">
      <w:pPr>
        <w:pStyle w:val="ListBullet"/>
      </w:pPr>
      <w:hyperlink r:id="rId91" w:history="1">
        <w:r w:rsidR="00211C28" w:rsidRPr="00211C28">
          <w:rPr>
            <w:rStyle w:val="Hyperlink"/>
            <w:rFonts w:cs="Arial"/>
            <w:szCs w:val="22"/>
          </w:rPr>
          <w:t>University of Tasmania</w:t>
        </w:r>
      </w:hyperlink>
      <w:r w:rsidR="00211C28" w:rsidRPr="00211C28">
        <w:t>, headquartered in in Hobart, Tasmania</w:t>
      </w:r>
      <w:r w:rsidR="00BA6561">
        <w:t>, and</w:t>
      </w:r>
    </w:p>
    <w:p w14:paraId="56BE1ACE" w14:textId="12E26617" w:rsidR="00BA6561" w:rsidRPr="00BA6561" w:rsidRDefault="00D73E8B" w:rsidP="00465BE3">
      <w:pPr>
        <w:pStyle w:val="ListBullet"/>
      </w:pPr>
      <w:hyperlink r:id="rId92" w:history="1">
        <w:r w:rsidR="00BA6561" w:rsidRPr="00211C28">
          <w:rPr>
            <w:rStyle w:val="Hyperlink"/>
            <w:rFonts w:cs="Arial"/>
            <w:szCs w:val="22"/>
          </w:rPr>
          <w:t>Charles Darwin University</w:t>
        </w:r>
      </w:hyperlink>
      <w:r w:rsidR="00BA6561" w:rsidRPr="00211C28">
        <w:t>, headquartered in Darwin, Northern Territory</w:t>
      </w:r>
      <w:r w:rsidR="008B47D2">
        <w:t>.</w:t>
      </w:r>
    </w:p>
    <w:p w14:paraId="34B0D477" w14:textId="1F36FB53" w:rsidR="000962EE" w:rsidRPr="00184140" w:rsidRDefault="00E906D3" w:rsidP="006E7A8D">
      <w:r>
        <w:t xml:space="preserve">Table </w:t>
      </w:r>
      <w:r w:rsidR="004C75F1">
        <w:t>7</w:t>
      </w:r>
      <w:r>
        <w:t xml:space="preserve"> below </w:t>
      </w:r>
      <w:r w:rsidR="00CB3084">
        <w:t xml:space="preserve">provides a list of campus locations for these ten regional universities, as well as details of their metropolitan and specialist </w:t>
      </w:r>
      <w:r w:rsidR="009160FF">
        <w:t xml:space="preserve">(including international) </w:t>
      </w:r>
      <w:r w:rsidR="00CB3084">
        <w:t xml:space="preserve">campus locations.  </w:t>
      </w:r>
    </w:p>
    <w:p w14:paraId="5DE30BED" w14:textId="77777777" w:rsidR="00465BE3" w:rsidRDefault="00465BE3">
      <w:pPr>
        <w:spacing w:after="120" w:line="276" w:lineRule="auto"/>
        <w:rPr>
          <w:b/>
          <w:bCs/>
          <w:sz w:val="20"/>
          <w:szCs w:val="18"/>
        </w:rPr>
      </w:pPr>
      <w:r>
        <w:br w:type="page"/>
      </w:r>
    </w:p>
    <w:p w14:paraId="6A83DE01" w14:textId="3A18A0F1" w:rsidR="0052008D" w:rsidRPr="004C75F1" w:rsidRDefault="0092452D" w:rsidP="00F264FC">
      <w:pPr>
        <w:pStyle w:val="Caption"/>
      </w:pPr>
      <w:r w:rsidRPr="004C75F1">
        <w:t xml:space="preserve">Table </w:t>
      </w:r>
      <w:r w:rsidR="004C75F1" w:rsidRPr="004C75F1">
        <w:t>7</w:t>
      </w:r>
      <w:r w:rsidRPr="004C75F1">
        <w:t xml:space="preserve">: </w:t>
      </w:r>
      <w:r w:rsidR="00237F28" w:rsidRPr="004C75F1">
        <w:t xml:space="preserve">Campus </w:t>
      </w:r>
      <w:r w:rsidR="00237F28" w:rsidRPr="00F264FC">
        <w:t>locations</w:t>
      </w:r>
      <w:r w:rsidR="00237F28" w:rsidRPr="004C75F1">
        <w:t xml:space="preserve"> of the r</w:t>
      </w:r>
      <w:r w:rsidRPr="004C75F1">
        <w:t>egional universit</w:t>
      </w:r>
      <w:r w:rsidR="00237F28" w:rsidRPr="004C75F1">
        <w:t>ies</w:t>
      </w:r>
      <w:r w:rsidR="0052008D">
        <w:fldChar w:fldCharType="begin"/>
      </w:r>
      <w:r w:rsidR="0052008D" w:rsidRPr="004C75F1">
        <w:instrText xml:space="preserve"> LINK </w:instrText>
      </w:r>
      <w:r w:rsidR="00465BE3">
        <w:instrText xml:space="preserve">Excel.Sheet.12 "\\\\EMP.application.enet\\50038325\\WF Branch\\4 Regional Workforce Assessment\\Regional Profiles\\regional roadmap\\Regional Roadmap - Higher Education\\Higher Ed Roadmap DataV2.xlsx" "Campus locations!R2C1:R13C3" </w:instrText>
      </w:r>
      <w:r w:rsidR="0052008D" w:rsidRPr="004C75F1">
        <w:instrText xml:space="preserve">\a \f 4 \h  \* MERGEFORMAT </w:instrText>
      </w:r>
      <w:r w:rsidR="0052008D">
        <w:fldChar w:fldCharType="separate"/>
      </w:r>
      <w:bookmarkStart w:id="72" w:name="_1787394629"/>
      <w:bookmarkStart w:id="73" w:name="_1787394585"/>
      <w:bookmarkStart w:id="74" w:name="_1787388649"/>
      <w:bookmarkEnd w:id="72"/>
      <w:bookmarkEnd w:id="73"/>
      <w:bookmarkEnd w:id="74"/>
    </w:p>
    <w:tbl>
      <w:tblPr>
        <w:tblW w:w="5000" w:type="pct"/>
        <w:tblLook w:val="04A0" w:firstRow="1" w:lastRow="0" w:firstColumn="1" w:lastColumn="0" w:noHBand="0" w:noVBand="1"/>
      </w:tblPr>
      <w:tblGrid>
        <w:gridCol w:w="3027"/>
        <w:gridCol w:w="3853"/>
        <w:gridCol w:w="1924"/>
        <w:gridCol w:w="222"/>
      </w:tblGrid>
      <w:tr w:rsidR="0052008D" w:rsidRPr="0052008D" w14:paraId="05F25EB5" w14:textId="77777777" w:rsidTr="00465BE3">
        <w:trPr>
          <w:gridAfter w:val="1"/>
          <w:divId w:val="1706442385"/>
          <w:wAfter w:w="222" w:type="dxa"/>
          <w:trHeight w:val="685"/>
        </w:trPr>
        <w:tc>
          <w:tcPr>
            <w:tcW w:w="3402" w:type="dxa"/>
            <w:vMerge w:val="restart"/>
            <w:tcBorders>
              <w:top w:val="nil"/>
              <w:left w:val="nil"/>
              <w:bottom w:val="nil"/>
              <w:right w:val="nil"/>
            </w:tcBorders>
            <w:shd w:val="clear" w:color="000000" w:fill="2F005F"/>
            <w:vAlign w:val="center"/>
            <w:hideMark/>
          </w:tcPr>
          <w:p w14:paraId="67175058" w14:textId="6A737607" w:rsidR="0052008D" w:rsidRPr="0052008D" w:rsidRDefault="0052008D" w:rsidP="00465BE3">
            <w:pPr>
              <w:spacing w:before="240"/>
              <w:rPr>
                <w:rFonts w:eastAsia="Times New Roman"/>
                <w:color w:val="FFFFFF"/>
              </w:rPr>
            </w:pPr>
            <w:r w:rsidRPr="0052008D">
              <w:rPr>
                <w:rFonts w:eastAsia="Times New Roman"/>
                <w:color w:val="FFFFFF"/>
              </w:rPr>
              <w:t>University</w:t>
            </w:r>
          </w:p>
        </w:tc>
        <w:tc>
          <w:tcPr>
            <w:tcW w:w="4340" w:type="dxa"/>
            <w:vMerge w:val="restart"/>
            <w:tcBorders>
              <w:top w:val="nil"/>
              <w:left w:val="nil"/>
              <w:bottom w:val="nil"/>
              <w:right w:val="nil"/>
            </w:tcBorders>
            <w:shd w:val="clear" w:color="000000" w:fill="2F005F"/>
            <w:vAlign w:val="center"/>
            <w:hideMark/>
          </w:tcPr>
          <w:p w14:paraId="047226A0" w14:textId="77777777" w:rsidR="0052008D" w:rsidRPr="0052008D" w:rsidRDefault="0052008D" w:rsidP="00465BE3">
            <w:pPr>
              <w:spacing w:before="240"/>
              <w:rPr>
                <w:rFonts w:eastAsia="Times New Roman"/>
                <w:color w:val="FFFFFF"/>
              </w:rPr>
            </w:pPr>
            <w:r w:rsidRPr="0052008D">
              <w:rPr>
                <w:rFonts w:eastAsia="Times New Roman"/>
                <w:color w:val="FFFFFF"/>
              </w:rPr>
              <w:t>Regional Campus Locations</w:t>
            </w:r>
          </w:p>
        </w:tc>
        <w:tc>
          <w:tcPr>
            <w:tcW w:w="2039" w:type="dxa"/>
            <w:vMerge w:val="restart"/>
            <w:tcBorders>
              <w:top w:val="nil"/>
              <w:left w:val="nil"/>
              <w:bottom w:val="nil"/>
              <w:right w:val="nil"/>
            </w:tcBorders>
            <w:shd w:val="clear" w:color="000000" w:fill="2F005F"/>
            <w:vAlign w:val="center"/>
            <w:hideMark/>
          </w:tcPr>
          <w:p w14:paraId="2A4075C2" w14:textId="3DE0368C" w:rsidR="0052008D" w:rsidRPr="0052008D" w:rsidRDefault="0052008D" w:rsidP="00465BE3">
            <w:pPr>
              <w:spacing w:before="240"/>
            </w:pPr>
            <w:r w:rsidRPr="0052008D">
              <w:t>Metropolitan and Specialist Campus Locations</w:t>
            </w:r>
          </w:p>
        </w:tc>
      </w:tr>
      <w:tr w:rsidR="0052008D" w:rsidRPr="0052008D" w14:paraId="1F3BAE3D" w14:textId="77777777" w:rsidTr="00465BE3">
        <w:trPr>
          <w:divId w:val="1706442385"/>
          <w:trHeight w:val="517"/>
        </w:trPr>
        <w:tc>
          <w:tcPr>
            <w:tcW w:w="3402" w:type="dxa"/>
            <w:vMerge/>
            <w:tcBorders>
              <w:top w:val="nil"/>
              <w:left w:val="nil"/>
              <w:bottom w:val="nil"/>
              <w:right w:val="nil"/>
            </w:tcBorders>
            <w:vAlign w:val="center"/>
            <w:hideMark/>
          </w:tcPr>
          <w:p w14:paraId="3E280751" w14:textId="77777777" w:rsidR="0052008D" w:rsidRPr="0052008D" w:rsidRDefault="0052008D" w:rsidP="00E54B8C">
            <w:pPr>
              <w:rPr>
                <w:rFonts w:eastAsia="Times New Roman"/>
                <w:color w:val="FFFFFF"/>
              </w:rPr>
            </w:pPr>
          </w:p>
        </w:tc>
        <w:tc>
          <w:tcPr>
            <w:tcW w:w="4340" w:type="dxa"/>
            <w:vMerge/>
            <w:tcBorders>
              <w:top w:val="nil"/>
              <w:left w:val="nil"/>
              <w:bottom w:val="nil"/>
              <w:right w:val="nil"/>
            </w:tcBorders>
            <w:vAlign w:val="center"/>
            <w:hideMark/>
          </w:tcPr>
          <w:p w14:paraId="20AD85CB" w14:textId="77777777" w:rsidR="0052008D" w:rsidRPr="0052008D" w:rsidRDefault="0052008D" w:rsidP="00E54B8C">
            <w:pPr>
              <w:rPr>
                <w:rFonts w:eastAsia="Times New Roman"/>
                <w:color w:val="FFFFFF"/>
              </w:rPr>
            </w:pPr>
          </w:p>
        </w:tc>
        <w:tc>
          <w:tcPr>
            <w:tcW w:w="2039" w:type="dxa"/>
            <w:vMerge/>
            <w:tcBorders>
              <w:top w:val="nil"/>
              <w:left w:val="nil"/>
              <w:bottom w:val="nil"/>
              <w:right w:val="nil"/>
            </w:tcBorders>
            <w:vAlign w:val="center"/>
            <w:hideMark/>
          </w:tcPr>
          <w:p w14:paraId="3BF28EA5" w14:textId="77777777" w:rsidR="0052008D" w:rsidRPr="0052008D" w:rsidRDefault="0052008D" w:rsidP="00E54B8C">
            <w:pPr>
              <w:rPr>
                <w:rFonts w:eastAsia="Times New Roman"/>
                <w:color w:val="FFFFFF"/>
              </w:rPr>
            </w:pPr>
          </w:p>
        </w:tc>
        <w:tc>
          <w:tcPr>
            <w:tcW w:w="222" w:type="dxa"/>
            <w:tcBorders>
              <w:top w:val="nil"/>
              <w:left w:val="nil"/>
              <w:bottom w:val="nil"/>
              <w:right w:val="nil"/>
            </w:tcBorders>
            <w:shd w:val="clear" w:color="auto" w:fill="auto"/>
            <w:noWrap/>
            <w:vAlign w:val="bottom"/>
            <w:hideMark/>
          </w:tcPr>
          <w:p w14:paraId="635717DF" w14:textId="77777777" w:rsidR="0052008D" w:rsidRPr="0052008D" w:rsidRDefault="0052008D" w:rsidP="00E54B8C">
            <w:pPr>
              <w:rPr>
                <w:rFonts w:eastAsia="Times New Roman" w:cs="Arial"/>
                <w:color w:val="FFFFFF"/>
              </w:rPr>
            </w:pPr>
          </w:p>
        </w:tc>
      </w:tr>
      <w:tr w:rsidR="0052008D" w:rsidRPr="0052008D" w14:paraId="5DD137EF" w14:textId="77777777" w:rsidTr="00465BE3">
        <w:trPr>
          <w:divId w:val="1706442385"/>
          <w:trHeight w:val="1000"/>
        </w:trPr>
        <w:tc>
          <w:tcPr>
            <w:tcW w:w="3402" w:type="dxa"/>
            <w:tcBorders>
              <w:top w:val="nil"/>
              <w:left w:val="nil"/>
              <w:bottom w:val="nil"/>
              <w:right w:val="nil"/>
            </w:tcBorders>
            <w:shd w:val="clear" w:color="auto" w:fill="auto"/>
            <w:vAlign w:val="center"/>
            <w:hideMark/>
          </w:tcPr>
          <w:p w14:paraId="4F982709" w14:textId="00758E6E" w:rsidR="0052008D" w:rsidRPr="0052008D" w:rsidRDefault="00D73E8B" w:rsidP="00E54B8C">
            <w:pPr>
              <w:rPr>
                <w:rFonts w:eastAsia="Times New Roman"/>
                <w:color w:val="0563C1"/>
                <w:u w:val="single"/>
              </w:rPr>
            </w:pPr>
            <w:hyperlink r:id="rId93" w:history="1">
              <w:r w:rsidR="0052008D" w:rsidRPr="0052008D">
                <w:rPr>
                  <w:rFonts w:eastAsia="Times New Roman"/>
                  <w:color w:val="0563C1"/>
                  <w:u w:val="single"/>
                </w:rPr>
                <w:t>University of the Sunshine Coast</w:t>
              </w:r>
            </w:hyperlink>
          </w:p>
        </w:tc>
        <w:tc>
          <w:tcPr>
            <w:tcW w:w="4340" w:type="dxa"/>
            <w:tcBorders>
              <w:top w:val="nil"/>
              <w:left w:val="nil"/>
              <w:bottom w:val="nil"/>
              <w:right w:val="nil"/>
            </w:tcBorders>
            <w:shd w:val="clear" w:color="auto" w:fill="auto"/>
            <w:vAlign w:val="center"/>
            <w:hideMark/>
          </w:tcPr>
          <w:p w14:paraId="1B1E6C0C" w14:textId="77777777" w:rsidR="0052008D" w:rsidRPr="0052008D" w:rsidRDefault="0052008D" w:rsidP="00E54B8C">
            <w:pPr>
              <w:rPr>
                <w:rFonts w:eastAsia="Times New Roman"/>
                <w:color w:val="000000"/>
              </w:rPr>
            </w:pPr>
            <w:r w:rsidRPr="0052008D">
              <w:rPr>
                <w:rFonts w:eastAsia="Times New Roman"/>
                <w:b/>
                <w:bCs/>
                <w:color w:val="000000"/>
              </w:rPr>
              <w:t>Sippy Downs (Sunshine Coast),</w:t>
            </w:r>
            <w:r w:rsidRPr="0052008D">
              <w:rPr>
                <w:rFonts w:eastAsia="Times New Roman"/>
                <w:color w:val="000000"/>
              </w:rPr>
              <w:t xml:space="preserve"> Fraser Coast, Gympie, Caboolture, Moreton Bay</w:t>
            </w:r>
          </w:p>
        </w:tc>
        <w:tc>
          <w:tcPr>
            <w:tcW w:w="2039" w:type="dxa"/>
            <w:tcBorders>
              <w:top w:val="nil"/>
              <w:left w:val="nil"/>
              <w:bottom w:val="nil"/>
              <w:right w:val="nil"/>
            </w:tcBorders>
            <w:shd w:val="clear" w:color="auto" w:fill="auto"/>
            <w:vAlign w:val="center"/>
            <w:hideMark/>
          </w:tcPr>
          <w:p w14:paraId="7923D1C9" w14:textId="77777777" w:rsidR="0052008D" w:rsidRPr="0052008D" w:rsidRDefault="0052008D" w:rsidP="00E54B8C">
            <w:pPr>
              <w:rPr>
                <w:rFonts w:eastAsia="Times New Roman"/>
                <w:color w:val="000000"/>
              </w:rPr>
            </w:pPr>
            <w:r w:rsidRPr="0052008D">
              <w:rPr>
                <w:rFonts w:eastAsia="Times New Roman"/>
                <w:color w:val="000000"/>
              </w:rPr>
              <w:t>Adelaide</w:t>
            </w:r>
          </w:p>
        </w:tc>
        <w:tc>
          <w:tcPr>
            <w:tcW w:w="222" w:type="dxa"/>
            <w:vAlign w:val="center"/>
            <w:hideMark/>
          </w:tcPr>
          <w:p w14:paraId="6E340C85" w14:textId="77777777" w:rsidR="0052008D" w:rsidRPr="0052008D" w:rsidRDefault="0052008D" w:rsidP="00E54B8C">
            <w:pPr>
              <w:rPr>
                <w:rFonts w:eastAsia="Times New Roman"/>
              </w:rPr>
            </w:pPr>
          </w:p>
        </w:tc>
      </w:tr>
      <w:tr w:rsidR="0052008D" w:rsidRPr="0052008D" w14:paraId="39CDA4B5" w14:textId="77777777" w:rsidTr="00465BE3">
        <w:trPr>
          <w:divId w:val="1706442385"/>
          <w:trHeight w:val="1000"/>
        </w:trPr>
        <w:tc>
          <w:tcPr>
            <w:tcW w:w="3402" w:type="dxa"/>
            <w:tcBorders>
              <w:top w:val="nil"/>
              <w:left w:val="nil"/>
              <w:bottom w:val="nil"/>
              <w:right w:val="nil"/>
            </w:tcBorders>
            <w:shd w:val="clear" w:color="000000" w:fill="E6E6E6"/>
            <w:vAlign w:val="center"/>
            <w:hideMark/>
          </w:tcPr>
          <w:p w14:paraId="3E5BC223" w14:textId="620AC8E7" w:rsidR="0052008D" w:rsidRPr="0052008D" w:rsidRDefault="00D73E8B" w:rsidP="00E54B8C">
            <w:pPr>
              <w:rPr>
                <w:rFonts w:eastAsia="Times New Roman"/>
                <w:color w:val="0563C1"/>
                <w:u w:val="single"/>
              </w:rPr>
            </w:pPr>
            <w:hyperlink r:id="rId94" w:history="1">
              <w:r w:rsidR="0052008D" w:rsidRPr="0052008D">
                <w:rPr>
                  <w:rFonts w:eastAsia="Times New Roman"/>
                  <w:color w:val="0563C1"/>
                  <w:u w:val="single"/>
                </w:rPr>
                <w:t>Central Queensland University</w:t>
              </w:r>
            </w:hyperlink>
          </w:p>
        </w:tc>
        <w:tc>
          <w:tcPr>
            <w:tcW w:w="4340" w:type="dxa"/>
            <w:tcBorders>
              <w:top w:val="nil"/>
              <w:left w:val="nil"/>
              <w:bottom w:val="nil"/>
              <w:right w:val="nil"/>
            </w:tcBorders>
            <w:shd w:val="clear" w:color="000000" w:fill="E6E6E6"/>
            <w:vAlign w:val="center"/>
            <w:hideMark/>
          </w:tcPr>
          <w:p w14:paraId="61338B49" w14:textId="77777777" w:rsidR="0052008D" w:rsidRPr="0052008D" w:rsidRDefault="0052008D" w:rsidP="00E54B8C">
            <w:pPr>
              <w:rPr>
                <w:rFonts w:eastAsia="Times New Roman"/>
                <w:color w:val="000000"/>
              </w:rPr>
            </w:pPr>
            <w:r w:rsidRPr="0052008D">
              <w:rPr>
                <w:rFonts w:eastAsia="Times New Roman"/>
                <w:b/>
                <w:bCs/>
                <w:color w:val="000000"/>
              </w:rPr>
              <w:t>Rockhampton</w:t>
            </w:r>
            <w:r w:rsidRPr="0052008D">
              <w:rPr>
                <w:rFonts w:eastAsia="Times New Roman"/>
                <w:color w:val="000000"/>
              </w:rPr>
              <w:t>, Cairns, Townsville, Mackay, Emerald, Gladstone, Bundaberg</w:t>
            </w:r>
          </w:p>
        </w:tc>
        <w:tc>
          <w:tcPr>
            <w:tcW w:w="2039" w:type="dxa"/>
            <w:tcBorders>
              <w:top w:val="nil"/>
              <w:left w:val="nil"/>
              <w:bottom w:val="nil"/>
              <w:right w:val="nil"/>
            </w:tcBorders>
            <w:shd w:val="clear" w:color="000000" w:fill="E6E6E6"/>
            <w:vAlign w:val="center"/>
            <w:hideMark/>
          </w:tcPr>
          <w:p w14:paraId="11734FCE" w14:textId="025EC7F8" w:rsidR="0052008D" w:rsidRPr="0052008D" w:rsidRDefault="0052008D" w:rsidP="00E54B8C">
            <w:pPr>
              <w:rPr>
                <w:rFonts w:eastAsia="Times New Roman"/>
                <w:color w:val="000000"/>
              </w:rPr>
            </w:pPr>
            <w:r w:rsidRPr="0052008D">
              <w:rPr>
                <w:rFonts w:eastAsia="Times New Roman"/>
                <w:color w:val="000000"/>
              </w:rPr>
              <w:t xml:space="preserve">Brisbane, Sydney, Melbourne, Adelaide </w:t>
            </w:r>
          </w:p>
        </w:tc>
        <w:tc>
          <w:tcPr>
            <w:tcW w:w="222" w:type="dxa"/>
            <w:vAlign w:val="center"/>
            <w:hideMark/>
          </w:tcPr>
          <w:p w14:paraId="0FC954FA" w14:textId="77777777" w:rsidR="0052008D" w:rsidRPr="0052008D" w:rsidRDefault="0052008D" w:rsidP="00E54B8C">
            <w:pPr>
              <w:rPr>
                <w:rFonts w:eastAsia="Times New Roman"/>
              </w:rPr>
            </w:pPr>
          </w:p>
        </w:tc>
      </w:tr>
      <w:tr w:rsidR="0052008D" w:rsidRPr="0052008D" w14:paraId="7D4CAD56" w14:textId="77777777" w:rsidTr="00465BE3">
        <w:trPr>
          <w:divId w:val="1706442385"/>
          <w:trHeight w:val="517"/>
        </w:trPr>
        <w:tc>
          <w:tcPr>
            <w:tcW w:w="3402" w:type="dxa"/>
            <w:tcBorders>
              <w:top w:val="nil"/>
              <w:left w:val="nil"/>
              <w:bottom w:val="nil"/>
              <w:right w:val="nil"/>
            </w:tcBorders>
            <w:shd w:val="clear" w:color="auto" w:fill="auto"/>
            <w:vAlign w:val="center"/>
            <w:hideMark/>
          </w:tcPr>
          <w:p w14:paraId="21347BD6" w14:textId="309B56DB" w:rsidR="0052008D" w:rsidRPr="0052008D" w:rsidRDefault="00D73E8B" w:rsidP="00E54B8C">
            <w:pPr>
              <w:rPr>
                <w:rFonts w:eastAsia="Times New Roman"/>
                <w:color w:val="0563C1"/>
                <w:u w:val="single"/>
              </w:rPr>
            </w:pPr>
            <w:hyperlink r:id="rId95" w:history="1">
              <w:r w:rsidR="0052008D" w:rsidRPr="0052008D">
                <w:rPr>
                  <w:rFonts w:eastAsia="Times New Roman"/>
                  <w:color w:val="0563C1"/>
                  <w:u w:val="single"/>
                </w:rPr>
                <w:t>University of Southern Queensland</w:t>
              </w:r>
            </w:hyperlink>
          </w:p>
        </w:tc>
        <w:tc>
          <w:tcPr>
            <w:tcW w:w="4340" w:type="dxa"/>
            <w:tcBorders>
              <w:top w:val="nil"/>
              <w:left w:val="nil"/>
              <w:bottom w:val="nil"/>
              <w:right w:val="nil"/>
            </w:tcBorders>
            <w:shd w:val="clear" w:color="auto" w:fill="auto"/>
            <w:vAlign w:val="center"/>
            <w:hideMark/>
          </w:tcPr>
          <w:p w14:paraId="757F908A" w14:textId="77777777" w:rsidR="0052008D" w:rsidRPr="0052008D" w:rsidRDefault="0052008D" w:rsidP="00E54B8C">
            <w:pPr>
              <w:rPr>
                <w:rFonts w:eastAsia="Times New Roman"/>
                <w:color w:val="000000"/>
              </w:rPr>
            </w:pPr>
            <w:r w:rsidRPr="0052008D">
              <w:rPr>
                <w:rFonts w:eastAsia="Times New Roman"/>
                <w:b/>
                <w:bCs/>
                <w:color w:val="000000"/>
              </w:rPr>
              <w:t>Toowoomba</w:t>
            </w:r>
            <w:r w:rsidRPr="0052008D">
              <w:rPr>
                <w:rFonts w:eastAsia="Times New Roman"/>
                <w:color w:val="000000"/>
              </w:rPr>
              <w:t>, Springfield, Ipswich</w:t>
            </w:r>
          </w:p>
        </w:tc>
        <w:tc>
          <w:tcPr>
            <w:tcW w:w="2039" w:type="dxa"/>
            <w:tcBorders>
              <w:top w:val="nil"/>
              <w:left w:val="nil"/>
              <w:bottom w:val="nil"/>
              <w:right w:val="nil"/>
            </w:tcBorders>
            <w:shd w:val="clear" w:color="auto" w:fill="auto"/>
            <w:vAlign w:val="center"/>
            <w:hideMark/>
          </w:tcPr>
          <w:p w14:paraId="39D8E922" w14:textId="77777777" w:rsidR="0052008D" w:rsidRPr="0052008D" w:rsidRDefault="0052008D" w:rsidP="00E54B8C">
            <w:pPr>
              <w:rPr>
                <w:rFonts w:eastAsia="Times New Roman"/>
                <w:color w:val="000000"/>
              </w:rPr>
            </w:pPr>
            <w:r w:rsidRPr="0052008D">
              <w:rPr>
                <w:rFonts w:eastAsia="Times New Roman"/>
                <w:color w:val="000000"/>
              </w:rPr>
              <w:t>Brisbane</w:t>
            </w:r>
          </w:p>
        </w:tc>
        <w:tc>
          <w:tcPr>
            <w:tcW w:w="222" w:type="dxa"/>
            <w:vAlign w:val="center"/>
            <w:hideMark/>
          </w:tcPr>
          <w:p w14:paraId="51747F83" w14:textId="77777777" w:rsidR="0052008D" w:rsidRPr="0052008D" w:rsidRDefault="0052008D" w:rsidP="00E54B8C">
            <w:pPr>
              <w:rPr>
                <w:rFonts w:eastAsia="Times New Roman"/>
              </w:rPr>
            </w:pPr>
          </w:p>
        </w:tc>
      </w:tr>
      <w:tr w:rsidR="0052008D" w:rsidRPr="0052008D" w14:paraId="0AE987A4" w14:textId="77777777" w:rsidTr="00465BE3">
        <w:trPr>
          <w:divId w:val="1706442385"/>
          <w:trHeight w:val="517"/>
        </w:trPr>
        <w:tc>
          <w:tcPr>
            <w:tcW w:w="3402" w:type="dxa"/>
            <w:tcBorders>
              <w:top w:val="nil"/>
              <w:left w:val="nil"/>
              <w:bottom w:val="nil"/>
              <w:right w:val="nil"/>
            </w:tcBorders>
            <w:shd w:val="clear" w:color="000000" w:fill="E6E6E6"/>
            <w:vAlign w:val="center"/>
            <w:hideMark/>
          </w:tcPr>
          <w:p w14:paraId="01A2B9E7" w14:textId="4164E3F0" w:rsidR="0052008D" w:rsidRPr="0052008D" w:rsidRDefault="00D73E8B" w:rsidP="00E54B8C">
            <w:pPr>
              <w:rPr>
                <w:rFonts w:eastAsia="Times New Roman"/>
                <w:color w:val="0563C1"/>
                <w:u w:val="single"/>
              </w:rPr>
            </w:pPr>
            <w:hyperlink r:id="rId96" w:history="1">
              <w:r w:rsidR="0052008D" w:rsidRPr="0052008D">
                <w:rPr>
                  <w:rFonts w:eastAsia="Times New Roman"/>
                  <w:color w:val="0563C1"/>
                  <w:u w:val="single"/>
                </w:rPr>
                <w:t>University of New England</w:t>
              </w:r>
            </w:hyperlink>
          </w:p>
        </w:tc>
        <w:tc>
          <w:tcPr>
            <w:tcW w:w="4340" w:type="dxa"/>
            <w:tcBorders>
              <w:top w:val="nil"/>
              <w:left w:val="nil"/>
              <w:bottom w:val="nil"/>
              <w:right w:val="nil"/>
            </w:tcBorders>
            <w:shd w:val="clear" w:color="000000" w:fill="E6E6E6"/>
            <w:vAlign w:val="center"/>
            <w:hideMark/>
          </w:tcPr>
          <w:p w14:paraId="5AC2778E" w14:textId="77777777" w:rsidR="0052008D" w:rsidRPr="0052008D" w:rsidRDefault="0052008D" w:rsidP="00E54B8C">
            <w:pPr>
              <w:rPr>
                <w:rFonts w:eastAsia="Times New Roman"/>
                <w:color w:val="000000"/>
              </w:rPr>
            </w:pPr>
            <w:r w:rsidRPr="0052008D">
              <w:rPr>
                <w:rFonts w:eastAsia="Times New Roman"/>
                <w:b/>
                <w:bCs/>
                <w:color w:val="000000"/>
              </w:rPr>
              <w:t>Armidale</w:t>
            </w:r>
            <w:r w:rsidRPr="0052008D">
              <w:rPr>
                <w:rFonts w:eastAsia="Times New Roman"/>
                <w:color w:val="000000"/>
              </w:rPr>
              <w:t>, Taree, Tamworth</w:t>
            </w:r>
          </w:p>
        </w:tc>
        <w:tc>
          <w:tcPr>
            <w:tcW w:w="2039" w:type="dxa"/>
            <w:tcBorders>
              <w:top w:val="nil"/>
              <w:left w:val="nil"/>
              <w:bottom w:val="nil"/>
              <w:right w:val="nil"/>
            </w:tcBorders>
            <w:shd w:val="clear" w:color="000000" w:fill="E6E6E6"/>
            <w:vAlign w:val="center"/>
            <w:hideMark/>
          </w:tcPr>
          <w:p w14:paraId="71717BF8" w14:textId="77777777" w:rsidR="0052008D" w:rsidRPr="0052008D" w:rsidRDefault="0052008D" w:rsidP="00E54B8C">
            <w:pPr>
              <w:rPr>
                <w:rFonts w:eastAsia="Times New Roman"/>
                <w:color w:val="000000"/>
              </w:rPr>
            </w:pPr>
            <w:r w:rsidRPr="0052008D">
              <w:rPr>
                <w:rFonts w:eastAsia="Times New Roman"/>
                <w:color w:val="000000"/>
              </w:rPr>
              <w:t>Sydney</w:t>
            </w:r>
          </w:p>
        </w:tc>
        <w:tc>
          <w:tcPr>
            <w:tcW w:w="222" w:type="dxa"/>
            <w:vAlign w:val="center"/>
            <w:hideMark/>
          </w:tcPr>
          <w:p w14:paraId="29ADC84A" w14:textId="77777777" w:rsidR="0052008D" w:rsidRPr="0052008D" w:rsidRDefault="0052008D" w:rsidP="00E54B8C">
            <w:pPr>
              <w:rPr>
                <w:rFonts w:eastAsia="Times New Roman"/>
              </w:rPr>
            </w:pPr>
          </w:p>
        </w:tc>
      </w:tr>
      <w:tr w:rsidR="0052008D" w:rsidRPr="0052008D" w14:paraId="4F709D9B" w14:textId="77777777" w:rsidTr="00465BE3">
        <w:trPr>
          <w:divId w:val="1706442385"/>
          <w:trHeight w:val="1000"/>
        </w:trPr>
        <w:tc>
          <w:tcPr>
            <w:tcW w:w="3402" w:type="dxa"/>
            <w:tcBorders>
              <w:top w:val="nil"/>
              <w:left w:val="nil"/>
              <w:bottom w:val="nil"/>
              <w:right w:val="nil"/>
            </w:tcBorders>
            <w:shd w:val="clear" w:color="auto" w:fill="auto"/>
            <w:vAlign w:val="center"/>
            <w:hideMark/>
          </w:tcPr>
          <w:p w14:paraId="3C05605E" w14:textId="6BFEC1D1" w:rsidR="0052008D" w:rsidRPr="0052008D" w:rsidRDefault="00D73E8B" w:rsidP="00E54B8C">
            <w:pPr>
              <w:rPr>
                <w:rFonts w:eastAsia="Times New Roman"/>
                <w:color w:val="0563C1"/>
                <w:u w:val="single"/>
              </w:rPr>
            </w:pPr>
            <w:hyperlink r:id="rId97" w:history="1">
              <w:r w:rsidR="0052008D" w:rsidRPr="0052008D">
                <w:rPr>
                  <w:rFonts w:eastAsia="Times New Roman"/>
                  <w:color w:val="0563C1"/>
                  <w:u w:val="single"/>
                </w:rPr>
                <w:t>Southern Cross University</w:t>
              </w:r>
            </w:hyperlink>
          </w:p>
        </w:tc>
        <w:tc>
          <w:tcPr>
            <w:tcW w:w="4340" w:type="dxa"/>
            <w:tcBorders>
              <w:top w:val="nil"/>
              <w:left w:val="nil"/>
              <w:bottom w:val="nil"/>
              <w:right w:val="nil"/>
            </w:tcBorders>
            <w:shd w:val="clear" w:color="auto" w:fill="auto"/>
            <w:vAlign w:val="center"/>
            <w:hideMark/>
          </w:tcPr>
          <w:p w14:paraId="354EBC0F" w14:textId="77777777" w:rsidR="0052008D" w:rsidRPr="0052008D" w:rsidRDefault="0052008D" w:rsidP="00E54B8C">
            <w:pPr>
              <w:rPr>
                <w:rFonts w:eastAsia="Times New Roman"/>
                <w:color w:val="000000"/>
              </w:rPr>
            </w:pPr>
            <w:r w:rsidRPr="0052008D">
              <w:rPr>
                <w:rFonts w:eastAsia="Times New Roman"/>
                <w:b/>
                <w:bCs/>
                <w:color w:val="000000"/>
              </w:rPr>
              <w:t>Lismore</w:t>
            </w:r>
            <w:r w:rsidRPr="0052008D">
              <w:rPr>
                <w:rFonts w:eastAsia="Times New Roman"/>
                <w:color w:val="000000"/>
              </w:rPr>
              <w:t>, Gold Coast, Coomera, Coffs Harbour</w:t>
            </w:r>
          </w:p>
        </w:tc>
        <w:tc>
          <w:tcPr>
            <w:tcW w:w="2039" w:type="dxa"/>
            <w:tcBorders>
              <w:top w:val="nil"/>
              <w:left w:val="nil"/>
              <w:bottom w:val="nil"/>
              <w:right w:val="nil"/>
            </w:tcBorders>
            <w:shd w:val="clear" w:color="auto" w:fill="auto"/>
            <w:vAlign w:val="center"/>
            <w:hideMark/>
          </w:tcPr>
          <w:p w14:paraId="289150FC" w14:textId="35FA8E95" w:rsidR="0052008D" w:rsidRPr="0052008D" w:rsidRDefault="0052008D" w:rsidP="00E54B8C">
            <w:pPr>
              <w:rPr>
                <w:rFonts w:eastAsia="Times New Roman"/>
                <w:color w:val="000000"/>
              </w:rPr>
            </w:pPr>
            <w:r w:rsidRPr="0052008D">
              <w:rPr>
                <w:rFonts w:eastAsia="Times New Roman"/>
                <w:color w:val="000000"/>
              </w:rPr>
              <w:t>Sydney, Melbourne, Perth, Brisbane, Hayman Island</w:t>
            </w:r>
          </w:p>
        </w:tc>
        <w:tc>
          <w:tcPr>
            <w:tcW w:w="222" w:type="dxa"/>
            <w:vAlign w:val="center"/>
            <w:hideMark/>
          </w:tcPr>
          <w:p w14:paraId="69DC9C9A" w14:textId="77777777" w:rsidR="0052008D" w:rsidRPr="0052008D" w:rsidRDefault="0052008D" w:rsidP="00E54B8C">
            <w:pPr>
              <w:rPr>
                <w:rFonts w:eastAsia="Times New Roman"/>
              </w:rPr>
            </w:pPr>
          </w:p>
        </w:tc>
      </w:tr>
      <w:tr w:rsidR="0052008D" w:rsidRPr="0052008D" w14:paraId="158A2430" w14:textId="77777777" w:rsidTr="00465BE3">
        <w:trPr>
          <w:divId w:val="1706442385"/>
          <w:trHeight w:val="1000"/>
        </w:trPr>
        <w:tc>
          <w:tcPr>
            <w:tcW w:w="3402" w:type="dxa"/>
            <w:tcBorders>
              <w:top w:val="nil"/>
              <w:left w:val="nil"/>
              <w:bottom w:val="nil"/>
              <w:right w:val="nil"/>
            </w:tcBorders>
            <w:shd w:val="clear" w:color="000000" w:fill="E6E6E6"/>
            <w:vAlign w:val="center"/>
            <w:hideMark/>
          </w:tcPr>
          <w:p w14:paraId="2E5B1F19" w14:textId="6908C2B4" w:rsidR="0052008D" w:rsidRPr="0052008D" w:rsidRDefault="00D73E8B" w:rsidP="00E54B8C">
            <w:pPr>
              <w:rPr>
                <w:rFonts w:eastAsia="Times New Roman"/>
                <w:color w:val="0563C1"/>
                <w:u w:val="single"/>
              </w:rPr>
            </w:pPr>
            <w:hyperlink r:id="rId98" w:history="1">
              <w:r w:rsidR="0052008D" w:rsidRPr="0052008D">
                <w:rPr>
                  <w:rFonts w:eastAsia="Times New Roman"/>
                  <w:color w:val="0563C1"/>
                  <w:u w:val="single"/>
                </w:rPr>
                <w:t>Charles Sturt University</w:t>
              </w:r>
            </w:hyperlink>
          </w:p>
        </w:tc>
        <w:tc>
          <w:tcPr>
            <w:tcW w:w="4340" w:type="dxa"/>
            <w:tcBorders>
              <w:top w:val="nil"/>
              <w:left w:val="nil"/>
              <w:bottom w:val="nil"/>
              <w:right w:val="nil"/>
            </w:tcBorders>
            <w:shd w:val="clear" w:color="000000" w:fill="E6E6E6"/>
            <w:vAlign w:val="center"/>
            <w:hideMark/>
          </w:tcPr>
          <w:p w14:paraId="78C4C91C" w14:textId="77777777" w:rsidR="0052008D" w:rsidRPr="0052008D" w:rsidRDefault="0052008D" w:rsidP="00E54B8C">
            <w:pPr>
              <w:rPr>
                <w:rFonts w:eastAsia="Times New Roman"/>
                <w:color w:val="000000"/>
              </w:rPr>
            </w:pPr>
            <w:r w:rsidRPr="0052008D">
              <w:rPr>
                <w:rFonts w:eastAsia="Times New Roman"/>
                <w:b/>
                <w:bCs/>
                <w:color w:val="000000"/>
              </w:rPr>
              <w:t>Bathurst</w:t>
            </w:r>
            <w:r w:rsidRPr="0052008D">
              <w:rPr>
                <w:rFonts w:eastAsia="Times New Roman"/>
                <w:color w:val="000000"/>
              </w:rPr>
              <w:t>, Albury-Wodonga, Dubbo, Orange, Port Macquarie, Wagga Wagga</w:t>
            </w:r>
          </w:p>
        </w:tc>
        <w:tc>
          <w:tcPr>
            <w:tcW w:w="2039" w:type="dxa"/>
            <w:tcBorders>
              <w:top w:val="nil"/>
              <w:left w:val="nil"/>
              <w:bottom w:val="nil"/>
              <w:right w:val="nil"/>
            </w:tcBorders>
            <w:shd w:val="clear" w:color="000000" w:fill="E6E6E6"/>
            <w:vAlign w:val="center"/>
            <w:hideMark/>
          </w:tcPr>
          <w:p w14:paraId="30643EDE" w14:textId="7CE3CB9F" w:rsidR="0052008D" w:rsidRPr="0052008D" w:rsidRDefault="0052008D" w:rsidP="00E54B8C">
            <w:pPr>
              <w:rPr>
                <w:rFonts w:eastAsia="Times New Roman"/>
                <w:color w:val="000000"/>
              </w:rPr>
            </w:pPr>
            <w:r w:rsidRPr="0052008D">
              <w:rPr>
                <w:rFonts w:eastAsia="Times New Roman"/>
                <w:color w:val="000000"/>
              </w:rPr>
              <w:t>Canberra, Paramatta, Sydney, Goulburn</w:t>
            </w:r>
          </w:p>
        </w:tc>
        <w:tc>
          <w:tcPr>
            <w:tcW w:w="222" w:type="dxa"/>
            <w:vAlign w:val="center"/>
            <w:hideMark/>
          </w:tcPr>
          <w:p w14:paraId="10CCA2B1" w14:textId="77777777" w:rsidR="0052008D" w:rsidRPr="0052008D" w:rsidRDefault="0052008D" w:rsidP="00E54B8C">
            <w:pPr>
              <w:rPr>
                <w:rFonts w:eastAsia="Times New Roman"/>
              </w:rPr>
            </w:pPr>
          </w:p>
        </w:tc>
      </w:tr>
      <w:tr w:rsidR="0052008D" w:rsidRPr="0052008D" w14:paraId="1C73A4C0" w14:textId="77777777" w:rsidTr="00465BE3">
        <w:trPr>
          <w:divId w:val="1706442385"/>
          <w:trHeight w:val="517"/>
        </w:trPr>
        <w:tc>
          <w:tcPr>
            <w:tcW w:w="3402" w:type="dxa"/>
            <w:tcBorders>
              <w:top w:val="nil"/>
              <w:left w:val="nil"/>
              <w:bottom w:val="nil"/>
              <w:right w:val="nil"/>
            </w:tcBorders>
            <w:shd w:val="clear" w:color="auto" w:fill="auto"/>
            <w:vAlign w:val="center"/>
            <w:hideMark/>
          </w:tcPr>
          <w:p w14:paraId="6F9B0EA4" w14:textId="12F61433" w:rsidR="0052008D" w:rsidRPr="0052008D" w:rsidRDefault="00D73E8B" w:rsidP="00E54B8C">
            <w:pPr>
              <w:rPr>
                <w:rFonts w:eastAsia="Times New Roman"/>
                <w:color w:val="0563C1"/>
                <w:u w:val="single"/>
              </w:rPr>
            </w:pPr>
            <w:hyperlink r:id="rId99" w:history="1">
              <w:r w:rsidR="0052008D" w:rsidRPr="0052008D">
                <w:rPr>
                  <w:rFonts w:eastAsia="Times New Roman"/>
                  <w:color w:val="0563C1"/>
                  <w:u w:val="single"/>
                </w:rPr>
                <w:t>Federation University Australia</w:t>
              </w:r>
            </w:hyperlink>
          </w:p>
        </w:tc>
        <w:tc>
          <w:tcPr>
            <w:tcW w:w="4340" w:type="dxa"/>
            <w:tcBorders>
              <w:top w:val="nil"/>
              <w:left w:val="nil"/>
              <w:bottom w:val="nil"/>
              <w:right w:val="nil"/>
            </w:tcBorders>
            <w:shd w:val="clear" w:color="auto" w:fill="auto"/>
            <w:vAlign w:val="center"/>
            <w:hideMark/>
          </w:tcPr>
          <w:p w14:paraId="2A8D952D" w14:textId="77777777" w:rsidR="0052008D" w:rsidRPr="0052008D" w:rsidRDefault="0052008D" w:rsidP="00E54B8C">
            <w:pPr>
              <w:rPr>
                <w:rFonts w:eastAsia="Times New Roman"/>
                <w:color w:val="000000"/>
              </w:rPr>
            </w:pPr>
            <w:r w:rsidRPr="0052008D">
              <w:rPr>
                <w:rFonts w:eastAsia="Times New Roman"/>
                <w:b/>
                <w:bCs/>
                <w:color w:val="000000"/>
              </w:rPr>
              <w:t>Ballarat</w:t>
            </w:r>
            <w:r w:rsidRPr="0052008D">
              <w:rPr>
                <w:rFonts w:eastAsia="Times New Roman"/>
                <w:color w:val="000000"/>
              </w:rPr>
              <w:t>, Gippsland, Horsham</w:t>
            </w:r>
          </w:p>
        </w:tc>
        <w:tc>
          <w:tcPr>
            <w:tcW w:w="2039" w:type="dxa"/>
            <w:tcBorders>
              <w:top w:val="nil"/>
              <w:left w:val="nil"/>
              <w:bottom w:val="nil"/>
              <w:right w:val="nil"/>
            </w:tcBorders>
            <w:shd w:val="clear" w:color="auto" w:fill="auto"/>
            <w:vAlign w:val="center"/>
            <w:hideMark/>
          </w:tcPr>
          <w:p w14:paraId="14A0B2E5" w14:textId="77777777" w:rsidR="0052008D" w:rsidRPr="0052008D" w:rsidRDefault="0052008D" w:rsidP="00E54B8C">
            <w:pPr>
              <w:rPr>
                <w:rFonts w:eastAsia="Times New Roman"/>
                <w:color w:val="000000"/>
              </w:rPr>
            </w:pPr>
            <w:r w:rsidRPr="0052008D">
              <w:rPr>
                <w:rFonts w:eastAsia="Times New Roman"/>
                <w:color w:val="000000"/>
              </w:rPr>
              <w:t xml:space="preserve">Berwick  </w:t>
            </w:r>
          </w:p>
        </w:tc>
        <w:tc>
          <w:tcPr>
            <w:tcW w:w="222" w:type="dxa"/>
            <w:vAlign w:val="center"/>
            <w:hideMark/>
          </w:tcPr>
          <w:p w14:paraId="73FBC2F8" w14:textId="77777777" w:rsidR="0052008D" w:rsidRPr="0052008D" w:rsidRDefault="0052008D" w:rsidP="00E54B8C">
            <w:pPr>
              <w:rPr>
                <w:rFonts w:eastAsia="Times New Roman"/>
              </w:rPr>
            </w:pPr>
          </w:p>
        </w:tc>
      </w:tr>
      <w:tr w:rsidR="0052008D" w:rsidRPr="0052008D" w14:paraId="51C1482C" w14:textId="77777777" w:rsidTr="00465BE3">
        <w:trPr>
          <w:divId w:val="1706442385"/>
          <w:trHeight w:val="1000"/>
        </w:trPr>
        <w:tc>
          <w:tcPr>
            <w:tcW w:w="3402" w:type="dxa"/>
            <w:tcBorders>
              <w:top w:val="nil"/>
              <w:left w:val="nil"/>
              <w:bottom w:val="nil"/>
              <w:right w:val="nil"/>
            </w:tcBorders>
            <w:shd w:val="clear" w:color="000000" w:fill="E6E6E6"/>
            <w:vAlign w:val="center"/>
            <w:hideMark/>
          </w:tcPr>
          <w:p w14:paraId="1B840895" w14:textId="71A30DBB" w:rsidR="0052008D" w:rsidRPr="0052008D" w:rsidRDefault="00D73E8B" w:rsidP="00E54B8C">
            <w:pPr>
              <w:rPr>
                <w:rFonts w:eastAsia="Times New Roman"/>
                <w:color w:val="0563C1"/>
                <w:u w:val="single"/>
              </w:rPr>
            </w:pPr>
            <w:hyperlink r:id="rId100" w:history="1">
              <w:r w:rsidR="0052008D" w:rsidRPr="0052008D">
                <w:rPr>
                  <w:rFonts w:eastAsia="Times New Roman"/>
                  <w:color w:val="0563C1"/>
                  <w:u w:val="single"/>
                </w:rPr>
                <w:t>James Cook University</w:t>
              </w:r>
            </w:hyperlink>
          </w:p>
        </w:tc>
        <w:tc>
          <w:tcPr>
            <w:tcW w:w="4340" w:type="dxa"/>
            <w:tcBorders>
              <w:top w:val="nil"/>
              <w:left w:val="nil"/>
              <w:bottom w:val="nil"/>
              <w:right w:val="nil"/>
            </w:tcBorders>
            <w:shd w:val="clear" w:color="000000" w:fill="E6E6E6"/>
            <w:vAlign w:val="center"/>
            <w:hideMark/>
          </w:tcPr>
          <w:p w14:paraId="334A03C3" w14:textId="529405DD" w:rsidR="0052008D" w:rsidRPr="0052008D" w:rsidRDefault="0052008D" w:rsidP="00E54B8C">
            <w:pPr>
              <w:rPr>
                <w:rFonts w:eastAsia="Times New Roman"/>
                <w:color w:val="000000"/>
              </w:rPr>
            </w:pPr>
            <w:r w:rsidRPr="0052008D">
              <w:rPr>
                <w:rFonts w:eastAsia="Times New Roman"/>
                <w:b/>
                <w:bCs/>
                <w:color w:val="000000"/>
              </w:rPr>
              <w:t>Townsville</w:t>
            </w:r>
            <w:r w:rsidRPr="0052008D">
              <w:rPr>
                <w:rFonts w:eastAsia="Times New Roman"/>
                <w:color w:val="000000"/>
              </w:rPr>
              <w:t>, Cairns, North Queensland, Mackay, Mount Isa</w:t>
            </w:r>
            <w:r>
              <w:rPr>
                <w:rFonts w:eastAsia="Times New Roman"/>
                <w:color w:val="000000"/>
              </w:rPr>
              <w:t>,</w:t>
            </w:r>
            <w:r w:rsidRPr="0052008D">
              <w:rPr>
                <w:rFonts w:eastAsia="Times New Roman"/>
                <w:color w:val="000000"/>
              </w:rPr>
              <w:t xml:space="preserve"> Thursday Island</w:t>
            </w:r>
          </w:p>
        </w:tc>
        <w:tc>
          <w:tcPr>
            <w:tcW w:w="2039" w:type="dxa"/>
            <w:tcBorders>
              <w:top w:val="nil"/>
              <w:left w:val="nil"/>
              <w:bottom w:val="nil"/>
              <w:right w:val="nil"/>
            </w:tcBorders>
            <w:shd w:val="clear" w:color="000000" w:fill="E6E6E6"/>
            <w:vAlign w:val="center"/>
            <w:hideMark/>
          </w:tcPr>
          <w:p w14:paraId="397F1C31" w14:textId="4411E5BE" w:rsidR="0052008D" w:rsidRPr="0052008D" w:rsidRDefault="0052008D" w:rsidP="00E54B8C">
            <w:pPr>
              <w:rPr>
                <w:rFonts w:eastAsia="Times New Roman"/>
                <w:color w:val="000000"/>
              </w:rPr>
            </w:pPr>
            <w:r w:rsidRPr="0052008D">
              <w:rPr>
                <w:rFonts w:eastAsia="Times New Roman"/>
                <w:color w:val="000000"/>
              </w:rPr>
              <w:t>Brisbane, Singapore</w:t>
            </w:r>
          </w:p>
        </w:tc>
        <w:tc>
          <w:tcPr>
            <w:tcW w:w="222" w:type="dxa"/>
            <w:vAlign w:val="center"/>
            <w:hideMark/>
          </w:tcPr>
          <w:p w14:paraId="5C696129" w14:textId="77777777" w:rsidR="0052008D" w:rsidRPr="0052008D" w:rsidRDefault="0052008D" w:rsidP="00E54B8C">
            <w:pPr>
              <w:rPr>
                <w:rFonts w:eastAsia="Times New Roman"/>
              </w:rPr>
            </w:pPr>
          </w:p>
        </w:tc>
      </w:tr>
      <w:tr w:rsidR="0052008D" w:rsidRPr="0052008D" w14:paraId="2B7EFE49" w14:textId="77777777" w:rsidTr="00465BE3">
        <w:trPr>
          <w:divId w:val="1706442385"/>
          <w:trHeight w:val="517"/>
        </w:trPr>
        <w:tc>
          <w:tcPr>
            <w:tcW w:w="3402" w:type="dxa"/>
            <w:tcBorders>
              <w:top w:val="nil"/>
              <w:left w:val="nil"/>
              <w:bottom w:val="nil"/>
              <w:right w:val="nil"/>
            </w:tcBorders>
            <w:shd w:val="clear" w:color="auto" w:fill="auto"/>
            <w:vAlign w:val="center"/>
            <w:hideMark/>
          </w:tcPr>
          <w:p w14:paraId="7EFA977F" w14:textId="77777777" w:rsidR="0052008D" w:rsidRPr="0052008D" w:rsidRDefault="0052008D" w:rsidP="00E54B8C">
            <w:pPr>
              <w:rPr>
                <w:rFonts w:eastAsia="Times New Roman"/>
                <w:color w:val="0563C1"/>
                <w:u w:val="single"/>
              </w:rPr>
            </w:pPr>
            <w:r w:rsidRPr="0052008D">
              <w:rPr>
                <w:rFonts w:eastAsia="Times New Roman"/>
                <w:color w:val="0563C1"/>
                <w:u w:val="single"/>
              </w:rPr>
              <w:t>University of Tasmania</w:t>
            </w:r>
          </w:p>
        </w:tc>
        <w:tc>
          <w:tcPr>
            <w:tcW w:w="4340" w:type="dxa"/>
            <w:tcBorders>
              <w:top w:val="nil"/>
              <w:left w:val="nil"/>
              <w:bottom w:val="nil"/>
              <w:right w:val="nil"/>
            </w:tcBorders>
            <w:shd w:val="clear" w:color="auto" w:fill="auto"/>
            <w:vAlign w:val="center"/>
            <w:hideMark/>
          </w:tcPr>
          <w:p w14:paraId="6E92E955" w14:textId="1E6BB0A7" w:rsidR="0052008D" w:rsidRPr="0052008D" w:rsidRDefault="0052008D" w:rsidP="00E54B8C">
            <w:pPr>
              <w:rPr>
                <w:rFonts w:eastAsia="Times New Roman"/>
                <w:color w:val="000000"/>
              </w:rPr>
            </w:pPr>
            <w:r w:rsidRPr="0052008D">
              <w:rPr>
                <w:rFonts w:eastAsia="Times New Roman"/>
                <w:b/>
                <w:bCs/>
                <w:color w:val="000000"/>
              </w:rPr>
              <w:t>Hobart</w:t>
            </w:r>
            <w:r w:rsidRPr="0052008D">
              <w:rPr>
                <w:rFonts w:eastAsia="Times New Roman"/>
                <w:color w:val="000000"/>
              </w:rPr>
              <w:t>, Launceston, Burnie</w:t>
            </w:r>
          </w:p>
        </w:tc>
        <w:tc>
          <w:tcPr>
            <w:tcW w:w="2039" w:type="dxa"/>
            <w:tcBorders>
              <w:top w:val="nil"/>
              <w:left w:val="nil"/>
              <w:bottom w:val="nil"/>
              <w:right w:val="nil"/>
            </w:tcBorders>
            <w:shd w:val="clear" w:color="auto" w:fill="auto"/>
            <w:vAlign w:val="center"/>
            <w:hideMark/>
          </w:tcPr>
          <w:p w14:paraId="150E4802" w14:textId="77777777" w:rsidR="0052008D" w:rsidRPr="0052008D" w:rsidRDefault="0052008D" w:rsidP="00E54B8C">
            <w:pPr>
              <w:rPr>
                <w:rFonts w:eastAsia="Times New Roman"/>
                <w:color w:val="000000"/>
              </w:rPr>
            </w:pPr>
            <w:r w:rsidRPr="0052008D">
              <w:rPr>
                <w:rFonts w:eastAsia="Times New Roman"/>
                <w:color w:val="000000"/>
              </w:rPr>
              <w:t>Sydney</w:t>
            </w:r>
          </w:p>
        </w:tc>
        <w:tc>
          <w:tcPr>
            <w:tcW w:w="222" w:type="dxa"/>
            <w:vAlign w:val="center"/>
            <w:hideMark/>
          </w:tcPr>
          <w:p w14:paraId="5FED3E61" w14:textId="77777777" w:rsidR="0052008D" w:rsidRPr="0052008D" w:rsidRDefault="0052008D" w:rsidP="00E54B8C">
            <w:pPr>
              <w:rPr>
                <w:rFonts w:eastAsia="Times New Roman"/>
              </w:rPr>
            </w:pPr>
          </w:p>
        </w:tc>
      </w:tr>
      <w:tr w:rsidR="0052008D" w:rsidRPr="0052008D" w14:paraId="5DA8630B" w14:textId="77777777" w:rsidTr="00465BE3">
        <w:trPr>
          <w:divId w:val="1706442385"/>
          <w:trHeight w:val="903"/>
        </w:trPr>
        <w:tc>
          <w:tcPr>
            <w:tcW w:w="3402" w:type="dxa"/>
            <w:tcBorders>
              <w:top w:val="nil"/>
              <w:left w:val="nil"/>
              <w:bottom w:val="single" w:sz="8" w:space="0" w:color="4B0885"/>
              <w:right w:val="nil"/>
            </w:tcBorders>
            <w:shd w:val="clear" w:color="000000" w:fill="E6E6E6"/>
            <w:vAlign w:val="center"/>
            <w:hideMark/>
          </w:tcPr>
          <w:p w14:paraId="41EDF157" w14:textId="77777777" w:rsidR="0052008D" w:rsidRPr="0052008D" w:rsidRDefault="0052008D" w:rsidP="00E54B8C">
            <w:pPr>
              <w:rPr>
                <w:rFonts w:eastAsia="Times New Roman"/>
                <w:color w:val="0563C1"/>
                <w:u w:val="single"/>
              </w:rPr>
            </w:pPr>
            <w:r w:rsidRPr="0052008D">
              <w:rPr>
                <w:rFonts w:eastAsia="Times New Roman"/>
                <w:color w:val="0563C1"/>
                <w:u w:val="single"/>
              </w:rPr>
              <w:t>Charles Darwin University</w:t>
            </w:r>
          </w:p>
        </w:tc>
        <w:tc>
          <w:tcPr>
            <w:tcW w:w="4340" w:type="dxa"/>
            <w:tcBorders>
              <w:top w:val="nil"/>
              <w:left w:val="nil"/>
              <w:bottom w:val="single" w:sz="8" w:space="0" w:color="4B0885"/>
              <w:right w:val="nil"/>
            </w:tcBorders>
            <w:shd w:val="clear" w:color="000000" w:fill="E6E6E6"/>
            <w:vAlign w:val="center"/>
            <w:hideMark/>
          </w:tcPr>
          <w:p w14:paraId="605060A2" w14:textId="77777777" w:rsidR="0052008D" w:rsidRPr="0052008D" w:rsidRDefault="0052008D" w:rsidP="00E54B8C">
            <w:pPr>
              <w:rPr>
                <w:rFonts w:eastAsia="Times New Roman"/>
                <w:color w:val="000000"/>
              </w:rPr>
            </w:pPr>
            <w:r w:rsidRPr="0052008D">
              <w:rPr>
                <w:rFonts w:eastAsia="Times New Roman"/>
                <w:b/>
                <w:bCs/>
                <w:color w:val="000000"/>
              </w:rPr>
              <w:t>Darwin</w:t>
            </w:r>
            <w:r w:rsidRPr="0052008D">
              <w:rPr>
                <w:rFonts w:eastAsia="Times New Roman"/>
                <w:color w:val="000000"/>
              </w:rPr>
              <w:t>, Brinkin, Palmerston, Katherine, Alice Springs</w:t>
            </w:r>
          </w:p>
        </w:tc>
        <w:tc>
          <w:tcPr>
            <w:tcW w:w="2039" w:type="dxa"/>
            <w:tcBorders>
              <w:top w:val="nil"/>
              <w:left w:val="nil"/>
              <w:bottom w:val="single" w:sz="8" w:space="0" w:color="4B0885"/>
              <w:right w:val="nil"/>
            </w:tcBorders>
            <w:shd w:val="clear" w:color="000000" w:fill="E6E6E6"/>
            <w:vAlign w:val="center"/>
            <w:hideMark/>
          </w:tcPr>
          <w:p w14:paraId="06981261" w14:textId="77777777" w:rsidR="0052008D" w:rsidRPr="0052008D" w:rsidRDefault="0052008D" w:rsidP="00E54B8C">
            <w:pPr>
              <w:rPr>
                <w:rFonts w:eastAsia="Times New Roman"/>
                <w:color w:val="000000"/>
              </w:rPr>
            </w:pPr>
            <w:r w:rsidRPr="0052008D">
              <w:rPr>
                <w:rFonts w:eastAsia="Times New Roman"/>
                <w:color w:val="000000"/>
              </w:rPr>
              <w:t>Sydney</w:t>
            </w:r>
          </w:p>
        </w:tc>
        <w:tc>
          <w:tcPr>
            <w:tcW w:w="222" w:type="dxa"/>
            <w:vAlign w:val="center"/>
            <w:hideMark/>
          </w:tcPr>
          <w:p w14:paraId="1305B974" w14:textId="77777777" w:rsidR="0052008D" w:rsidRPr="0052008D" w:rsidRDefault="0052008D" w:rsidP="00E54B8C">
            <w:pPr>
              <w:rPr>
                <w:rFonts w:eastAsia="Times New Roman"/>
              </w:rPr>
            </w:pPr>
          </w:p>
        </w:tc>
      </w:tr>
    </w:tbl>
    <w:p w14:paraId="188A1E9D" w14:textId="77777777" w:rsidR="00465BE3" w:rsidRPr="00465BE3" w:rsidRDefault="0052008D" w:rsidP="004C75F1">
      <w:pPr>
        <w:rPr>
          <w:sz w:val="16"/>
          <w:szCs w:val="16"/>
        </w:rPr>
      </w:pPr>
      <w:r>
        <w:fldChar w:fldCharType="end"/>
      </w:r>
    </w:p>
    <w:p w14:paraId="63C5241D" w14:textId="5BF31C1B" w:rsidR="0092452D" w:rsidRDefault="0092452D" w:rsidP="004C75F1">
      <w:r w:rsidRPr="0099288C">
        <w:t xml:space="preserve">Many </w:t>
      </w:r>
      <w:r w:rsidR="00D62DF0">
        <w:t>metropolitan</w:t>
      </w:r>
      <w:r w:rsidRPr="0099288C">
        <w:t>-based universities also have regional campuses</w:t>
      </w:r>
      <w:r>
        <w:t>. For example:</w:t>
      </w:r>
    </w:p>
    <w:p w14:paraId="26000584" w14:textId="77777777" w:rsidR="0092452D" w:rsidRPr="006E7A8D" w:rsidRDefault="00D73E8B" w:rsidP="00465BE3">
      <w:pPr>
        <w:pStyle w:val="ListBullet"/>
        <w:rPr>
          <w:rFonts w:asciiTheme="minorHAnsi" w:hAnsiTheme="minorHAnsi"/>
          <w:color w:val="222222"/>
        </w:rPr>
      </w:pPr>
      <w:hyperlink r:id="rId101" w:history="1">
        <w:r w:rsidR="0092452D" w:rsidRPr="006E7A8D">
          <w:rPr>
            <w:rStyle w:val="Hyperlink"/>
            <w:rFonts w:asciiTheme="minorHAnsi" w:hAnsiTheme="minorHAnsi" w:cstheme="minorBidi"/>
            <w:szCs w:val="22"/>
          </w:rPr>
          <w:t>University of Western Australia</w:t>
        </w:r>
      </w:hyperlink>
      <w:r w:rsidR="0092452D" w:rsidRPr="006E7A8D">
        <w:rPr>
          <w:rFonts w:asciiTheme="minorHAnsi" w:hAnsiTheme="minorHAnsi"/>
          <w:color w:val="222222"/>
        </w:rPr>
        <w:t xml:space="preserve"> </w:t>
      </w:r>
      <w:r w:rsidR="0092452D" w:rsidRPr="004C75F1">
        <w:t>based in Perth has a regional campus in Albany.</w:t>
      </w:r>
    </w:p>
    <w:p w14:paraId="69E0708B" w14:textId="77777777" w:rsidR="0092452D" w:rsidRPr="006E7A8D" w:rsidRDefault="00D73E8B" w:rsidP="00465BE3">
      <w:pPr>
        <w:pStyle w:val="ListBullet"/>
        <w:rPr>
          <w:rFonts w:asciiTheme="minorHAnsi" w:hAnsiTheme="minorHAnsi"/>
          <w:color w:val="222222"/>
        </w:rPr>
      </w:pPr>
      <w:hyperlink r:id="rId102" w:anchor=":~:text=UniSA%20has%20four%20metropolitan%20campuses,in%20Whyalla%20and%20Mount%20Gambier.">
        <w:r w:rsidR="0092452D" w:rsidRPr="006E7A8D">
          <w:rPr>
            <w:rStyle w:val="Hyperlink"/>
            <w:rFonts w:asciiTheme="minorHAnsi" w:hAnsiTheme="minorHAnsi" w:cstheme="minorBidi"/>
            <w:szCs w:val="22"/>
          </w:rPr>
          <w:t>University of South Australia</w:t>
        </w:r>
      </w:hyperlink>
      <w:r w:rsidR="0092452D" w:rsidRPr="006E7A8D">
        <w:rPr>
          <w:rFonts w:asciiTheme="minorHAnsi" w:hAnsiTheme="minorHAnsi"/>
          <w:color w:val="222222"/>
        </w:rPr>
        <w:t xml:space="preserve"> </w:t>
      </w:r>
      <w:r w:rsidR="0092452D" w:rsidRPr="004C75F1">
        <w:t>has two campuses in Adeliade and regional campuses in Mount Gambier and Whyalla.</w:t>
      </w:r>
      <w:r w:rsidR="0092452D" w:rsidRPr="006E7A8D">
        <w:rPr>
          <w:rFonts w:asciiTheme="minorHAnsi" w:hAnsiTheme="minorHAnsi"/>
          <w:color w:val="222222"/>
        </w:rPr>
        <w:t xml:space="preserve"> </w:t>
      </w:r>
    </w:p>
    <w:p w14:paraId="55ABD3F9" w14:textId="502DB257" w:rsidR="00D86B2A" w:rsidRPr="006E7A8D" w:rsidRDefault="00D73E8B" w:rsidP="00465BE3">
      <w:pPr>
        <w:pStyle w:val="ListBullet"/>
        <w:rPr>
          <w:rFonts w:asciiTheme="minorHAnsi" w:hAnsiTheme="minorHAnsi"/>
          <w:color w:val="222222"/>
        </w:rPr>
      </w:pPr>
      <w:hyperlink r:id="rId103" w:history="1">
        <w:r w:rsidR="00D86B2A" w:rsidRPr="006E7A8D">
          <w:rPr>
            <w:rStyle w:val="Hyperlink"/>
            <w:rFonts w:asciiTheme="minorHAnsi" w:hAnsiTheme="minorHAnsi" w:cstheme="minorBidi"/>
            <w:szCs w:val="22"/>
          </w:rPr>
          <w:t>Flinders University</w:t>
        </w:r>
      </w:hyperlink>
      <w:r w:rsidR="00D86B2A" w:rsidRPr="006E7A8D">
        <w:rPr>
          <w:rFonts w:asciiTheme="minorHAnsi" w:hAnsiTheme="minorHAnsi"/>
          <w:color w:val="222222"/>
        </w:rPr>
        <w:t xml:space="preserve"> </w:t>
      </w:r>
      <w:r w:rsidR="00D86B2A" w:rsidRPr="004C75F1">
        <w:t>based in Adeliade</w:t>
      </w:r>
      <w:r w:rsidR="006923B4" w:rsidRPr="004C75F1">
        <w:t xml:space="preserve"> has </w:t>
      </w:r>
      <w:r w:rsidR="00C85D37" w:rsidRPr="004C75F1">
        <w:t xml:space="preserve">campuses in </w:t>
      </w:r>
      <w:r w:rsidR="006923B4" w:rsidRPr="004C75F1">
        <w:t xml:space="preserve">regional </w:t>
      </w:r>
      <w:r w:rsidR="00C85D37" w:rsidRPr="004C75F1">
        <w:t>South Australia</w:t>
      </w:r>
      <w:r w:rsidR="006923B4" w:rsidRPr="004C75F1">
        <w:t xml:space="preserve"> </w:t>
      </w:r>
      <w:r w:rsidR="00C85D37" w:rsidRPr="004C75F1">
        <w:t>at Barossa Valley, Berri, Mount Gambier, Murray Bridge, Renmark and Victor Har</w:t>
      </w:r>
      <w:r w:rsidR="002609DC" w:rsidRPr="004C75F1">
        <w:t>bour</w:t>
      </w:r>
      <w:r w:rsidR="00232E5C" w:rsidRPr="004C75F1">
        <w:t xml:space="preserve">, </w:t>
      </w:r>
      <w:r w:rsidR="00AD42B5" w:rsidRPr="004C75F1">
        <w:t>and</w:t>
      </w:r>
      <w:r w:rsidR="00176131" w:rsidRPr="004C75F1">
        <w:t xml:space="preserve"> </w:t>
      </w:r>
      <w:r w:rsidR="009A5658" w:rsidRPr="004C75F1">
        <w:t>medical specialist and rural generalist training</w:t>
      </w:r>
      <w:r w:rsidR="00C60BCD" w:rsidRPr="004C75F1">
        <w:t xml:space="preserve"> at sites</w:t>
      </w:r>
      <w:r w:rsidR="00AD42B5" w:rsidRPr="004C75F1">
        <w:t xml:space="preserve"> in the Northern Territory</w:t>
      </w:r>
      <w:r w:rsidR="00176131" w:rsidRPr="006E7A8D">
        <w:rPr>
          <w:rFonts w:asciiTheme="minorHAnsi" w:hAnsiTheme="minorHAnsi"/>
          <w:color w:val="222222"/>
        </w:rPr>
        <w:t>.</w:t>
      </w:r>
    </w:p>
    <w:p w14:paraId="624A6B4C" w14:textId="7A322204" w:rsidR="0092452D" w:rsidRPr="004C75F1" w:rsidRDefault="0092452D" w:rsidP="00465BE3">
      <w:pPr>
        <w:pStyle w:val="ListBullet"/>
      </w:pPr>
      <w:r w:rsidRPr="004C75F1">
        <w:t xml:space="preserve">Victorian metropolitan based universities </w:t>
      </w:r>
      <w:r w:rsidR="00B1023D" w:rsidRPr="004C75F1">
        <w:t>such as</w:t>
      </w:r>
      <w:r w:rsidR="00B1023D" w:rsidRPr="006E7A8D">
        <w:rPr>
          <w:rFonts w:asciiTheme="minorHAnsi" w:hAnsiTheme="minorHAnsi"/>
          <w:color w:val="222222"/>
        </w:rPr>
        <w:t xml:space="preserve"> </w:t>
      </w:r>
      <w:hyperlink r:id="rId104" w:history="1">
        <w:r w:rsidR="00B1023D" w:rsidRPr="006E7A8D">
          <w:rPr>
            <w:rStyle w:val="Hyperlink"/>
            <w:rFonts w:asciiTheme="minorHAnsi" w:hAnsiTheme="minorHAnsi" w:cstheme="minorBidi"/>
            <w:szCs w:val="22"/>
          </w:rPr>
          <w:t>Deakin University</w:t>
        </w:r>
      </w:hyperlink>
      <w:r w:rsidR="003D7DB1" w:rsidRPr="006E7A8D">
        <w:rPr>
          <w:rFonts w:asciiTheme="minorHAnsi" w:hAnsiTheme="minorHAnsi"/>
          <w:color w:val="222222"/>
        </w:rPr>
        <w:t xml:space="preserve">, </w:t>
      </w:r>
      <w:hyperlink r:id="rId105" w:history="1">
        <w:r w:rsidR="003D7DB1" w:rsidRPr="006E7A8D">
          <w:rPr>
            <w:rStyle w:val="Hyperlink"/>
            <w:rFonts w:asciiTheme="minorHAnsi" w:hAnsiTheme="minorHAnsi" w:cstheme="minorBidi"/>
            <w:szCs w:val="22"/>
          </w:rPr>
          <w:t>La Trobe University</w:t>
        </w:r>
      </w:hyperlink>
      <w:r w:rsidR="003D7DB1" w:rsidRPr="006E7A8D">
        <w:rPr>
          <w:rFonts w:asciiTheme="minorHAnsi" w:hAnsiTheme="minorHAnsi"/>
          <w:color w:val="222222"/>
        </w:rPr>
        <w:t xml:space="preserve">, </w:t>
      </w:r>
      <w:r w:rsidRPr="004C75F1">
        <w:t xml:space="preserve">have campuses in </w:t>
      </w:r>
      <w:r w:rsidR="00826878" w:rsidRPr="004C75F1">
        <w:t xml:space="preserve">locations such as </w:t>
      </w:r>
      <w:r w:rsidRPr="004C75F1">
        <w:t>Geelong, Bendigo, Ballarat, Mildura, Albury-Wodonga</w:t>
      </w:r>
      <w:r w:rsidR="007A66AC" w:rsidRPr="004C75F1">
        <w:t>, War</w:t>
      </w:r>
      <w:r w:rsidR="00B1023D" w:rsidRPr="004C75F1">
        <w:t>rnambool</w:t>
      </w:r>
      <w:r w:rsidRPr="004C75F1">
        <w:t xml:space="preserve"> and Shepparton. </w:t>
      </w:r>
    </w:p>
    <w:p w14:paraId="7A0AD7F2" w14:textId="21E4371B" w:rsidR="00676084" w:rsidRPr="00D94374" w:rsidRDefault="00676084" w:rsidP="006E7A8D">
      <w:pPr>
        <w:rPr>
          <w:rFonts w:asciiTheme="minorHAnsi" w:hAnsiTheme="minorHAnsi"/>
          <w:color w:val="222222"/>
        </w:rPr>
      </w:pPr>
      <w:r w:rsidRPr="004C75F1">
        <w:t>In New South Wales, the</w:t>
      </w:r>
      <w:r w:rsidRPr="00D94374">
        <w:rPr>
          <w:rFonts w:asciiTheme="minorHAnsi" w:hAnsiTheme="minorHAnsi"/>
          <w:color w:val="222222"/>
        </w:rPr>
        <w:t xml:space="preserve"> </w:t>
      </w:r>
      <w:hyperlink r:id="rId106" w:history="1">
        <w:r w:rsidRPr="00D94374">
          <w:rPr>
            <w:rStyle w:val="Hyperlink"/>
            <w:rFonts w:asciiTheme="minorHAnsi" w:hAnsiTheme="minorHAnsi"/>
          </w:rPr>
          <w:t>University of Wollongong</w:t>
        </w:r>
      </w:hyperlink>
      <w:r w:rsidR="00F17D51" w:rsidRPr="00D94374">
        <w:rPr>
          <w:rFonts w:asciiTheme="minorHAnsi" w:hAnsiTheme="minorHAnsi"/>
          <w:color w:val="222222"/>
        </w:rPr>
        <w:t xml:space="preserve"> </w:t>
      </w:r>
      <w:r w:rsidR="00F17D51" w:rsidRPr="004C75F1">
        <w:t xml:space="preserve">has </w:t>
      </w:r>
      <w:r w:rsidR="00583BD0" w:rsidRPr="004C75F1">
        <w:t xml:space="preserve">regional campuses at </w:t>
      </w:r>
      <w:r w:rsidR="00A6575A" w:rsidRPr="004C75F1">
        <w:t>Eurobodalla, Bega Valley</w:t>
      </w:r>
      <w:r w:rsidR="00583BD0" w:rsidRPr="004C75F1">
        <w:t>,</w:t>
      </w:r>
      <w:r w:rsidR="005D4F90" w:rsidRPr="004C75F1">
        <w:t xml:space="preserve"> </w:t>
      </w:r>
      <w:r w:rsidR="00A6575A" w:rsidRPr="004C75F1">
        <w:t>Nowra</w:t>
      </w:r>
      <w:r w:rsidR="00583BD0" w:rsidRPr="004C75F1">
        <w:t xml:space="preserve"> and the</w:t>
      </w:r>
      <w:r w:rsidR="005D4F90" w:rsidRPr="004C75F1">
        <w:t xml:space="preserve"> </w:t>
      </w:r>
      <w:r w:rsidR="00A6575A" w:rsidRPr="004C75F1">
        <w:t>Moss Vale</w:t>
      </w:r>
      <w:r w:rsidR="00D94374" w:rsidRPr="004C75F1">
        <w:t>, while</w:t>
      </w:r>
      <w:r w:rsidR="000872BD" w:rsidRPr="004C75F1">
        <w:t xml:space="preserve"> t</w:t>
      </w:r>
      <w:r w:rsidR="003C2BC5" w:rsidRPr="004C75F1">
        <w:t xml:space="preserve">he </w:t>
      </w:r>
      <w:hyperlink r:id="rId107" w:history="1">
        <w:r w:rsidR="003C2BC5" w:rsidRPr="00450729">
          <w:rPr>
            <w:rStyle w:val="Hyperlink"/>
            <w:rFonts w:asciiTheme="minorHAnsi" w:hAnsiTheme="minorHAnsi"/>
          </w:rPr>
          <w:t>University of Newcastle</w:t>
        </w:r>
      </w:hyperlink>
      <w:r w:rsidR="00D94374">
        <w:rPr>
          <w:rFonts w:asciiTheme="minorHAnsi" w:hAnsiTheme="minorHAnsi"/>
          <w:color w:val="222222"/>
        </w:rPr>
        <w:t xml:space="preserve"> </w:t>
      </w:r>
      <w:r w:rsidR="006729D5" w:rsidRPr="004C75F1">
        <w:t>has</w:t>
      </w:r>
      <w:r w:rsidR="00C566E1" w:rsidRPr="004C75F1">
        <w:t xml:space="preserve"> </w:t>
      </w:r>
      <w:r w:rsidR="00D94374" w:rsidRPr="004C75F1">
        <w:t xml:space="preserve">two </w:t>
      </w:r>
      <w:r w:rsidR="00C566E1" w:rsidRPr="004C75F1">
        <w:t>campus</w:t>
      </w:r>
      <w:r w:rsidR="00B12B35" w:rsidRPr="004C75F1">
        <w:t xml:space="preserve">es </w:t>
      </w:r>
      <w:r w:rsidR="00C6097B" w:rsidRPr="004C75F1">
        <w:t>in the</w:t>
      </w:r>
      <w:r w:rsidR="00D94374" w:rsidRPr="004C75F1">
        <w:t xml:space="preserve"> C</w:t>
      </w:r>
      <w:r w:rsidR="00B12B35" w:rsidRPr="004C75F1">
        <w:t xml:space="preserve">entral Coast </w:t>
      </w:r>
      <w:r w:rsidR="00C6097B" w:rsidRPr="004C75F1">
        <w:t xml:space="preserve">region and </w:t>
      </w:r>
      <w:r w:rsidR="000872BD" w:rsidRPr="004C75F1">
        <w:t>specialist medical facilit</w:t>
      </w:r>
      <w:r w:rsidR="00C6097B" w:rsidRPr="004C75F1">
        <w:t>ies</w:t>
      </w:r>
      <w:r w:rsidR="000872BD" w:rsidRPr="004C75F1">
        <w:t xml:space="preserve"> at </w:t>
      </w:r>
      <w:r w:rsidR="00C03F38" w:rsidRPr="004C75F1">
        <w:t>Tamworth, Armidale</w:t>
      </w:r>
      <w:r w:rsidR="000124D1" w:rsidRPr="004C75F1">
        <w:t>, Moree</w:t>
      </w:r>
      <w:r w:rsidR="00B3491E" w:rsidRPr="004C75F1">
        <w:t xml:space="preserve"> and at</w:t>
      </w:r>
      <w:r w:rsidR="00C03F38">
        <w:rPr>
          <w:rFonts w:asciiTheme="minorHAnsi" w:hAnsiTheme="minorHAnsi"/>
          <w:color w:val="222222"/>
        </w:rPr>
        <w:t xml:space="preserve"> </w:t>
      </w:r>
      <w:hyperlink w:anchor="_Access_to_and" w:history="1">
        <w:r w:rsidR="000872BD" w:rsidRPr="00B3491E">
          <w:rPr>
            <w:rStyle w:val="Hyperlink"/>
            <w:rFonts w:asciiTheme="minorHAnsi" w:hAnsiTheme="minorHAnsi"/>
          </w:rPr>
          <w:t xml:space="preserve">Port </w:t>
        </w:r>
        <w:r w:rsidR="00C6097B" w:rsidRPr="00B3491E">
          <w:rPr>
            <w:rStyle w:val="Hyperlink"/>
            <w:rFonts w:asciiTheme="minorHAnsi" w:hAnsiTheme="minorHAnsi"/>
          </w:rPr>
          <w:t>Macquarie, Coffs Harbour and Taree</w:t>
        </w:r>
        <w:r w:rsidR="000872BD" w:rsidRPr="00B3491E">
          <w:rPr>
            <w:rStyle w:val="Hyperlink"/>
            <w:rFonts w:asciiTheme="minorHAnsi" w:hAnsiTheme="minorHAnsi"/>
          </w:rPr>
          <w:t xml:space="preserve"> </w:t>
        </w:r>
        <w:r w:rsidR="00B3491E" w:rsidRPr="00B3491E">
          <w:rPr>
            <w:rStyle w:val="Hyperlink"/>
            <w:rFonts w:asciiTheme="minorHAnsi" w:hAnsiTheme="minorHAnsi"/>
          </w:rPr>
          <w:t xml:space="preserve">on </w:t>
        </w:r>
        <w:r w:rsidR="000872BD" w:rsidRPr="00B3491E">
          <w:rPr>
            <w:rStyle w:val="Hyperlink"/>
            <w:rFonts w:asciiTheme="minorHAnsi" w:hAnsiTheme="minorHAnsi"/>
          </w:rPr>
          <w:t>the Mid North Coast</w:t>
        </w:r>
      </w:hyperlink>
      <w:r w:rsidR="00C03F38">
        <w:rPr>
          <w:rFonts w:asciiTheme="minorHAnsi" w:hAnsiTheme="minorHAnsi"/>
          <w:color w:val="222222"/>
        </w:rPr>
        <w:t>.</w:t>
      </w:r>
      <w:r w:rsidR="006729D5" w:rsidRPr="00D94374">
        <w:rPr>
          <w:rFonts w:asciiTheme="minorHAnsi" w:hAnsiTheme="minorHAnsi"/>
          <w:color w:val="222222"/>
        </w:rPr>
        <w:t xml:space="preserve"> </w:t>
      </w:r>
      <w:r w:rsidR="003C2BC5" w:rsidRPr="00D94374">
        <w:rPr>
          <w:rFonts w:asciiTheme="minorHAnsi" w:hAnsiTheme="minorHAnsi"/>
          <w:color w:val="222222"/>
        </w:rPr>
        <w:t xml:space="preserve"> </w:t>
      </w:r>
    </w:p>
    <w:p w14:paraId="213E989F" w14:textId="22552FA8" w:rsidR="001D10DA" w:rsidRPr="004C75F1" w:rsidRDefault="0092452D" w:rsidP="004C75F1">
      <w:pPr>
        <w:rPr>
          <w:rFonts w:asciiTheme="minorHAnsi" w:hAnsiTheme="minorHAnsi" w:cstheme="minorHAnsi"/>
          <w:color w:val="222222"/>
        </w:rPr>
      </w:pPr>
      <w:r w:rsidRPr="004C75F1">
        <w:rPr>
          <w:rFonts w:asciiTheme="minorHAnsi" w:hAnsiTheme="minorHAnsi" w:cstheme="minorHAnsi"/>
        </w:rPr>
        <w:t>Although there are many regional university campuses across the nation, the majority are located in major regional centres, which for many students living in remote and very remote locations are still a considerable distance away.</w:t>
      </w:r>
      <w:r w:rsidR="00DC5063" w:rsidRPr="004C75F1">
        <w:rPr>
          <w:rFonts w:asciiTheme="minorHAnsi" w:hAnsiTheme="minorHAnsi" w:cstheme="minorHAnsi"/>
        </w:rPr>
        <w:t xml:space="preserve"> </w:t>
      </w:r>
      <w:r w:rsidR="00DE31E0" w:rsidRPr="004C75F1">
        <w:rPr>
          <w:rFonts w:asciiTheme="minorHAnsi" w:hAnsiTheme="minorHAnsi" w:cstheme="minorHAnsi"/>
        </w:rPr>
        <w:t>Al</w:t>
      </w:r>
      <w:r w:rsidR="0060402D" w:rsidRPr="004C75F1">
        <w:rPr>
          <w:rFonts w:asciiTheme="minorHAnsi" w:hAnsiTheme="minorHAnsi" w:cstheme="minorHAnsi"/>
        </w:rPr>
        <w:t xml:space="preserve">most all </w:t>
      </w:r>
      <w:r w:rsidR="00F76830" w:rsidRPr="004C75F1">
        <w:rPr>
          <w:rFonts w:asciiTheme="minorHAnsi" w:hAnsiTheme="minorHAnsi" w:cstheme="minorHAnsi"/>
        </w:rPr>
        <w:t xml:space="preserve">Australian universities offer </w:t>
      </w:r>
      <w:r w:rsidR="00AF5344" w:rsidRPr="004C75F1">
        <w:rPr>
          <w:rFonts w:asciiTheme="minorHAnsi" w:hAnsiTheme="minorHAnsi" w:cstheme="minorHAnsi"/>
        </w:rPr>
        <w:t xml:space="preserve">some form of </w:t>
      </w:r>
      <w:r w:rsidR="00F76830" w:rsidRPr="004C75F1">
        <w:rPr>
          <w:rFonts w:asciiTheme="minorHAnsi" w:hAnsiTheme="minorHAnsi" w:cstheme="minorHAnsi"/>
        </w:rPr>
        <w:t xml:space="preserve">flexible </w:t>
      </w:r>
      <w:r w:rsidR="00AF5344" w:rsidRPr="004C75F1">
        <w:rPr>
          <w:rFonts w:asciiTheme="minorHAnsi" w:hAnsiTheme="minorHAnsi" w:cstheme="minorHAnsi"/>
        </w:rPr>
        <w:t>or</w:t>
      </w:r>
      <w:r w:rsidR="00F76830" w:rsidRPr="004C75F1">
        <w:rPr>
          <w:rFonts w:asciiTheme="minorHAnsi" w:hAnsiTheme="minorHAnsi" w:cstheme="minorHAnsi"/>
        </w:rPr>
        <w:t xml:space="preserve"> online learning delivery option</w:t>
      </w:r>
      <w:r w:rsidR="00AF5344" w:rsidRPr="004C75F1">
        <w:rPr>
          <w:rFonts w:asciiTheme="minorHAnsi" w:hAnsiTheme="minorHAnsi" w:cstheme="minorHAnsi"/>
        </w:rPr>
        <w:t xml:space="preserve">, and even prior to the </w:t>
      </w:r>
      <w:r w:rsidR="0031741D">
        <w:rPr>
          <w:rFonts w:asciiTheme="minorHAnsi" w:hAnsiTheme="minorHAnsi" w:cstheme="minorHAnsi"/>
        </w:rPr>
        <w:t>COVID-19 p</w:t>
      </w:r>
      <w:r w:rsidR="00AF5344" w:rsidRPr="004C75F1">
        <w:rPr>
          <w:rFonts w:asciiTheme="minorHAnsi" w:hAnsiTheme="minorHAnsi" w:cstheme="minorHAnsi"/>
        </w:rPr>
        <w:t xml:space="preserve">andemic </w:t>
      </w:r>
      <w:r w:rsidR="006A239B" w:rsidRPr="004C75F1">
        <w:rPr>
          <w:rFonts w:asciiTheme="minorHAnsi" w:hAnsiTheme="minorHAnsi" w:cstheme="minorHAnsi"/>
        </w:rPr>
        <w:t>one in four university students were completing some study online</w:t>
      </w:r>
      <w:r w:rsidR="00F76830" w:rsidRPr="004C75F1">
        <w:rPr>
          <w:rFonts w:asciiTheme="minorHAnsi" w:hAnsiTheme="minorHAnsi" w:cstheme="minorHAnsi"/>
        </w:rPr>
        <w:t>.</w:t>
      </w:r>
      <w:r w:rsidR="00F76830" w:rsidRPr="004C75F1">
        <w:rPr>
          <w:rStyle w:val="FootnoteReference"/>
          <w:rFonts w:asciiTheme="minorHAnsi" w:hAnsiTheme="minorHAnsi" w:cstheme="minorHAnsi"/>
        </w:rPr>
        <w:footnoteReference w:id="59"/>
      </w:r>
      <w:r w:rsidR="00784EF8" w:rsidRPr="004C75F1">
        <w:rPr>
          <w:rFonts w:asciiTheme="minorHAnsi" w:hAnsiTheme="minorHAnsi" w:cstheme="minorHAnsi"/>
        </w:rPr>
        <w:t xml:space="preserve"> </w:t>
      </w:r>
      <w:r w:rsidR="00DE31E0" w:rsidRPr="004C75F1">
        <w:rPr>
          <w:rFonts w:asciiTheme="minorHAnsi" w:hAnsiTheme="minorHAnsi" w:cstheme="minorHAnsi"/>
        </w:rPr>
        <w:t>However</w:t>
      </w:r>
      <w:r w:rsidR="00784EF8" w:rsidRPr="004C75F1">
        <w:rPr>
          <w:rFonts w:asciiTheme="minorHAnsi" w:hAnsiTheme="minorHAnsi" w:cstheme="minorHAnsi"/>
          <w:color w:val="222222"/>
        </w:rPr>
        <w:t>, many students from regional and remote areas relocate to study</w:t>
      </w:r>
      <w:r w:rsidR="003A0CB5">
        <w:rPr>
          <w:rFonts w:asciiTheme="minorHAnsi" w:hAnsiTheme="minorHAnsi" w:cstheme="minorHAnsi"/>
          <w:color w:val="222222"/>
        </w:rPr>
        <w:t>, and the extent to which this happens presents an opportunity to explore further</w:t>
      </w:r>
      <w:r w:rsidR="00784EF8" w:rsidRPr="004C75F1">
        <w:rPr>
          <w:rFonts w:asciiTheme="minorHAnsi" w:hAnsiTheme="minorHAnsi" w:cstheme="minorHAnsi"/>
          <w:color w:val="222222"/>
        </w:rPr>
        <w:t>.</w:t>
      </w:r>
      <w:r w:rsidR="001F7D35" w:rsidRPr="004C75F1">
        <w:rPr>
          <w:rFonts w:asciiTheme="minorHAnsi" w:hAnsiTheme="minorHAnsi" w:cstheme="minorHAnsi"/>
          <w:color w:val="222222"/>
        </w:rPr>
        <w:t xml:space="preserve"> </w:t>
      </w:r>
    </w:p>
    <w:p w14:paraId="023357E7" w14:textId="726F1337" w:rsidR="002A37CA" w:rsidRPr="004C75F1" w:rsidRDefault="003F1659" w:rsidP="004C75F1">
      <w:pPr>
        <w:rPr>
          <w:rFonts w:asciiTheme="minorHAnsi" w:hAnsiTheme="minorHAnsi"/>
        </w:rPr>
      </w:pPr>
      <w:r w:rsidRPr="54670B19">
        <w:rPr>
          <w:rFonts w:asciiTheme="minorHAnsi" w:hAnsiTheme="minorHAnsi"/>
        </w:rPr>
        <w:t>Across all univer</w:t>
      </w:r>
      <w:r w:rsidR="00C11FA0" w:rsidRPr="54670B19">
        <w:rPr>
          <w:rFonts w:asciiTheme="minorHAnsi" w:hAnsiTheme="minorHAnsi"/>
        </w:rPr>
        <w:t>sities nationally</w:t>
      </w:r>
      <w:r w:rsidR="004C75F1" w:rsidRPr="54670B19">
        <w:rPr>
          <w:rFonts w:asciiTheme="minorHAnsi" w:hAnsiTheme="minorHAnsi"/>
        </w:rPr>
        <w:t xml:space="preserve"> in 2022</w:t>
      </w:r>
      <w:r w:rsidR="00C11FA0" w:rsidRPr="54670B19">
        <w:rPr>
          <w:rFonts w:asciiTheme="minorHAnsi" w:hAnsiTheme="minorHAnsi"/>
        </w:rPr>
        <w:t>, some 19</w:t>
      </w:r>
      <w:r w:rsidR="5CE3C3E0" w:rsidRPr="0691A701">
        <w:rPr>
          <w:rFonts w:asciiTheme="minorHAnsi" w:hAnsiTheme="minorHAnsi"/>
        </w:rPr>
        <w:t>%</w:t>
      </w:r>
      <w:r w:rsidR="00C11FA0" w:rsidRPr="54670B19">
        <w:rPr>
          <w:rFonts w:asciiTheme="minorHAnsi" w:hAnsiTheme="minorHAnsi"/>
        </w:rPr>
        <w:t xml:space="preserve"> of </w:t>
      </w:r>
      <w:r w:rsidR="009542CD" w:rsidRPr="54670B19">
        <w:rPr>
          <w:rFonts w:asciiTheme="minorHAnsi" w:hAnsiTheme="minorHAnsi"/>
        </w:rPr>
        <w:t xml:space="preserve">all domestic </w:t>
      </w:r>
      <w:r w:rsidR="00C11FA0" w:rsidRPr="54670B19">
        <w:rPr>
          <w:rFonts w:asciiTheme="minorHAnsi" w:hAnsiTheme="minorHAnsi"/>
        </w:rPr>
        <w:t xml:space="preserve">students are from regional and remote areas based on their </w:t>
      </w:r>
      <w:r w:rsidR="004B01C2" w:rsidRPr="54670B19">
        <w:rPr>
          <w:rFonts w:asciiTheme="minorHAnsi" w:hAnsiTheme="minorHAnsi"/>
        </w:rPr>
        <w:t>first home address</w:t>
      </w:r>
      <w:r w:rsidR="00A32165" w:rsidRPr="54670B19">
        <w:rPr>
          <w:rFonts w:asciiTheme="minorHAnsi" w:hAnsiTheme="minorHAnsi"/>
        </w:rPr>
        <w:t xml:space="preserve">. As expected, </w:t>
      </w:r>
      <w:r w:rsidR="005A65FB" w:rsidRPr="54670B19">
        <w:rPr>
          <w:rFonts w:asciiTheme="minorHAnsi" w:hAnsiTheme="minorHAnsi"/>
        </w:rPr>
        <w:t xml:space="preserve">the </w:t>
      </w:r>
      <w:r w:rsidR="0029051E" w:rsidRPr="54670B19">
        <w:rPr>
          <w:rFonts w:asciiTheme="minorHAnsi" w:hAnsiTheme="minorHAnsi"/>
        </w:rPr>
        <w:t xml:space="preserve">average </w:t>
      </w:r>
      <w:r w:rsidR="005A65FB" w:rsidRPr="54670B19">
        <w:rPr>
          <w:rFonts w:asciiTheme="minorHAnsi" w:hAnsiTheme="minorHAnsi"/>
        </w:rPr>
        <w:t xml:space="preserve">figure is much higher </w:t>
      </w:r>
      <w:r w:rsidR="0029051E" w:rsidRPr="54670B19">
        <w:rPr>
          <w:rFonts w:asciiTheme="minorHAnsi" w:hAnsiTheme="minorHAnsi"/>
        </w:rPr>
        <w:t>for</w:t>
      </w:r>
      <w:r w:rsidR="00CF3D5C" w:rsidRPr="54670B19">
        <w:rPr>
          <w:rFonts w:asciiTheme="minorHAnsi" w:hAnsiTheme="minorHAnsi"/>
        </w:rPr>
        <w:t xml:space="preserve"> </w:t>
      </w:r>
      <w:r w:rsidR="005A65FB" w:rsidRPr="54670B19">
        <w:rPr>
          <w:rFonts w:asciiTheme="minorHAnsi" w:hAnsiTheme="minorHAnsi"/>
        </w:rPr>
        <w:t>the</w:t>
      </w:r>
      <w:r w:rsidR="00F77DFA" w:rsidRPr="54670B19">
        <w:rPr>
          <w:rFonts w:asciiTheme="minorHAnsi" w:hAnsiTheme="minorHAnsi"/>
        </w:rPr>
        <w:t xml:space="preserve"> ten regional</w:t>
      </w:r>
      <w:r w:rsidR="0085231B" w:rsidRPr="54670B19">
        <w:rPr>
          <w:rFonts w:asciiTheme="minorHAnsi" w:hAnsiTheme="minorHAnsi"/>
        </w:rPr>
        <w:t xml:space="preserve"> universities</w:t>
      </w:r>
      <w:r w:rsidR="00CF3D5C" w:rsidRPr="54670B19">
        <w:rPr>
          <w:rFonts w:asciiTheme="minorHAnsi" w:hAnsiTheme="minorHAnsi"/>
        </w:rPr>
        <w:t xml:space="preserve"> (51%</w:t>
      </w:r>
      <w:r w:rsidR="0029051E" w:rsidRPr="54670B19">
        <w:rPr>
          <w:rFonts w:asciiTheme="minorHAnsi" w:hAnsiTheme="minorHAnsi"/>
        </w:rPr>
        <w:t>)</w:t>
      </w:r>
      <w:r w:rsidR="00A07527" w:rsidRPr="54670B19">
        <w:rPr>
          <w:rFonts w:asciiTheme="minorHAnsi" w:hAnsiTheme="minorHAnsi"/>
        </w:rPr>
        <w:t xml:space="preserve">, with </w:t>
      </w:r>
      <w:r w:rsidR="0029051E" w:rsidRPr="54670B19">
        <w:rPr>
          <w:rFonts w:asciiTheme="minorHAnsi" w:hAnsiTheme="minorHAnsi"/>
        </w:rPr>
        <w:t>James Cook University (75%)</w:t>
      </w:r>
      <w:r w:rsidR="00A07527" w:rsidRPr="54670B19">
        <w:rPr>
          <w:rFonts w:asciiTheme="minorHAnsi" w:hAnsiTheme="minorHAnsi"/>
        </w:rPr>
        <w:t>,</w:t>
      </w:r>
      <w:r w:rsidR="0029051E" w:rsidRPr="54670B19">
        <w:rPr>
          <w:rFonts w:asciiTheme="minorHAnsi" w:hAnsiTheme="minorHAnsi"/>
        </w:rPr>
        <w:t xml:space="preserve"> </w:t>
      </w:r>
      <w:r w:rsidR="00C80F4D" w:rsidRPr="54670B19">
        <w:rPr>
          <w:rFonts w:asciiTheme="minorHAnsi" w:hAnsiTheme="minorHAnsi"/>
        </w:rPr>
        <w:t>followed by</w:t>
      </w:r>
      <w:r w:rsidR="0029051E" w:rsidRPr="54670B19">
        <w:rPr>
          <w:rFonts w:asciiTheme="minorHAnsi" w:hAnsiTheme="minorHAnsi"/>
        </w:rPr>
        <w:t xml:space="preserve"> Central Queensland University (</w:t>
      </w:r>
      <w:r w:rsidR="00953EF9" w:rsidRPr="54670B19">
        <w:rPr>
          <w:rFonts w:asciiTheme="minorHAnsi" w:hAnsiTheme="minorHAnsi"/>
        </w:rPr>
        <w:t>71%)</w:t>
      </w:r>
      <w:r w:rsidR="00A07527" w:rsidRPr="54670B19">
        <w:rPr>
          <w:rFonts w:asciiTheme="minorHAnsi" w:hAnsiTheme="minorHAnsi"/>
        </w:rPr>
        <w:t xml:space="preserve"> having the highest proportion of regional</w:t>
      </w:r>
      <w:r w:rsidR="00837F28" w:rsidRPr="54670B19">
        <w:rPr>
          <w:rFonts w:asciiTheme="minorHAnsi" w:hAnsiTheme="minorHAnsi"/>
        </w:rPr>
        <w:t>/</w:t>
      </w:r>
      <w:r w:rsidR="00A07527" w:rsidRPr="54670B19">
        <w:rPr>
          <w:rFonts w:asciiTheme="minorHAnsi" w:hAnsiTheme="minorHAnsi"/>
        </w:rPr>
        <w:t>remote students</w:t>
      </w:r>
      <w:r w:rsidR="00C80F4D" w:rsidRPr="54670B19">
        <w:rPr>
          <w:rFonts w:asciiTheme="minorHAnsi" w:hAnsiTheme="minorHAnsi"/>
        </w:rPr>
        <w:t>.</w:t>
      </w:r>
      <w:r w:rsidR="000F30B0" w:rsidRPr="54670B19">
        <w:rPr>
          <w:rStyle w:val="FootnoteReference"/>
          <w:rFonts w:asciiTheme="minorHAnsi" w:hAnsiTheme="minorHAnsi"/>
          <w:color w:val="222222"/>
        </w:rPr>
        <w:footnoteReference w:id="60"/>
      </w:r>
      <w:r w:rsidR="00A07527" w:rsidRPr="54670B19">
        <w:rPr>
          <w:rFonts w:asciiTheme="minorHAnsi" w:hAnsiTheme="minorHAnsi"/>
        </w:rPr>
        <w:t xml:space="preserve"> </w:t>
      </w:r>
    </w:p>
    <w:p w14:paraId="5C03248A" w14:textId="28DB50E6" w:rsidR="0092452D" w:rsidRPr="004C75F1" w:rsidRDefault="00A256EC" w:rsidP="004C75F1">
      <w:pPr>
        <w:rPr>
          <w:rFonts w:asciiTheme="minorHAnsi" w:hAnsiTheme="minorHAnsi" w:cstheme="minorHAnsi"/>
        </w:rPr>
      </w:pPr>
      <w:r w:rsidRPr="004C75F1">
        <w:rPr>
          <w:rFonts w:asciiTheme="minorHAnsi" w:hAnsiTheme="minorHAnsi" w:cstheme="minorHAnsi"/>
        </w:rPr>
        <w:t>In</w:t>
      </w:r>
      <w:r w:rsidR="00D100A1" w:rsidRPr="004C75F1">
        <w:rPr>
          <w:rFonts w:asciiTheme="minorHAnsi" w:hAnsiTheme="minorHAnsi" w:cstheme="minorHAnsi"/>
        </w:rPr>
        <w:t xml:space="preserve"> </w:t>
      </w:r>
      <w:r w:rsidR="00B46453" w:rsidRPr="004C75F1">
        <w:rPr>
          <w:rFonts w:asciiTheme="minorHAnsi" w:hAnsiTheme="minorHAnsi" w:cstheme="minorHAnsi"/>
        </w:rPr>
        <w:t>New</w:t>
      </w:r>
      <w:r w:rsidR="008F1249" w:rsidRPr="004C75F1">
        <w:rPr>
          <w:rFonts w:asciiTheme="minorHAnsi" w:hAnsiTheme="minorHAnsi" w:cstheme="minorHAnsi"/>
        </w:rPr>
        <w:t xml:space="preserve"> South W</w:t>
      </w:r>
      <w:r w:rsidR="00F14F2F" w:rsidRPr="004C75F1">
        <w:rPr>
          <w:rFonts w:asciiTheme="minorHAnsi" w:hAnsiTheme="minorHAnsi" w:cstheme="minorHAnsi"/>
        </w:rPr>
        <w:t>ales, all</w:t>
      </w:r>
      <w:r w:rsidR="00FC6488" w:rsidRPr="004C75F1">
        <w:rPr>
          <w:rFonts w:asciiTheme="minorHAnsi" w:hAnsiTheme="minorHAnsi" w:cstheme="minorHAnsi"/>
        </w:rPr>
        <w:t xml:space="preserve"> three RUN member universities have between 41% and 44%</w:t>
      </w:r>
      <w:r w:rsidR="00837F28" w:rsidRPr="004C75F1">
        <w:rPr>
          <w:rFonts w:asciiTheme="minorHAnsi" w:hAnsiTheme="minorHAnsi" w:cstheme="minorHAnsi"/>
        </w:rPr>
        <w:t xml:space="preserve"> regional/remote students</w:t>
      </w:r>
      <w:r w:rsidR="00B36140" w:rsidRPr="004C75F1">
        <w:rPr>
          <w:rFonts w:asciiTheme="minorHAnsi" w:hAnsiTheme="minorHAnsi" w:cstheme="minorHAnsi"/>
        </w:rPr>
        <w:t xml:space="preserve">, while the University of Wollongong and </w:t>
      </w:r>
      <w:r w:rsidR="00F41140" w:rsidRPr="004C75F1">
        <w:rPr>
          <w:rFonts w:asciiTheme="minorHAnsi" w:hAnsiTheme="minorHAnsi" w:cstheme="minorHAnsi"/>
        </w:rPr>
        <w:t xml:space="preserve">the University of Newcastle have </w:t>
      </w:r>
      <w:r w:rsidR="00170D0C" w:rsidRPr="004C75F1">
        <w:rPr>
          <w:rFonts w:asciiTheme="minorHAnsi" w:hAnsiTheme="minorHAnsi" w:cstheme="minorHAnsi"/>
        </w:rPr>
        <w:t>26% and 22% respectively</w:t>
      </w:r>
      <w:r w:rsidR="005310AE" w:rsidRPr="004C75F1">
        <w:rPr>
          <w:rFonts w:asciiTheme="minorHAnsi" w:hAnsiTheme="minorHAnsi" w:cstheme="minorHAnsi"/>
        </w:rPr>
        <w:t xml:space="preserve">. </w:t>
      </w:r>
      <w:r w:rsidR="00EE1DE8" w:rsidRPr="004C75F1">
        <w:rPr>
          <w:rFonts w:asciiTheme="minorHAnsi" w:hAnsiTheme="minorHAnsi" w:cstheme="minorHAnsi"/>
        </w:rPr>
        <w:t>All the metropolitan Sydney universities (</w:t>
      </w:r>
      <w:r w:rsidR="00943B85" w:rsidRPr="004C75F1">
        <w:rPr>
          <w:rFonts w:asciiTheme="minorHAnsi" w:hAnsiTheme="minorHAnsi" w:cstheme="minorHAnsi"/>
        </w:rPr>
        <w:t>Macquarie Universit</w:t>
      </w:r>
      <w:r w:rsidR="00EE1DE8" w:rsidRPr="004C75F1">
        <w:rPr>
          <w:rFonts w:asciiTheme="minorHAnsi" w:hAnsiTheme="minorHAnsi" w:cstheme="minorHAnsi"/>
        </w:rPr>
        <w:t xml:space="preserve">y, </w:t>
      </w:r>
      <w:r w:rsidR="00943B85" w:rsidRPr="004C75F1">
        <w:rPr>
          <w:rFonts w:asciiTheme="minorHAnsi" w:hAnsiTheme="minorHAnsi" w:cstheme="minorHAnsi"/>
        </w:rPr>
        <w:t>University of Sydney</w:t>
      </w:r>
      <w:r w:rsidR="00291D35" w:rsidRPr="004C75F1">
        <w:rPr>
          <w:rFonts w:asciiTheme="minorHAnsi" w:hAnsiTheme="minorHAnsi" w:cstheme="minorHAnsi"/>
        </w:rPr>
        <w:t>, University of New Sou</w:t>
      </w:r>
      <w:r w:rsidR="00436958" w:rsidRPr="004C75F1">
        <w:rPr>
          <w:rFonts w:asciiTheme="minorHAnsi" w:hAnsiTheme="minorHAnsi" w:cstheme="minorHAnsi"/>
        </w:rPr>
        <w:t>th Wales, University of Technology Sydney and Western Sydney University</w:t>
      </w:r>
      <w:r w:rsidR="00EE1DE8" w:rsidRPr="004C75F1">
        <w:rPr>
          <w:rFonts w:asciiTheme="minorHAnsi" w:hAnsiTheme="minorHAnsi" w:cstheme="minorHAnsi"/>
        </w:rPr>
        <w:t>)</w:t>
      </w:r>
      <w:r w:rsidR="00436958" w:rsidRPr="004C75F1">
        <w:rPr>
          <w:rFonts w:asciiTheme="minorHAnsi" w:hAnsiTheme="minorHAnsi" w:cstheme="minorHAnsi"/>
        </w:rPr>
        <w:t xml:space="preserve"> are in single digits</w:t>
      </w:r>
      <w:r w:rsidR="002A1AFD" w:rsidRPr="004C75F1">
        <w:rPr>
          <w:rFonts w:asciiTheme="minorHAnsi" w:hAnsiTheme="minorHAnsi" w:cstheme="minorHAnsi"/>
        </w:rPr>
        <w:t>.</w:t>
      </w:r>
      <w:r w:rsidR="00D42BB0" w:rsidRPr="004C75F1">
        <w:rPr>
          <w:rFonts w:asciiTheme="minorHAnsi" w:hAnsiTheme="minorHAnsi" w:cstheme="minorHAnsi"/>
        </w:rPr>
        <w:t xml:space="preserve"> </w:t>
      </w:r>
      <w:r w:rsidR="002A1AFD" w:rsidRPr="004C75F1">
        <w:rPr>
          <w:rFonts w:asciiTheme="minorHAnsi" w:hAnsiTheme="minorHAnsi" w:cstheme="minorHAnsi"/>
        </w:rPr>
        <w:t xml:space="preserve">By contrast, </w:t>
      </w:r>
      <w:r w:rsidR="003C486A" w:rsidRPr="004C75F1">
        <w:rPr>
          <w:rFonts w:asciiTheme="minorHAnsi" w:hAnsiTheme="minorHAnsi" w:cstheme="minorHAnsi"/>
        </w:rPr>
        <w:t xml:space="preserve">metropolitan </w:t>
      </w:r>
      <w:r w:rsidR="002A1AFD" w:rsidRPr="004C75F1">
        <w:rPr>
          <w:rFonts w:asciiTheme="minorHAnsi" w:hAnsiTheme="minorHAnsi" w:cstheme="minorHAnsi"/>
        </w:rPr>
        <w:t xml:space="preserve">Melbourne-based universities have </w:t>
      </w:r>
      <w:r w:rsidR="00D677A2" w:rsidRPr="004C75F1">
        <w:rPr>
          <w:rFonts w:asciiTheme="minorHAnsi" w:hAnsiTheme="minorHAnsi" w:cstheme="minorHAnsi"/>
        </w:rPr>
        <w:t>much higher proportions of regional</w:t>
      </w:r>
      <w:r w:rsidR="009468D8" w:rsidRPr="004C75F1">
        <w:rPr>
          <w:rFonts w:asciiTheme="minorHAnsi" w:hAnsiTheme="minorHAnsi" w:cstheme="minorHAnsi"/>
        </w:rPr>
        <w:t>/remote</w:t>
      </w:r>
      <w:r w:rsidR="00D677A2" w:rsidRPr="004C75F1">
        <w:rPr>
          <w:rFonts w:asciiTheme="minorHAnsi" w:hAnsiTheme="minorHAnsi" w:cstheme="minorHAnsi"/>
        </w:rPr>
        <w:t xml:space="preserve"> students,</w:t>
      </w:r>
      <w:r w:rsidR="00D71467" w:rsidRPr="004C75F1">
        <w:rPr>
          <w:rFonts w:asciiTheme="minorHAnsi" w:hAnsiTheme="minorHAnsi" w:cstheme="minorHAnsi"/>
        </w:rPr>
        <w:t xml:space="preserve"> up to </w:t>
      </w:r>
      <w:r w:rsidR="009468D8" w:rsidRPr="004C75F1">
        <w:rPr>
          <w:rFonts w:asciiTheme="minorHAnsi" w:hAnsiTheme="minorHAnsi" w:cstheme="minorHAnsi"/>
        </w:rPr>
        <w:t xml:space="preserve">22% for Deakin University and </w:t>
      </w:r>
      <w:r w:rsidR="00091E2B" w:rsidRPr="004C75F1">
        <w:rPr>
          <w:rFonts w:asciiTheme="minorHAnsi" w:hAnsiTheme="minorHAnsi" w:cstheme="minorHAnsi"/>
        </w:rPr>
        <w:t>26%</w:t>
      </w:r>
      <w:r w:rsidR="003A12B5" w:rsidRPr="004C75F1">
        <w:rPr>
          <w:rFonts w:asciiTheme="minorHAnsi" w:hAnsiTheme="minorHAnsi" w:cstheme="minorHAnsi"/>
        </w:rPr>
        <w:t xml:space="preserve"> </w:t>
      </w:r>
      <w:r w:rsidR="009468D8" w:rsidRPr="004C75F1">
        <w:rPr>
          <w:rFonts w:asciiTheme="minorHAnsi" w:hAnsiTheme="minorHAnsi" w:cstheme="minorHAnsi"/>
        </w:rPr>
        <w:t xml:space="preserve">for </w:t>
      </w:r>
      <w:r w:rsidR="00091E2B" w:rsidRPr="004C75F1">
        <w:rPr>
          <w:rFonts w:asciiTheme="minorHAnsi" w:hAnsiTheme="minorHAnsi" w:cstheme="minorHAnsi"/>
        </w:rPr>
        <w:t>Latrobe Universit</w:t>
      </w:r>
      <w:r w:rsidR="009468D8" w:rsidRPr="004C75F1">
        <w:rPr>
          <w:rFonts w:asciiTheme="minorHAnsi" w:hAnsiTheme="minorHAnsi" w:cstheme="minorHAnsi"/>
        </w:rPr>
        <w:t xml:space="preserve">y, reflecting their </w:t>
      </w:r>
      <w:r w:rsidR="004B2E56" w:rsidRPr="004C75F1">
        <w:rPr>
          <w:rFonts w:asciiTheme="minorHAnsi" w:hAnsiTheme="minorHAnsi" w:cstheme="minorHAnsi"/>
        </w:rPr>
        <w:t xml:space="preserve">greater campus coverage </w:t>
      </w:r>
      <w:r w:rsidR="0019650D" w:rsidRPr="004C75F1">
        <w:rPr>
          <w:rFonts w:asciiTheme="minorHAnsi" w:hAnsiTheme="minorHAnsi" w:cstheme="minorHAnsi"/>
        </w:rPr>
        <w:t>in regional areas and the presence of only one regionally-based university in Victoria (Federation University).</w:t>
      </w:r>
      <w:r w:rsidR="00C80F4D" w:rsidRPr="004C75F1">
        <w:rPr>
          <w:rFonts w:asciiTheme="minorHAnsi" w:hAnsiTheme="minorHAnsi" w:cstheme="minorHAnsi"/>
        </w:rPr>
        <w:t xml:space="preserve"> </w:t>
      </w:r>
      <w:r w:rsidR="00307E84" w:rsidRPr="004C75F1">
        <w:rPr>
          <w:rFonts w:asciiTheme="minorHAnsi" w:hAnsiTheme="minorHAnsi" w:cstheme="minorHAnsi"/>
        </w:rPr>
        <w:t xml:space="preserve"> </w:t>
      </w:r>
      <w:r w:rsidR="0085231B" w:rsidRPr="004C75F1">
        <w:rPr>
          <w:rFonts w:asciiTheme="minorHAnsi" w:hAnsiTheme="minorHAnsi" w:cstheme="minorHAnsi"/>
        </w:rPr>
        <w:t xml:space="preserve"> </w:t>
      </w:r>
    </w:p>
    <w:p w14:paraId="7F9DAB7A" w14:textId="77777777" w:rsidR="0092452D" w:rsidRPr="003A0CB5" w:rsidRDefault="0092452D" w:rsidP="003A0CB5">
      <w:pPr>
        <w:pStyle w:val="Heading3"/>
        <w:rPr>
          <w:rFonts w:asciiTheme="majorHAnsi" w:hAnsiTheme="majorHAnsi" w:cstheme="majorHAnsi"/>
        </w:rPr>
      </w:pPr>
      <w:bookmarkStart w:id="75" w:name="_Toc171937438"/>
      <w:r w:rsidRPr="003A0CB5">
        <w:rPr>
          <w:rFonts w:asciiTheme="majorHAnsi" w:hAnsiTheme="majorHAnsi" w:cstheme="majorHAnsi"/>
        </w:rPr>
        <w:t>Regional University Study Hubs</w:t>
      </w:r>
      <w:bookmarkEnd w:id="75"/>
    </w:p>
    <w:p w14:paraId="5EC8765B" w14:textId="7586B99C" w:rsidR="0092452D" w:rsidRPr="003A0CB5" w:rsidRDefault="0039102E" w:rsidP="003A0CB5">
      <w:r w:rsidRPr="003A0CB5">
        <w:t>Regional University Study Hubs aim to improve access to tertiary education for regional and remote students. They provide infrastructure, administrative, academic skills and student support services. This includes study spaces, break out areas, video conferencing, computer facilities and high-speed internet access. In addition, they provide students assistance with development of writing and research skills, study advice and wellbeing support.</w:t>
      </w:r>
    </w:p>
    <w:p w14:paraId="4B7177D2" w14:textId="26034198" w:rsidR="0092452D" w:rsidRPr="003A0CB5" w:rsidRDefault="00321577" w:rsidP="003A0CB5">
      <w:r w:rsidRPr="003A0CB5">
        <w:t>The first 16 Regional University Study Hubs (previously known as Regional University Centres) were announced on 12 November 2018. The program has since been expanded with 46 Hubs nationwide, of which 36 are currently open and supporting nearly 4,400 students (including First Nations students and those with a disability). The evidence indicates that where a Hub is located, university participation increases.</w:t>
      </w:r>
      <w:r w:rsidR="0092452D" w:rsidRPr="003A0CB5">
        <w:rPr>
          <w:vertAlign w:val="superscript"/>
        </w:rPr>
        <w:footnoteReference w:id="61"/>
      </w:r>
      <w:r w:rsidR="0092452D" w:rsidRPr="003A0CB5" w:rsidDel="00A30972">
        <w:t xml:space="preserve"> </w:t>
      </w:r>
    </w:p>
    <w:p w14:paraId="5B0E894E" w14:textId="77777777" w:rsidR="0092452D" w:rsidRPr="003A0CB5" w:rsidRDefault="0092452D" w:rsidP="003A0CB5">
      <w:r w:rsidRPr="003A0CB5">
        <w:t>The Universities Accord Final Report recommended the Australian Government consider further expanding the Regional University Study Hubs program following evaluation of its effectiveness in improving regional and remote student participation, retention and completion rates.</w:t>
      </w:r>
      <w:r w:rsidRPr="003A0CB5">
        <w:rPr>
          <w:vertAlign w:val="superscript"/>
        </w:rPr>
        <w:footnoteReference w:id="62"/>
      </w:r>
      <w:r w:rsidRPr="003A0CB5">
        <w:rPr>
          <w:vertAlign w:val="superscript"/>
        </w:rPr>
        <w:t xml:space="preserve"> </w:t>
      </w:r>
      <w:r w:rsidRPr="003A0CB5">
        <w:t xml:space="preserve">On 25 March 2024, following a consultation process, the Australian Government </w:t>
      </w:r>
      <w:hyperlink r:id="rId108" w:history="1">
        <w:r w:rsidRPr="003A0CB5">
          <w:t>announced</w:t>
        </w:r>
      </w:hyperlink>
      <w:r w:rsidRPr="003A0CB5">
        <w:t xml:space="preserve"> the location of the first 10 of 20 new Regional University Study Hubs.</w:t>
      </w:r>
      <w:r w:rsidRPr="00F10139">
        <w:rPr>
          <w:rStyle w:val="FootnoteReference"/>
        </w:rPr>
        <w:footnoteReference w:id="63"/>
      </w:r>
      <w:r w:rsidRPr="003A0CB5">
        <w:t xml:space="preserve"> The expansion of the Regional University Study Hubs program will remove barriers for more students accessing a high-quality tertiary education.</w:t>
      </w:r>
    </w:p>
    <w:p w14:paraId="6A32E54F" w14:textId="62D2FDAE" w:rsidR="00600E4F" w:rsidRPr="003A0CB5" w:rsidRDefault="00600E4F" w:rsidP="003A0CB5">
      <w:r w:rsidRPr="003A0CB5">
        <w:t>The Australian Universities Accord Interim Report Priority Action 1 was to Extend visible, local access to tertiary education by creating further Regional University Centres (Regional University Study Hubs) and establish a similar concept for suburban/metropolitan locations. In response, the Australian Government committed to doubling the number of University Study Hubs, including the establishment of new Suburban University Study Hubs. On 25</w:t>
      </w:r>
      <w:r w:rsidR="006A2675" w:rsidRPr="003A0CB5">
        <w:t> </w:t>
      </w:r>
      <w:r w:rsidRPr="003A0CB5">
        <w:t xml:space="preserve">March 2024, the Australian Government announced the location of the first 10 of up to 20 new Regional University Study Hubs, and funding for two existing </w:t>
      </w:r>
      <w:r>
        <w:t>Count</w:t>
      </w:r>
      <w:r w:rsidR="2B0C8B4B">
        <w:t>r</w:t>
      </w:r>
      <w:r>
        <w:t>y</w:t>
      </w:r>
      <w:r w:rsidRPr="003A0CB5">
        <w:t xml:space="preserve"> University Centres in N</w:t>
      </w:r>
      <w:r w:rsidR="00BD7F12" w:rsidRPr="003A0CB5">
        <w:t>ew South Wales</w:t>
      </w:r>
      <w:r w:rsidRPr="003A0CB5">
        <w:t xml:space="preserve">.  </w:t>
      </w:r>
    </w:p>
    <w:p w14:paraId="1D01BCA1" w14:textId="3D93E92E" w:rsidR="00600E4F" w:rsidRDefault="00600E4F" w:rsidP="003A0CB5">
      <w:r w:rsidRPr="00600E4F">
        <w:t xml:space="preserve">On 21 August 2024, the Australian Government opened applications for the second phase of the program expansion, which will establish a further up to 10 new Regional University Study Hubs. The expansion of the Regional University Study Hubs program will remove barriers to enable more students to access a high-quality tertiary education. The Universities Accord </w:t>
      </w:r>
      <w:r w:rsidRPr="003A0CB5">
        <w:t>Final Report recommended the Australian Government consider further expanding the Regional University Study Hubs program following evaluation of its effectiveness in improving regional and remote student participation, retention and completion rates.</w:t>
      </w:r>
    </w:p>
    <w:p w14:paraId="017A3DC2" w14:textId="5A989EB5" w:rsidR="002A719F" w:rsidRPr="003A0CB5" w:rsidRDefault="002A719F" w:rsidP="003A0CB5">
      <w:r>
        <w:rPr>
          <w:rFonts w:asciiTheme="minorHAnsi" w:hAnsiTheme="minorHAnsi"/>
        </w:rPr>
        <w:t xml:space="preserve">Stakeholders have indicated that Regional University Study Hubs </w:t>
      </w:r>
      <w:r w:rsidRPr="00FF1F78">
        <w:rPr>
          <w:rFonts w:asciiTheme="minorHAnsi" w:hAnsiTheme="minorHAnsi"/>
        </w:rPr>
        <w:t xml:space="preserve">should ensure that educational products on offer </w:t>
      </w:r>
      <w:r>
        <w:rPr>
          <w:rFonts w:asciiTheme="minorHAnsi" w:hAnsiTheme="minorHAnsi"/>
        </w:rPr>
        <w:t xml:space="preserve">at their sites </w:t>
      </w:r>
      <w:r w:rsidRPr="00FF1F78">
        <w:rPr>
          <w:rFonts w:asciiTheme="minorHAnsi" w:hAnsiTheme="minorHAnsi"/>
        </w:rPr>
        <w:t>accommodate a broad range of skill levels (</w:t>
      </w:r>
      <w:r>
        <w:rPr>
          <w:rFonts w:asciiTheme="minorHAnsi" w:hAnsiTheme="minorHAnsi"/>
        </w:rPr>
        <w:t>both VET and Higher Education</w:t>
      </w:r>
      <w:r w:rsidRPr="00FF1F78">
        <w:rPr>
          <w:rFonts w:asciiTheme="minorHAnsi" w:hAnsiTheme="minorHAnsi"/>
        </w:rPr>
        <w:t>)</w:t>
      </w:r>
      <w:r>
        <w:rPr>
          <w:rFonts w:asciiTheme="minorHAnsi" w:hAnsiTheme="minorHAnsi"/>
        </w:rPr>
        <w:t xml:space="preserve"> and that t</w:t>
      </w:r>
      <w:r w:rsidRPr="00FF1F78">
        <w:rPr>
          <w:rFonts w:asciiTheme="minorHAnsi" w:hAnsiTheme="minorHAnsi"/>
        </w:rPr>
        <w:t>argeted approaches for First Nations</w:t>
      </w:r>
      <w:r>
        <w:rPr>
          <w:rFonts w:asciiTheme="minorHAnsi" w:hAnsiTheme="minorHAnsi"/>
        </w:rPr>
        <w:t xml:space="preserve"> </w:t>
      </w:r>
      <w:r w:rsidRPr="00FF1F78">
        <w:rPr>
          <w:rFonts w:asciiTheme="minorHAnsi" w:hAnsiTheme="minorHAnsi"/>
        </w:rPr>
        <w:t>peoples are required to promote the benefits of regional educational pathways in remote</w:t>
      </w:r>
      <w:r>
        <w:rPr>
          <w:rFonts w:asciiTheme="minorHAnsi" w:hAnsiTheme="minorHAnsi"/>
        </w:rPr>
        <w:t xml:space="preserve"> </w:t>
      </w:r>
      <w:r w:rsidRPr="00FF1F78">
        <w:rPr>
          <w:rFonts w:asciiTheme="minorHAnsi" w:hAnsiTheme="minorHAnsi"/>
        </w:rPr>
        <w:t xml:space="preserve">communities. </w:t>
      </w:r>
      <w:r>
        <w:rPr>
          <w:rFonts w:asciiTheme="minorHAnsi" w:hAnsiTheme="minorHAnsi"/>
        </w:rPr>
        <w:t>A case study of the ALPA Higher Education Hubs in the remote Northern Territory is below.</w:t>
      </w:r>
    </w:p>
    <w:p w14:paraId="20653695" w14:textId="71528422" w:rsidR="00FD4A63" w:rsidRPr="002A719F" w:rsidRDefault="00FD4A63" w:rsidP="00465BE3">
      <w:pPr>
        <w:pStyle w:val="Heading4"/>
      </w:pPr>
      <w:r w:rsidRPr="002A719F">
        <w:t xml:space="preserve">Suburban </w:t>
      </w:r>
      <w:r w:rsidRPr="00465BE3">
        <w:t>University</w:t>
      </w:r>
      <w:r w:rsidRPr="002A719F">
        <w:t xml:space="preserve"> Study Hubs</w:t>
      </w:r>
    </w:p>
    <w:p w14:paraId="5A9DB100" w14:textId="76713499" w:rsidR="00465BE3" w:rsidRDefault="00FD4A63" w:rsidP="006E7A8D">
      <w:r w:rsidRPr="00A84263">
        <w:t>On 22 May 2024, the Australian Government invited eligible organisations to apply to establish up to 14 Suburban University Study Hubs, to improve access and success in tertiary education for underrepresented and disadvantaged students (including low socio-economic status, First Nations and people with disability) living in outer metropolitan and peri-urban areas of Australia. The Hubs will provide students with dedicated study facilities and wrap around support services which may include administrative and academic skills wellbeing support. The application period has now closed</w:t>
      </w:r>
      <w:r>
        <w:t>,</w:t>
      </w:r>
      <w:r w:rsidRPr="00A84263">
        <w:t xml:space="preserve"> and successful applicants are expected to be announced in October 2024.</w:t>
      </w:r>
    </w:p>
    <w:p w14:paraId="28DE6263" w14:textId="271F86A3" w:rsidR="00FD4A63" w:rsidRDefault="00465BE3" w:rsidP="00465BE3">
      <w:r>
        <w:br w:type="page"/>
      </w:r>
    </w:p>
    <w:tbl>
      <w:tblPr>
        <w:tblStyle w:val="Box"/>
        <w:tblW w:w="0" w:type="auto"/>
        <w:tblLook w:val="04A0" w:firstRow="1" w:lastRow="0" w:firstColumn="1" w:lastColumn="0" w:noHBand="0" w:noVBand="1"/>
      </w:tblPr>
      <w:tblGrid>
        <w:gridCol w:w="8996"/>
      </w:tblGrid>
      <w:tr w:rsidR="00465BE3" w14:paraId="02ACE4CD" w14:textId="77777777" w:rsidTr="00465BE3">
        <w:tc>
          <w:tcPr>
            <w:tcW w:w="9016" w:type="dxa"/>
          </w:tcPr>
          <w:p w14:paraId="4392F517" w14:textId="77777777" w:rsidR="00465BE3" w:rsidRPr="00275190" w:rsidRDefault="00465BE3" w:rsidP="00465BE3">
            <w:pPr>
              <w:pStyle w:val="Heading4"/>
            </w:pPr>
            <w:r w:rsidRPr="00275190">
              <w:t>Case Study: ALPA Higher Education Hubs</w:t>
            </w:r>
          </w:p>
          <w:p w14:paraId="77D13BF5" w14:textId="77777777" w:rsidR="00465BE3" w:rsidRPr="00275190" w:rsidRDefault="00465BE3" w:rsidP="00465BE3">
            <w:r w:rsidRPr="00275190">
              <w:t xml:space="preserve">Arnhem Land Progress Aboriginal (ALPA) Corporation runs a Regional University Study Hub across three sites in Arnhem Land in the Northern Territory. These ALPA Higher Education Hubs or Yirralka′ngur, Marnggithirr, Rrambangi (on country we learn together) focus on providing education and training opportunities to local Aboriginal and Torres Strait Islander people in remote East Arnhem Land communities. </w:t>
            </w:r>
          </w:p>
          <w:p w14:paraId="30F62695" w14:textId="77777777" w:rsidR="00465BE3" w:rsidRPr="00275190" w:rsidRDefault="00465BE3" w:rsidP="00465BE3">
            <w:r w:rsidRPr="00C0298C">
              <w:t xml:space="preserve">As of April/May 2024 (latest available data), the ALPA Higher Education Hubs have 119 students of whom over 80% identify as Aboriginal and/or Torres Strait Islander, and 41% are aged 29 years or under. </w:t>
            </w:r>
            <w:r w:rsidRPr="00275190">
              <w:t>The Hubs mainly support students completing VET studies on a part-time basis. Most of the students are employed in local businesses and complete their study as part of their current job or for new employment opportunities. The most popular areas of study include health, education and retail, for example, many students are undertaking Aboriginal health worker training or teaching courses to develop their professional skills and progress their careers.</w:t>
            </w:r>
          </w:p>
          <w:p w14:paraId="6E32F047" w14:textId="77777777" w:rsidR="00465BE3" w:rsidRDefault="00465BE3" w:rsidP="00465BE3">
            <w:r w:rsidRPr="00275190">
              <w:t>The ALPA Higher Education Hubs have made significant impacts on the local communities, especially in building aspiration for education and training. Local industries also benefit as local people develop skills and capacity in their job through supported study at ALPA Hubs.</w:t>
            </w:r>
          </w:p>
          <w:p w14:paraId="57C38407" w14:textId="2301F3CD" w:rsidR="00465BE3" w:rsidRDefault="00465BE3" w:rsidP="006E7A8D">
            <w:r w:rsidRPr="006E7A8D">
              <w:t xml:space="preserve">A case study on the Taree University Centre (TUC) Study Hub EduVenture Program is contained in the </w:t>
            </w:r>
            <w:hyperlink w:anchor="_Regional_Study_Hubs" w:history="1">
              <w:r w:rsidRPr="006E7A8D">
                <w:rPr>
                  <w:rStyle w:val="Hyperlink"/>
                  <w:rFonts w:asciiTheme="minorHAnsi" w:hAnsiTheme="minorHAnsi" w:cstheme="minorHAnsi"/>
                </w:rPr>
                <w:t>Mid North Coast Employment Region Case Study</w:t>
              </w:r>
            </w:hyperlink>
            <w:r w:rsidRPr="006E7A8D">
              <w:rPr>
                <w:rStyle w:val="Hyperlink"/>
                <w:rFonts w:asciiTheme="minorHAnsi" w:hAnsiTheme="minorHAnsi" w:cstheme="minorHAnsi"/>
              </w:rPr>
              <w:t>.</w:t>
            </w:r>
            <w:r w:rsidRPr="006E7A8D">
              <w:t xml:space="preserve"> </w:t>
            </w:r>
          </w:p>
        </w:tc>
      </w:tr>
    </w:tbl>
    <w:p w14:paraId="5612ECAD" w14:textId="77777777" w:rsidR="002A719F" w:rsidRDefault="002A719F">
      <w:pPr>
        <w:rPr>
          <w:rFonts w:asciiTheme="majorHAnsi" w:eastAsiaTheme="majorEastAsia" w:hAnsiTheme="majorHAnsi" w:cstheme="majorHAnsi"/>
          <w:b/>
          <w:color w:val="4B0885" w:themeColor="text2"/>
          <w:sz w:val="26"/>
          <w:shd w:val="clear" w:color="auto" w:fill="FFFFFF"/>
        </w:rPr>
      </w:pPr>
      <w:r>
        <w:rPr>
          <w:rFonts w:asciiTheme="majorHAnsi" w:hAnsiTheme="majorHAnsi" w:cstheme="majorHAnsi"/>
          <w:shd w:val="clear" w:color="auto" w:fill="FFFFFF"/>
        </w:rPr>
        <w:br w:type="page"/>
      </w:r>
    </w:p>
    <w:p w14:paraId="570497FF" w14:textId="2AE2B3A8" w:rsidR="002A719F" w:rsidRPr="002A719F" w:rsidRDefault="002A719F" w:rsidP="002A719F">
      <w:pPr>
        <w:pStyle w:val="Heading3"/>
        <w:rPr>
          <w:rFonts w:asciiTheme="majorHAnsi" w:hAnsiTheme="majorHAnsi" w:cstheme="majorHAnsi"/>
          <w:shd w:val="clear" w:color="auto" w:fill="FFFFFF"/>
        </w:rPr>
      </w:pPr>
      <w:r w:rsidRPr="002A719F">
        <w:rPr>
          <w:rFonts w:asciiTheme="majorHAnsi" w:hAnsiTheme="majorHAnsi" w:cstheme="majorHAnsi"/>
          <w:shd w:val="clear" w:color="auto" w:fill="FFFFFF"/>
        </w:rPr>
        <w:t>Performance of regional universit</w:t>
      </w:r>
      <w:r>
        <w:rPr>
          <w:rFonts w:asciiTheme="majorHAnsi" w:hAnsiTheme="majorHAnsi" w:cstheme="majorHAnsi"/>
          <w:shd w:val="clear" w:color="auto" w:fill="FFFFFF"/>
        </w:rPr>
        <w:t>ies</w:t>
      </w:r>
      <w:r w:rsidRPr="002A719F">
        <w:rPr>
          <w:rFonts w:asciiTheme="majorHAnsi" w:hAnsiTheme="majorHAnsi" w:cstheme="majorHAnsi"/>
          <w:shd w:val="clear" w:color="auto" w:fill="FFFFFF"/>
        </w:rPr>
        <w:t xml:space="preserve"> and students from regional areas</w:t>
      </w:r>
    </w:p>
    <w:p w14:paraId="228BCA9C" w14:textId="45A145EE" w:rsidR="00061472" w:rsidRPr="002A719F" w:rsidRDefault="00CF1975" w:rsidP="00465BE3">
      <w:pPr>
        <w:pStyle w:val="Heading4"/>
        <w:rPr>
          <w:shd w:val="clear" w:color="auto" w:fill="FFFFFF"/>
        </w:rPr>
      </w:pPr>
      <w:r w:rsidRPr="002A719F">
        <w:rPr>
          <w:shd w:val="clear" w:color="auto" w:fill="FFFFFF"/>
        </w:rPr>
        <w:t xml:space="preserve">Regional universities </w:t>
      </w:r>
      <w:r w:rsidRPr="00465BE3">
        <w:t>generally</w:t>
      </w:r>
      <w:r w:rsidRPr="002A719F">
        <w:rPr>
          <w:shd w:val="clear" w:color="auto" w:fill="FFFFFF"/>
        </w:rPr>
        <w:t xml:space="preserve"> have lower success rates </w:t>
      </w:r>
      <w:r w:rsidR="00594B01" w:rsidRPr="002A719F">
        <w:rPr>
          <w:shd w:val="clear" w:color="auto" w:fill="FFFFFF"/>
        </w:rPr>
        <w:t xml:space="preserve">and higher attrition rates </w:t>
      </w:r>
      <w:r w:rsidRPr="002A719F">
        <w:rPr>
          <w:shd w:val="clear" w:color="auto" w:fill="FFFFFF"/>
        </w:rPr>
        <w:t>than the national average</w:t>
      </w:r>
      <w:bookmarkEnd w:id="70"/>
      <w:bookmarkEnd w:id="71"/>
      <w:r w:rsidR="00061472" w:rsidRPr="002A719F">
        <w:rPr>
          <w:shd w:val="clear" w:color="auto" w:fill="FFFFFF"/>
        </w:rPr>
        <w:t xml:space="preserve"> </w:t>
      </w:r>
    </w:p>
    <w:p w14:paraId="4156124A" w14:textId="79755ACB" w:rsidR="00EE0366" w:rsidRDefault="00061472" w:rsidP="003D070F">
      <w:pPr>
        <w:rPr>
          <w:rFonts w:asciiTheme="majorHAnsi" w:hAnsiTheme="majorHAnsi" w:cstheme="majorHAnsi"/>
          <w:b/>
          <w:color w:val="222222"/>
          <w:sz w:val="20"/>
          <w:szCs w:val="20"/>
          <w:shd w:val="clear" w:color="auto" w:fill="FFFFFF"/>
        </w:rPr>
      </w:pPr>
      <w:r w:rsidRPr="0075393C">
        <w:t>Success rates for domestic commencing students for most regionally headquartered universities</w:t>
      </w:r>
      <w:r w:rsidR="00DC0EEC">
        <w:t xml:space="preserve"> </w:t>
      </w:r>
      <w:r w:rsidRPr="0075393C">
        <w:t xml:space="preserve">were lower than the national average of 84% </w:t>
      </w:r>
      <w:r w:rsidR="00B554E6">
        <w:t>in</w:t>
      </w:r>
      <w:r w:rsidRPr="0075393C">
        <w:t xml:space="preserve"> 2022. Success rates are measured as the proportion of actual student load for units of study that are passed</w:t>
      </w:r>
      <w:r w:rsidR="00D02210">
        <w:t>,</w:t>
      </w:r>
      <w:r w:rsidRPr="0075393C">
        <w:t xml:space="preserve"> divided by all the units of study attempted. Only James Cook University (87%) </w:t>
      </w:r>
      <w:r w:rsidR="00595A91">
        <w:t xml:space="preserve">and the University of Tasmania (85%) </w:t>
      </w:r>
      <w:r w:rsidR="00596C54">
        <w:t xml:space="preserve">recorded </w:t>
      </w:r>
      <w:r w:rsidR="00FE572D">
        <w:t xml:space="preserve">a </w:t>
      </w:r>
      <w:r w:rsidRPr="0075393C">
        <w:t xml:space="preserve">success rate above the national average in 2022. </w:t>
      </w:r>
      <w:r w:rsidR="00595A91">
        <w:t>Th</w:t>
      </w:r>
      <w:r w:rsidR="003336EF">
        <w:t xml:space="preserve">ese were the only two regional universities to exceed the national average </w:t>
      </w:r>
      <w:r w:rsidR="00BC4397">
        <w:t xml:space="preserve">over the past five years </w:t>
      </w:r>
      <w:r w:rsidR="00BD764F">
        <w:t xml:space="preserve">- </w:t>
      </w:r>
      <w:r w:rsidR="004A4DFB">
        <w:t>both</w:t>
      </w:r>
      <w:r w:rsidR="007A2CE4">
        <w:t xml:space="preserve"> in </w:t>
      </w:r>
      <w:r w:rsidR="002C2F05">
        <w:t xml:space="preserve">2022, </w:t>
      </w:r>
      <w:r w:rsidR="007A2CE4">
        <w:t>2021</w:t>
      </w:r>
      <w:r w:rsidR="004A4DFB">
        <w:t xml:space="preserve"> </w:t>
      </w:r>
      <w:r w:rsidR="007A2CE4">
        <w:t>and 2018</w:t>
      </w:r>
      <w:r w:rsidR="00BD764F">
        <w:t>,</w:t>
      </w:r>
      <w:r w:rsidR="002C2F05">
        <w:t xml:space="preserve"> and just the University of Tasmania in 2019 (Figure </w:t>
      </w:r>
      <w:r w:rsidR="0031741D">
        <w:t>33</w:t>
      </w:r>
      <w:r w:rsidR="002C2F05">
        <w:t>).</w:t>
      </w:r>
    </w:p>
    <w:p w14:paraId="6A55A826" w14:textId="5712FDBE" w:rsidR="001A105F" w:rsidRDefault="00E44419" w:rsidP="00C21473">
      <w:pPr>
        <w:pStyle w:val="Caption"/>
        <w:rPr>
          <w:rFonts w:asciiTheme="majorHAnsi" w:hAnsiTheme="majorHAnsi" w:cstheme="majorHAnsi"/>
          <w:b w:val="0"/>
          <w:color w:val="222222"/>
          <w:szCs w:val="20"/>
          <w:shd w:val="clear" w:color="auto" w:fill="FFFFFF"/>
        </w:rPr>
      </w:pPr>
      <w:r w:rsidRPr="0031741D">
        <w:rPr>
          <w:rFonts w:asciiTheme="minorHAnsi" w:hAnsiTheme="minorHAnsi" w:cstheme="minorHAnsi"/>
          <w:szCs w:val="20"/>
        </w:rPr>
        <w:t>Figure</w:t>
      </w:r>
      <w:r w:rsidR="007C151B" w:rsidRPr="00150241">
        <w:rPr>
          <w:rFonts w:asciiTheme="minorHAnsi" w:hAnsiTheme="minorHAnsi" w:cstheme="minorHAnsi"/>
          <w:szCs w:val="20"/>
        </w:rPr>
        <w:t xml:space="preserve"> </w:t>
      </w:r>
      <w:r w:rsidR="0031741D" w:rsidRPr="0031741D">
        <w:rPr>
          <w:rFonts w:asciiTheme="minorHAnsi" w:hAnsiTheme="minorHAnsi" w:cstheme="minorHAnsi"/>
          <w:szCs w:val="20"/>
        </w:rPr>
        <w:t>33</w:t>
      </w:r>
      <w:r w:rsidR="002271F8" w:rsidRPr="00150241">
        <w:rPr>
          <w:rFonts w:asciiTheme="minorHAnsi" w:hAnsiTheme="minorHAnsi" w:cstheme="minorHAnsi"/>
          <w:szCs w:val="20"/>
        </w:rPr>
        <w:t>:</w:t>
      </w:r>
      <w:r w:rsidR="00FE1755" w:rsidRPr="00150241">
        <w:rPr>
          <w:rFonts w:asciiTheme="minorHAnsi" w:hAnsiTheme="minorHAnsi" w:cstheme="minorHAnsi"/>
          <w:szCs w:val="20"/>
        </w:rPr>
        <w:t xml:space="preserve"> </w:t>
      </w:r>
      <w:r w:rsidR="00BF32E0" w:rsidRPr="00150241">
        <w:rPr>
          <w:rFonts w:asciiTheme="minorHAnsi" w:hAnsiTheme="minorHAnsi" w:cstheme="minorHAnsi"/>
          <w:szCs w:val="20"/>
        </w:rPr>
        <w:t xml:space="preserve">Success rates for domestic commencing Bachelor </w:t>
      </w:r>
      <w:r w:rsidR="0031741D">
        <w:rPr>
          <w:rFonts w:asciiTheme="minorHAnsi" w:hAnsiTheme="minorHAnsi" w:cstheme="minorHAnsi"/>
          <w:szCs w:val="20"/>
        </w:rPr>
        <w:t xml:space="preserve">degree </w:t>
      </w:r>
      <w:r w:rsidR="00BF32E0" w:rsidRPr="00150241">
        <w:rPr>
          <w:rFonts w:asciiTheme="minorHAnsi" w:hAnsiTheme="minorHAnsi" w:cstheme="minorHAnsi"/>
          <w:szCs w:val="20"/>
        </w:rPr>
        <w:t>students for regional universities and Australia</w:t>
      </w:r>
      <w:r w:rsidR="009425F3" w:rsidRPr="009425F3">
        <w:rPr>
          <w:noProof/>
        </w:rPr>
        <w:t xml:space="preserve"> </w:t>
      </w:r>
      <w:r w:rsidR="009425F3">
        <w:rPr>
          <w:noProof/>
        </w:rPr>
        <w:drawing>
          <wp:inline distT="0" distB="0" distL="0" distR="0" wp14:anchorId="5887933F" wp14:editId="6D3D8ACE">
            <wp:extent cx="5677469" cy="4238625"/>
            <wp:effectExtent l="0" t="0" r="0" b="0"/>
            <wp:docPr id="235979837" name="Chart 1" descr="Clustered bar chart showing success rates for domestic commencing bachelor degree students by institution and year.  Shows only James Cook and University of Tasmania had a success rate better than the all universities average - in 2018, 2021 and 2022 - and University of Tasmania in 2019.">
              <a:extLst xmlns:a="http://schemas.openxmlformats.org/drawingml/2006/main">
                <a:ext uri="{FF2B5EF4-FFF2-40B4-BE49-F238E27FC236}">
                  <a16:creationId xmlns:a16="http://schemas.microsoft.com/office/drawing/2014/main" id="{DC01AB2D-4EF9-0B6C-4368-BE2E3551FB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AB2E6EB" w14:textId="3FAD294D" w:rsidR="00FE1755" w:rsidRPr="00901A26" w:rsidRDefault="00FE1755" w:rsidP="0031741D">
      <w:pPr>
        <w:pStyle w:val="Source"/>
        <w:rPr>
          <w:rFonts w:asciiTheme="minorHAnsi" w:hAnsiTheme="minorHAnsi" w:cstheme="minorHAnsi"/>
          <w:i/>
          <w:iCs/>
          <w:shd w:val="clear" w:color="auto" w:fill="FFFFFF"/>
        </w:rPr>
      </w:pPr>
      <w:r w:rsidRPr="0031741D">
        <w:rPr>
          <w:rFonts w:asciiTheme="minorHAnsi" w:hAnsiTheme="minorHAnsi" w:cstheme="minorHAnsi"/>
          <w:shd w:val="clear" w:color="auto" w:fill="FFFFFF"/>
        </w:rPr>
        <w:t>Source: Department of Education</w:t>
      </w:r>
      <w:r w:rsidRPr="00901A26">
        <w:rPr>
          <w:rFonts w:asciiTheme="minorHAnsi" w:hAnsiTheme="minorHAnsi" w:cstheme="minorHAnsi"/>
          <w:i/>
          <w:iCs/>
          <w:shd w:val="clear" w:color="auto" w:fill="FFFFFF"/>
        </w:rPr>
        <w:t>, Selected Higher Education Statistics</w:t>
      </w:r>
    </w:p>
    <w:p w14:paraId="4C88D0EF" w14:textId="4629EBAF" w:rsidR="007D5672" w:rsidRDefault="0054782A" w:rsidP="0031741D">
      <w:pPr>
        <w:rPr>
          <w:shd w:val="clear" w:color="auto" w:fill="FFFFFF"/>
        </w:rPr>
      </w:pPr>
      <w:r w:rsidRPr="0099288C">
        <w:rPr>
          <w:shd w:val="clear" w:color="auto" w:fill="FFFFFF"/>
        </w:rPr>
        <w:t xml:space="preserve">All </w:t>
      </w:r>
      <w:r w:rsidR="000D4BF9">
        <w:rPr>
          <w:shd w:val="clear" w:color="auto" w:fill="FFFFFF"/>
        </w:rPr>
        <w:t>regional universities</w:t>
      </w:r>
      <w:r w:rsidRPr="0099288C">
        <w:rPr>
          <w:shd w:val="clear" w:color="auto" w:fill="FFFFFF"/>
        </w:rPr>
        <w:t xml:space="preserve"> </w:t>
      </w:r>
      <w:r w:rsidR="0031741D">
        <w:rPr>
          <w:shd w:val="clear" w:color="auto" w:fill="FFFFFF"/>
        </w:rPr>
        <w:t xml:space="preserve">also </w:t>
      </w:r>
      <w:r w:rsidRPr="0099288C">
        <w:rPr>
          <w:shd w:val="clear" w:color="auto" w:fill="FFFFFF"/>
        </w:rPr>
        <w:t xml:space="preserve">had higher student attrition rates </w:t>
      </w:r>
      <w:r>
        <w:rPr>
          <w:shd w:val="clear" w:color="auto" w:fill="FFFFFF"/>
        </w:rPr>
        <w:t>than the national average each year between 2018 and 2021</w:t>
      </w:r>
      <w:r w:rsidR="00D7506D">
        <w:rPr>
          <w:shd w:val="clear" w:color="auto" w:fill="FFFFFF"/>
        </w:rPr>
        <w:t xml:space="preserve"> (Figure </w:t>
      </w:r>
      <w:r w:rsidR="0031741D">
        <w:rPr>
          <w:shd w:val="clear" w:color="auto" w:fill="FFFFFF"/>
        </w:rPr>
        <w:t>34</w:t>
      </w:r>
      <w:r w:rsidR="00D7506D">
        <w:rPr>
          <w:shd w:val="clear" w:color="auto" w:fill="FFFFFF"/>
        </w:rPr>
        <w:t>)</w:t>
      </w:r>
      <w:r>
        <w:rPr>
          <w:shd w:val="clear" w:color="auto" w:fill="FFFFFF"/>
        </w:rPr>
        <w:t>. I</w:t>
      </w:r>
      <w:r w:rsidRPr="0099288C">
        <w:rPr>
          <w:shd w:val="clear" w:color="auto" w:fill="FFFFFF"/>
        </w:rPr>
        <w:t>n 2021</w:t>
      </w:r>
      <w:r>
        <w:rPr>
          <w:shd w:val="clear" w:color="auto" w:fill="FFFFFF"/>
        </w:rPr>
        <w:t>,</w:t>
      </w:r>
      <w:r w:rsidRPr="0099288C">
        <w:rPr>
          <w:shd w:val="clear" w:color="auto" w:fill="FFFFFF"/>
        </w:rPr>
        <w:t xml:space="preserve"> compared to the national average of 1</w:t>
      </w:r>
      <w:r>
        <w:rPr>
          <w:shd w:val="clear" w:color="auto" w:fill="FFFFFF"/>
        </w:rPr>
        <w:t>5</w:t>
      </w:r>
      <w:r w:rsidRPr="0099288C">
        <w:rPr>
          <w:shd w:val="clear" w:color="auto" w:fill="FFFFFF"/>
        </w:rPr>
        <w:t>%</w:t>
      </w:r>
      <w:r>
        <w:rPr>
          <w:shd w:val="clear" w:color="auto" w:fill="FFFFFF"/>
        </w:rPr>
        <w:t xml:space="preserve">, </w:t>
      </w:r>
      <w:r w:rsidRPr="0099288C">
        <w:rPr>
          <w:shd w:val="clear" w:color="auto" w:fill="FFFFFF"/>
        </w:rPr>
        <w:t>Central Queensland Universit</w:t>
      </w:r>
      <w:r>
        <w:rPr>
          <w:shd w:val="clear" w:color="auto" w:fill="FFFFFF"/>
        </w:rPr>
        <w:t>y</w:t>
      </w:r>
      <w:r w:rsidRPr="0099288C">
        <w:rPr>
          <w:shd w:val="clear" w:color="auto" w:fill="FFFFFF"/>
        </w:rPr>
        <w:t>, the University of New England and Southern Cross University had</w:t>
      </w:r>
      <w:r>
        <w:rPr>
          <w:shd w:val="clear" w:color="auto" w:fill="FFFFFF"/>
        </w:rPr>
        <w:t xml:space="preserve"> the highest attrition rates (all 25%). As in previous years,</w:t>
      </w:r>
      <w:r w:rsidRPr="0099288C">
        <w:rPr>
          <w:shd w:val="clear" w:color="auto" w:fill="FFFFFF"/>
        </w:rPr>
        <w:t xml:space="preserve"> </w:t>
      </w:r>
      <w:r>
        <w:rPr>
          <w:shd w:val="clear" w:color="auto" w:fill="FFFFFF"/>
        </w:rPr>
        <w:t xml:space="preserve">in 2021 </w:t>
      </w:r>
      <w:r w:rsidRPr="0099288C">
        <w:rPr>
          <w:shd w:val="clear" w:color="auto" w:fill="FFFFFF"/>
        </w:rPr>
        <w:t>James Cook University ha</w:t>
      </w:r>
      <w:r>
        <w:rPr>
          <w:shd w:val="clear" w:color="auto" w:fill="FFFFFF"/>
        </w:rPr>
        <w:t>d</w:t>
      </w:r>
      <w:r w:rsidRPr="0099288C">
        <w:rPr>
          <w:shd w:val="clear" w:color="auto" w:fill="FFFFFF"/>
        </w:rPr>
        <w:t xml:space="preserve"> </w:t>
      </w:r>
      <w:r>
        <w:rPr>
          <w:shd w:val="clear" w:color="auto" w:fill="FFFFFF"/>
        </w:rPr>
        <w:t>the</w:t>
      </w:r>
      <w:r w:rsidRPr="0099288C">
        <w:rPr>
          <w:shd w:val="clear" w:color="auto" w:fill="FFFFFF"/>
        </w:rPr>
        <w:t xml:space="preserve"> lowest student attrition rate</w:t>
      </w:r>
      <w:r>
        <w:rPr>
          <w:shd w:val="clear" w:color="auto" w:fill="FFFFFF"/>
        </w:rPr>
        <w:t xml:space="preserve"> of the group (</w:t>
      </w:r>
      <w:r w:rsidRPr="0099288C">
        <w:rPr>
          <w:shd w:val="clear" w:color="auto" w:fill="FFFFFF"/>
        </w:rPr>
        <w:t>1</w:t>
      </w:r>
      <w:r>
        <w:rPr>
          <w:shd w:val="clear" w:color="auto" w:fill="FFFFFF"/>
        </w:rPr>
        <w:t>7</w:t>
      </w:r>
      <w:r w:rsidRPr="0099288C">
        <w:rPr>
          <w:shd w:val="clear" w:color="auto" w:fill="FFFFFF"/>
        </w:rPr>
        <w:t>%</w:t>
      </w:r>
      <w:r>
        <w:rPr>
          <w:shd w:val="clear" w:color="auto" w:fill="FFFFFF"/>
        </w:rPr>
        <w:t>)</w:t>
      </w:r>
      <w:r w:rsidRPr="0099288C">
        <w:rPr>
          <w:shd w:val="clear" w:color="auto" w:fill="FFFFFF"/>
        </w:rPr>
        <w:t>.</w:t>
      </w:r>
    </w:p>
    <w:p w14:paraId="25CDECB7" w14:textId="77777777" w:rsidR="007A7B43" w:rsidRDefault="002863AC" w:rsidP="0031741D">
      <w:pPr>
        <w:rPr>
          <w:shd w:val="clear" w:color="auto" w:fill="FFFFFF"/>
        </w:rPr>
      </w:pPr>
      <w:r w:rsidRPr="0CF5B975">
        <w:rPr>
          <w:shd w:val="clear" w:color="auto" w:fill="FFFFFF"/>
        </w:rPr>
        <w:t>The</w:t>
      </w:r>
      <w:r w:rsidR="00846DEB" w:rsidRPr="0CF5B975">
        <w:rPr>
          <w:shd w:val="clear" w:color="auto" w:fill="FFFFFF"/>
        </w:rPr>
        <w:t xml:space="preserve"> 2019</w:t>
      </w:r>
      <w:r w:rsidRPr="0CF5B975">
        <w:rPr>
          <w:shd w:val="clear" w:color="auto" w:fill="FFFFFF"/>
        </w:rPr>
        <w:t xml:space="preserve"> Productivity Commission </w:t>
      </w:r>
      <w:r w:rsidR="00846DEB" w:rsidRPr="0CF5B975">
        <w:rPr>
          <w:shd w:val="clear" w:color="auto" w:fill="FFFFFF"/>
        </w:rPr>
        <w:t xml:space="preserve">report </w:t>
      </w:r>
      <w:r w:rsidR="006C7E96" w:rsidRPr="00466153">
        <w:rPr>
          <w:i/>
        </w:rPr>
        <w:t xml:space="preserve">The Demand </w:t>
      </w:r>
      <w:r w:rsidR="006C7E96" w:rsidRPr="00D42861">
        <w:rPr>
          <w:rStyle w:val="Emphasis"/>
        </w:rPr>
        <w:t>Driven System: A University Report Card</w:t>
      </w:r>
      <w:r w:rsidR="00846DEB" w:rsidRPr="0CF5B975">
        <w:rPr>
          <w:i/>
        </w:rPr>
        <w:t xml:space="preserve"> </w:t>
      </w:r>
      <w:r w:rsidR="00A76236" w:rsidRPr="0CF5B975">
        <w:rPr>
          <w:shd w:val="clear" w:color="auto" w:fill="FFFFFF"/>
        </w:rPr>
        <w:t>concluded</w:t>
      </w:r>
      <w:r w:rsidR="00F04A9E" w:rsidRPr="0CF5B975">
        <w:rPr>
          <w:shd w:val="clear" w:color="auto" w:fill="FFFFFF"/>
        </w:rPr>
        <w:t xml:space="preserve"> that</w:t>
      </w:r>
      <w:r w:rsidR="00846DEB" w:rsidRPr="0CF5B975">
        <w:rPr>
          <w:shd w:val="clear" w:color="auto" w:fill="FFFFFF"/>
        </w:rPr>
        <w:t xml:space="preserve"> </w:t>
      </w:r>
      <w:r w:rsidR="00F04A9E" w:rsidRPr="0CF5B975">
        <w:rPr>
          <w:shd w:val="clear" w:color="auto" w:fill="FFFFFF"/>
        </w:rPr>
        <w:t xml:space="preserve">incentives for universities to manage drop-out risks </w:t>
      </w:r>
      <w:r w:rsidR="001466BE" w:rsidRPr="0CF5B975">
        <w:rPr>
          <w:shd w:val="clear" w:color="auto" w:fill="FFFFFF"/>
        </w:rPr>
        <w:t>we</w:t>
      </w:r>
      <w:r w:rsidR="00F04A9E" w:rsidRPr="0CF5B975">
        <w:rPr>
          <w:shd w:val="clear" w:color="auto" w:fill="FFFFFF"/>
        </w:rPr>
        <w:t>re weak</w:t>
      </w:r>
      <w:r w:rsidR="00A76236" w:rsidRPr="0CF5B975">
        <w:rPr>
          <w:shd w:val="clear" w:color="auto" w:fill="FFFFFF"/>
        </w:rPr>
        <w:t>, and</w:t>
      </w:r>
      <w:r w:rsidR="00177B0A" w:rsidRPr="0CF5B975">
        <w:rPr>
          <w:shd w:val="clear" w:color="auto" w:fill="FFFFFF"/>
        </w:rPr>
        <w:t xml:space="preserve"> funding</w:t>
      </w:r>
      <w:r w:rsidR="00A76236" w:rsidRPr="0CF5B975">
        <w:rPr>
          <w:shd w:val="clear" w:color="auto" w:fill="FFFFFF"/>
        </w:rPr>
        <w:t xml:space="preserve"> </w:t>
      </w:r>
      <w:r w:rsidR="00F04A9E" w:rsidRPr="0CF5B975">
        <w:rPr>
          <w:shd w:val="clear" w:color="auto" w:fill="FFFFFF"/>
        </w:rPr>
        <w:t xml:space="preserve">incentives </w:t>
      </w:r>
      <w:r w:rsidR="007958AA" w:rsidRPr="0CF5B975">
        <w:rPr>
          <w:shd w:val="clear" w:color="auto" w:fill="FFFFFF"/>
        </w:rPr>
        <w:t>through</w:t>
      </w:r>
      <w:r w:rsidR="00F04A9E" w:rsidRPr="0CF5B975">
        <w:rPr>
          <w:shd w:val="clear" w:color="auto" w:fill="FFFFFF"/>
        </w:rPr>
        <w:t xml:space="preserve"> </w:t>
      </w:r>
      <w:r w:rsidR="007958AA" w:rsidRPr="0CF5B975">
        <w:rPr>
          <w:shd w:val="clear" w:color="auto" w:fill="FFFFFF"/>
        </w:rPr>
        <w:t xml:space="preserve">programs such as the Higher Education Participation and Partnerships Program (HEPPP) </w:t>
      </w:r>
      <w:r w:rsidR="001466BE" w:rsidRPr="0CF5B975">
        <w:rPr>
          <w:shd w:val="clear" w:color="auto" w:fill="FFFFFF"/>
        </w:rPr>
        <w:t>we</w:t>
      </w:r>
      <w:r w:rsidR="00F04A9E" w:rsidRPr="0CF5B975">
        <w:rPr>
          <w:shd w:val="clear" w:color="auto" w:fill="FFFFFF"/>
        </w:rPr>
        <w:t xml:space="preserve">re </w:t>
      </w:r>
      <w:r w:rsidR="00A76236" w:rsidRPr="0CF5B975">
        <w:rPr>
          <w:shd w:val="clear" w:color="auto" w:fill="FFFFFF"/>
        </w:rPr>
        <w:t xml:space="preserve">skewed towards </w:t>
      </w:r>
      <w:r w:rsidR="00F04A9E" w:rsidRPr="0CF5B975">
        <w:rPr>
          <w:shd w:val="clear" w:color="auto" w:fill="FFFFFF"/>
        </w:rPr>
        <w:t>enrol</w:t>
      </w:r>
      <w:r w:rsidR="001466BE" w:rsidRPr="0CF5B975">
        <w:rPr>
          <w:shd w:val="clear" w:color="auto" w:fill="FFFFFF"/>
        </w:rPr>
        <w:t>ling</w:t>
      </w:r>
      <w:r w:rsidR="00F04A9E" w:rsidRPr="0CF5B975">
        <w:rPr>
          <w:shd w:val="clear" w:color="auto" w:fill="FFFFFF"/>
        </w:rPr>
        <w:t xml:space="preserve"> more students.</w:t>
      </w:r>
      <w:r w:rsidR="0095754E" w:rsidRPr="0CF5B975">
        <w:rPr>
          <w:shd w:val="clear" w:color="auto" w:fill="FFFFFF"/>
        </w:rPr>
        <w:t xml:space="preserve"> </w:t>
      </w:r>
      <w:r w:rsidR="00E87237" w:rsidRPr="0CF5B975">
        <w:rPr>
          <w:shd w:val="clear" w:color="auto" w:fill="FFFFFF"/>
        </w:rPr>
        <w:t xml:space="preserve">It called for better admissions processes and greater </w:t>
      </w:r>
      <w:r w:rsidR="00846DEB" w:rsidRPr="0CF5B975">
        <w:rPr>
          <w:shd w:val="clear" w:color="auto" w:fill="FFFFFF"/>
        </w:rPr>
        <w:t xml:space="preserve">remedial support for students </w:t>
      </w:r>
      <w:r w:rsidR="00F04A9E" w:rsidRPr="0CF5B975">
        <w:rPr>
          <w:shd w:val="clear" w:color="auto" w:fill="FFFFFF"/>
        </w:rPr>
        <w:t>who</w:t>
      </w:r>
      <w:r w:rsidR="00846DEB" w:rsidRPr="0CF5B975">
        <w:rPr>
          <w:shd w:val="clear" w:color="auto" w:fill="FFFFFF"/>
        </w:rPr>
        <w:t xml:space="preserve"> enter with weak or incomplete foundational skills</w:t>
      </w:r>
      <w:r w:rsidR="006D55EE" w:rsidRPr="0CF5B975">
        <w:rPr>
          <w:shd w:val="clear" w:color="auto" w:fill="FFFFFF"/>
        </w:rPr>
        <w:t xml:space="preserve">, </w:t>
      </w:r>
      <w:r w:rsidR="00C47503" w:rsidRPr="0CF5B975">
        <w:rPr>
          <w:shd w:val="clear" w:color="auto" w:fill="FFFFFF"/>
        </w:rPr>
        <w:t xml:space="preserve">which as </w:t>
      </w:r>
      <w:r w:rsidR="00CA5881" w:rsidRPr="0CF5B975">
        <w:rPr>
          <w:shd w:val="clear" w:color="auto" w:fill="FFFFFF"/>
        </w:rPr>
        <w:t>we have seen</w:t>
      </w:r>
      <w:r w:rsidR="006D55EE" w:rsidRPr="0CF5B975">
        <w:rPr>
          <w:shd w:val="clear" w:color="auto" w:fill="FFFFFF"/>
        </w:rPr>
        <w:t xml:space="preserve"> regional and remote students are </w:t>
      </w:r>
      <w:r w:rsidR="00C47503" w:rsidRPr="0CF5B975">
        <w:rPr>
          <w:shd w:val="clear" w:color="auto" w:fill="FFFFFF"/>
        </w:rPr>
        <w:t>more likely to</w:t>
      </w:r>
      <w:r w:rsidR="00846DEB" w:rsidRPr="0CF5B975">
        <w:rPr>
          <w:shd w:val="clear" w:color="auto" w:fill="FFFFFF"/>
        </w:rPr>
        <w:t xml:space="preserve">. </w:t>
      </w:r>
      <w:r w:rsidR="00DD5F57" w:rsidRPr="0CF5B975">
        <w:rPr>
          <w:shd w:val="clear" w:color="auto" w:fill="FFFFFF"/>
        </w:rPr>
        <w:t xml:space="preserve"> </w:t>
      </w:r>
    </w:p>
    <w:p w14:paraId="184531A7" w14:textId="2F9373E4" w:rsidR="00727FA3" w:rsidRDefault="007A7B43" w:rsidP="0031741D">
      <w:pPr>
        <w:rPr>
          <w:b/>
          <w:sz w:val="20"/>
          <w:szCs w:val="20"/>
          <w:shd w:val="clear" w:color="auto" w:fill="FFFFFF"/>
        </w:rPr>
      </w:pPr>
      <w:r w:rsidRPr="0CF5B975">
        <w:rPr>
          <w:shd w:val="clear" w:color="auto" w:fill="FFFFFF"/>
        </w:rPr>
        <w:t>In this context, t</w:t>
      </w:r>
      <w:r w:rsidR="00DD5F57" w:rsidRPr="0CF5B975">
        <w:rPr>
          <w:shd w:val="clear" w:color="auto" w:fill="FFFFFF"/>
        </w:rPr>
        <w:t xml:space="preserve">he Australian Universities Accord Final Report 2024 </w:t>
      </w:r>
      <w:r w:rsidR="0022199B" w:rsidRPr="0CF5B975">
        <w:rPr>
          <w:shd w:val="clear" w:color="auto" w:fill="FFFFFF"/>
        </w:rPr>
        <w:t>recommend</w:t>
      </w:r>
      <w:r w:rsidR="008F1E72" w:rsidRPr="0CF5B975">
        <w:rPr>
          <w:shd w:val="clear" w:color="auto" w:fill="FFFFFF"/>
        </w:rPr>
        <w:t>ed</w:t>
      </w:r>
      <w:r w:rsidR="007F018E" w:rsidRPr="0CF5B975">
        <w:rPr>
          <w:shd w:val="clear" w:color="auto" w:fill="FFFFFF"/>
        </w:rPr>
        <w:t xml:space="preserve"> a</w:t>
      </w:r>
      <w:r w:rsidR="0022199B" w:rsidRPr="0CF5B975">
        <w:rPr>
          <w:shd w:val="clear" w:color="auto" w:fill="FFFFFF"/>
        </w:rPr>
        <w:t xml:space="preserve"> n</w:t>
      </w:r>
      <w:r w:rsidR="004944A1" w:rsidRPr="0CF5B975">
        <w:rPr>
          <w:shd w:val="clear" w:color="auto" w:fill="FFFFFF"/>
        </w:rPr>
        <w:t>ew n</w:t>
      </w:r>
      <w:r w:rsidR="0022199B" w:rsidRPr="0CF5B975">
        <w:rPr>
          <w:shd w:val="clear" w:color="auto" w:fill="FFFFFF"/>
        </w:rPr>
        <w:t>eeds-based funding model with equity at its heart</w:t>
      </w:r>
      <w:r w:rsidR="009348DB" w:rsidRPr="0CF5B975">
        <w:rPr>
          <w:shd w:val="clear" w:color="auto" w:fill="FFFFFF"/>
        </w:rPr>
        <w:t xml:space="preserve">, </w:t>
      </w:r>
      <w:r w:rsidR="004E4DD6" w:rsidRPr="0CF5B975">
        <w:rPr>
          <w:shd w:val="clear" w:color="auto" w:fill="FFFFFF"/>
        </w:rPr>
        <w:t>that</w:t>
      </w:r>
      <w:r w:rsidR="007E58A7" w:rsidRPr="0CF5B975">
        <w:rPr>
          <w:shd w:val="clear" w:color="auto" w:fill="FFFFFF"/>
        </w:rPr>
        <w:t xml:space="preserve"> focuses on supporting students to complete their qualification successfully, through </w:t>
      </w:r>
      <w:r w:rsidRPr="0CF5B975">
        <w:rPr>
          <w:shd w:val="clear" w:color="auto" w:fill="FFFFFF"/>
        </w:rPr>
        <w:t>student-centred academic and support</w:t>
      </w:r>
      <w:r w:rsidR="00D55237" w:rsidRPr="0CF5B975">
        <w:rPr>
          <w:shd w:val="clear" w:color="auto" w:fill="FFFFFF"/>
        </w:rPr>
        <w:t xml:space="preserve"> </w:t>
      </w:r>
      <w:r w:rsidRPr="0CF5B975">
        <w:rPr>
          <w:shd w:val="clear" w:color="auto" w:fill="FFFFFF"/>
        </w:rPr>
        <w:t>services, inclusive course design and pedagogies, and programs to support improved outcomes for students from under-represented cohorts, such as career planning and work-integrated learning.</w:t>
      </w:r>
      <w:r w:rsidR="00466153">
        <w:rPr>
          <w:shd w:val="clear" w:color="auto" w:fill="FFFFFF"/>
        </w:rPr>
        <w:t xml:space="preserve"> The report</w:t>
      </w:r>
      <w:r w:rsidR="00234F92" w:rsidRPr="0CF5B975">
        <w:rPr>
          <w:shd w:val="clear" w:color="auto" w:fill="FFFFFF"/>
        </w:rPr>
        <w:t xml:space="preserve"> called for an evolution of the HEPPP</w:t>
      </w:r>
      <w:r w:rsidR="00AB6F58" w:rsidRPr="0CF5B975">
        <w:rPr>
          <w:shd w:val="clear" w:color="auto" w:fill="FFFFFF"/>
        </w:rPr>
        <w:t xml:space="preserve">, </w:t>
      </w:r>
      <w:r w:rsidR="00E76C84" w:rsidRPr="0CF5B975">
        <w:rPr>
          <w:shd w:val="clear" w:color="auto" w:fill="FFFFFF"/>
        </w:rPr>
        <w:t>and recommended</w:t>
      </w:r>
      <w:r w:rsidR="006407E9" w:rsidRPr="0CF5B975">
        <w:rPr>
          <w:shd w:val="clear" w:color="auto" w:fill="FFFFFF"/>
        </w:rPr>
        <w:t xml:space="preserve"> a</w:t>
      </w:r>
      <w:r w:rsidR="00234F92" w:rsidRPr="0CF5B975">
        <w:rPr>
          <w:shd w:val="clear" w:color="auto" w:fill="FFFFFF"/>
        </w:rPr>
        <w:t xml:space="preserve"> separate, dedicated outreach program be developed to deliver a more targeted, place-based and community-focused approach to outreach and other initiatives at the pre-access stage</w:t>
      </w:r>
      <w:r w:rsidR="00E76C84" w:rsidRPr="0CF5B975">
        <w:rPr>
          <w:shd w:val="clear" w:color="auto" w:fill="FFFFFF"/>
        </w:rPr>
        <w:t>.</w:t>
      </w:r>
    </w:p>
    <w:p w14:paraId="385A0610" w14:textId="483E7D59" w:rsidR="00C8417D" w:rsidRPr="0031741D" w:rsidRDefault="0054782A" w:rsidP="0031741D">
      <w:pPr>
        <w:pStyle w:val="Caption"/>
        <w:rPr>
          <w:rFonts w:asciiTheme="minorHAnsi" w:hAnsiTheme="minorHAnsi" w:cstheme="minorHAnsi"/>
          <w:szCs w:val="20"/>
        </w:rPr>
      </w:pPr>
      <w:r w:rsidRPr="0031741D">
        <w:rPr>
          <w:rFonts w:asciiTheme="minorHAnsi" w:hAnsiTheme="minorHAnsi" w:cstheme="minorHAnsi"/>
          <w:szCs w:val="20"/>
        </w:rPr>
        <w:t xml:space="preserve">Figure </w:t>
      </w:r>
      <w:r w:rsidR="0031741D" w:rsidRPr="0031741D">
        <w:rPr>
          <w:rFonts w:asciiTheme="minorHAnsi" w:hAnsiTheme="minorHAnsi" w:cstheme="minorHAnsi"/>
          <w:szCs w:val="20"/>
        </w:rPr>
        <w:t>34</w:t>
      </w:r>
      <w:r w:rsidRPr="0031741D">
        <w:rPr>
          <w:rFonts w:asciiTheme="minorHAnsi" w:hAnsiTheme="minorHAnsi" w:cstheme="minorHAnsi"/>
          <w:szCs w:val="20"/>
        </w:rPr>
        <w:t xml:space="preserve">: Attrition rate for domestic commencing </w:t>
      </w:r>
      <w:r w:rsidR="00194410" w:rsidRPr="0031741D">
        <w:rPr>
          <w:rFonts w:asciiTheme="minorHAnsi" w:hAnsiTheme="minorHAnsi" w:cstheme="minorHAnsi"/>
          <w:szCs w:val="20"/>
        </w:rPr>
        <w:t>B</w:t>
      </w:r>
      <w:r w:rsidRPr="0031741D">
        <w:rPr>
          <w:rFonts w:asciiTheme="minorHAnsi" w:hAnsiTheme="minorHAnsi" w:cstheme="minorHAnsi"/>
          <w:szCs w:val="20"/>
        </w:rPr>
        <w:t xml:space="preserve">achelor </w:t>
      </w:r>
      <w:r w:rsidR="00194410" w:rsidRPr="0031741D">
        <w:rPr>
          <w:rFonts w:asciiTheme="minorHAnsi" w:hAnsiTheme="minorHAnsi" w:cstheme="minorHAnsi"/>
          <w:szCs w:val="20"/>
        </w:rPr>
        <w:t xml:space="preserve">degree </w:t>
      </w:r>
      <w:r w:rsidRPr="0031741D">
        <w:rPr>
          <w:rFonts w:asciiTheme="minorHAnsi" w:hAnsiTheme="minorHAnsi" w:cstheme="minorHAnsi"/>
          <w:szCs w:val="20"/>
        </w:rPr>
        <w:t>students for regional universities and Australia</w:t>
      </w:r>
      <w:r w:rsidR="00385011" w:rsidRPr="0031741D">
        <w:rPr>
          <w:rFonts w:asciiTheme="minorHAnsi" w:hAnsiTheme="minorHAnsi" w:cstheme="minorHAnsi"/>
          <w:szCs w:val="20"/>
        </w:rPr>
        <w:t xml:space="preserve"> </w:t>
      </w:r>
    </w:p>
    <w:p w14:paraId="18585EB1" w14:textId="54F37C88" w:rsidR="004C782F" w:rsidRPr="00975851" w:rsidRDefault="00AE0254" w:rsidP="003D070F">
      <w:pPr>
        <w:rPr>
          <w:rFonts w:asciiTheme="minorHAnsi" w:hAnsiTheme="minorHAnsi" w:cstheme="minorHAnsi"/>
          <w:color w:val="222222"/>
          <w:sz w:val="20"/>
          <w:szCs w:val="20"/>
          <w:shd w:val="clear" w:color="auto" w:fill="FFFFFF"/>
        </w:rPr>
      </w:pPr>
      <w:r>
        <w:rPr>
          <w:noProof/>
        </w:rPr>
        <w:drawing>
          <wp:inline distT="0" distB="0" distL="0" distR="0" wp14:anchorId="1BFD43F3" wp14:editId="674CC78E">
            <wp:extent cx="5731510" cy="4015740"/>
            <wp:effectExtent l="0" t="0" r="2540" b="3810"/>
            <wp:docPr id="74533233" name="Chart 1">
              <a:extLst xmlns:a="http://schemas.openxmlformats.org/drawingml/2006/main">
                <a:ext uri="{FF2B5EF4-FFF2-40B4-BE49-F238E27FC236}">
                  <a16:creationId xmlns:a16="http://schemas.microsoft.com/office/drawing/2014/main" id="{7D265D96-79B0-D2F5-BD43-C5983D3E57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189BAC44" w14:textId="77777777" w:rsidR="0054782A" w:rsidRPr="00634DEC" w:rsidRDefault="0054782A" w:rsidP="00634DEC">
      <w:pPr>
        <w:pStyle w:val="Source"/>
        <w:rPr>
          <w:rFonts w:asciiTheme="minorHAnsi" w:hAnsiTheme="minorHAnsi" w:cstheme="minorHAnsi"/>
          <w:shd w:val="clear" w:color="auto" w:fill="FFFFFF"/>
        </w:rPr>
      </w:pPr>
      <w:r w:rsidRPr="00634DEC">
        <w:rPr>
          <w:rFonts w:asciiTheme="minorHAnsi" w:hAnsiTheme="minorHAnsi" w:cstheme="minorHAnsi"/>
          <w:shd w:val="clear" w:color="auto" w:fill="FFFFFF"/>
        </w:rPr>
        <w:t xml:space="preserve">Source: Department of Education, </w:t>
      </w:r>
      <w:r w:rsidRPr="00901A26">
        <w:rPr>
          <w:rFonts w:asciiTheme="minorHAnsi" w:hAnsiTheme="minorHAnsi" w:cstheme="minorHAnsi"/>
          <w:i/>
          <w:iCs/>
          <w:shd w:val="clear" w:color="auto" w:fill="FFFFFF"/>
        </w:rPr>
        <w:t>Selected Higher Education Statistics</w:t>
      </w:r>
    </w:p>
    <w:p w14:paraId="20E67BC0" w14:textId="09EED64B" w:rsidR="00E608BB" w:rsidRPr="00634DEC" w:rsidRDefault="00E608BB" w:rsidP="00465BE3">
      <w:pPr>
        <w:pStyle w:val="Heading4"/>
        <w:rPr>
          <w:shd w:val="clear" w:color="auto" w:fill="FFFFFF"/>
        </w:rPr>
      </w:pPr>
      <w:r w:rsidRPr="00634DEC">
        <w:rPr>
          <w:shd w:val="clear" w:color="auto" w:fill="FFFFFF"/>
        </w:rPr>
        <w:t xml:space="preserve">Enrolments for students from </w:t>
      </w:r>
      <w:r w:rsidRPr="00465BE3">
        <w:t>regional</w:t>
      </w:r>
      <w:r w:rsidRPr="00634DEC">
        <w:rPr>
          <w:shd w:val="clear" w:color="auto" w:fill="FFFFFF"/>
        </w:rPr>
        <w:t xml:space="preserve"> areas have been declining</w:t>
      </w:r>
    </w:p>
    <w:p w14:paraId="10F79A09" w14:textId="2D7EBDD3" w:rsidR="00720025" w:rsidRPr="00361E45" w:rsidRDefault="00E608BB" w:rsidP="00634DEC">
      <w:pPr>
        <w:rPr>
          <w:shd w:val="clear" w:color="auto" w:fill="FFFFFF"/>
        </w:rPr>
      </w:pPr>
      <w:r>
        <w:rPr>
          <w:shd w:val="clear" w:color="auto" w:fill="FFFFFF"/>
        </w:rPr>
        <w:t>U</w:t>
      </w:r>
      <w:r w:rsidRPr="0099288C">
        <w:rPr>
          <w:shd w:val="clear" w:color="auto" w:fill="FFFFFF"/>
        </w:rPr>
        <w:t xml:space="preserve">ndergraduate student enrolments </w:t>
      </w:r>
      <w:r>
        <w:rPr>
          <w:shd w:val="clear" w:color="auto" w:fill="FFFFFF"/>
        </w:rPr>
        <w:t>for those from regional and remote areas (based on their permanent home address</w:t>
      </w:r>
      <w:r w:rsidR="00FE4880">
        <w:rPr>
          <w:shd w:val="clear" w:color="auto" w:fill="FFFFFF"/>
        </w:rPr>
        <w:t>)</w:t>
      </w:r>
      <w:r w:rsidR="00BC0949">
        <w:rPr>
          <w:rStyle w:val="FootnoteReference"/>
          <w:rFonts w:asciiTheme="minorHAnsi" w:hAnsiTheme="minorHAnsi"/>
          <w:color w:val="222222"/>
          <w:shd w:val="clear" w:color="auto" w:fill="FFFFFF"/>
        </w:rPr>
        <w:footnoteReference w:id="64"/>
      </w:r>
      <w:r>
        <w:rPr>
          <w:shd w:val="clear" w:color="auto" w:fill="FFFFFF"/>
        </w:rPr>
        <w:t xml:space="preserve"> declined by 13.7% and 10.3% respectively between 2017 and 2022, driven by a sharp decline between 2021 and 2022. Enrolments for all students had been increasing since 2017, until a drop of almost 5% between 2021 and 2022 saw a marginal net decline of 0.8% over the five-year period.  </w:t>
      </w:r>
    </w:p>
    <w:p w14:paraId="6796A010" w14:textId="4B943D11" w:rsidR="00E608BB" w:rsidRPr="00634DEC" w:rsidRDefault="00E608BB" w:rsidP="00F264FC">
      <w:pPr>
        <w:pStyle w:val="Caption"/>
        <w:rPr>
          <w:shd w:val="clear" w:color="auto" w:fill="FFFFFF"/>
        </w:rPr>
      </w:pPr>
      <w:r w:rsidRPr="00634DEC">
        <w:rPr>
          <w:shd w:val="clear" w:color="auto" w:fill="FFFFFF"/>
        </w:rPr>
        <w:t xml:space="preserve">Table 8: All Domestic </w:t>
      </w:r>
      <w:r w:rsidRPr="00F264FC">
        <w:t>Undergraduate</w:t>
      </w:r>
      <w:r w:rsidRPr="00634DEC">
        <w:rPr>
          <w:shd w:val="clear" w:color="auto" w:fill="FFFFFF"/>
        </w:rPr>
        <w:t xml:space="preserve"> </w:t>
      </w:r>
      <w:r w:rsidRPr="00465BE3">
        <w:t>Students</w:t>
      </w:r>
      <w:r w:rsidRPr="00634DEC">
        <w:rPr>
          <w:shd w:val="clear" w:color="auto" w:fill="FFFFFF"/>
        </w:rPr>
        <w:t xml:space="preserve"> by remoteness 2017 to 2022</w:t>
      </w:r>
    </w:p>
    <w:tbl>
      <w:tblPr>
        <w:tblStyle w:val="JSATable1"/>
        <w:tblW w:w="9016" w:type="dxa"/>
        <w:jc w:val="center"/>
        <w:tblLayout w:type="fixed"/>
        <w:tblLook w:val="04A0" w:firstRow="1" w:lastRow="0" w:firstColumn="1" w:lastColumn="0" w:noHBand="0" w:noVBand="1"/>
      </w:tblPr>
      <w:tblGrid>
        <w:gridCol w:w="1097"/>
        <w:gridCol w:w="989"/>
        <w:gridCol w:w="990"/>
        <w:gridCol w:w="990"/>
        <w:gridCol w:w="990"/>
        <w:gridCol w:w="990"/>
        <w:gridCol w:w="990"/>
        <w:gridCol w:w="990"/>
        <w:gridCol w:w="990"/>
      </w:tblGrid>
      <w:tr w:rsidR="00E608BB" w:rsidRPr="004B520A" w14:paraId="1286DE96" w14:textId="77777777" w:rsidTr="004525C4">
        <w:trPr>
          <w:cnfStyle w:val="100000000000" w:firstRow="1" w:lastRow="0" w:firstColumn="0" w:lastColumn="0" w:oddVBand="0" w:evenVBand="0" w:oddHBand="0" w:evenHBand="0" w:firstRowFirstColumn="0" w:firstRowLastColumn="0" w:lastRowFirstColumn="0" w:lastRowLastColumn="0"/>
          <w:trHeight w:val="585"/>
          <w:jc w:val="center"/>
        </w:trPr>
        <w:tc>
          <w:tcPr>
            <w:tcW w:w="1097" w:type="dxa"/>
            <w:noWrap/>
            <w:vAlign w:val="center"/>
            <w:hideMark/>
          </w:tcPr>
          <w:p w14:paraId="18877456" w14:textId="01E09B34" w:rsidR="00E608BB" w:rsidRPr="004B520A" w:rsidRDefault="00E608BB" w:rsidP="004B520A">
            <w:pPr>
              <w:jc w:val="center"/>
              <w:rPr>
                <w:rFonts w:asciiTheme="majorHAnsi" w:eastAsia="Times New Roman" w:hAnsiTheme="majorHAnsi" w:cstheme="majorHAnsi"/>
                <w:color w:val="FFFFFF"/>
                <w:sz w:val="20"/>
                <w:szCs w:val="20"/>
              </w:rPr>
            </w:pPr>
          </w:p>
        </w:tc>
        <w:tc>
          <w:tcPr>
            <w:tcW w:w="989" w:type="dxa"/>
            <w:noWrap/>
            <w:hideMark/>
          </w:tcPr>
          <w:p w14:paraId="1F86B7A6" w14:textId="77777777" w:rsidR="00E608BB" w:rsidRPr="004B520A" w:rsidRDefault="00E608BB" w:rsidP="005C34D6">
            <w:pPr>
              <w:jc w:val="right"/>
            </w:pPr>
          </w:p>
          <w:p w14:paraId="0E401BD2" w14:textId="77777777" w:rsidR="00E608BB" w:rsidRPr="004B520A" w:rsidRDefault="00E608BB" w:rsidP="005C34D6">
            <w:pPr>
              <w:jc w:val="right"/>
            </w:pPr>
            <w:r w:rsidRPr="004B520A">
              <w:t>2017</w:t>
            </w:r>
          </w:p>
        </w:tc>
        <w:tc>
          <w:tcPr>
            <w:tcW w:w="990" w:type="dxa"/>
            <w:noWrap/>
            <w:hideMark/>
          </w:tcPr>
          <w:p w14:paraId="4C7809D3" w14:textId="77777777" w:rsidR="00E608BB" w:rsidRPr="004B520A" w:rsidRDefault="00E608BB" w:rsidP="005C34D6">
            <w:pPr>
              <w:jc w:val="right"/>
            </w:pPr>
          </w:p>
          <w:p w14:paraId="341DC8E2" w14:textId="77777777" w:rsidR="00E608BB" w:rsidRPr="004B520A" w:rsidRDefault="00E608BB" w:rsidP="005C34D6">
            <w:pPr>
              <w:jc w:val="right"/>
            </w:pPr>
            <w:r w:rsidRPr="004B520A">
              <w:t>2018</w:t>
            </w:r>
          </w:p>
        </w:tc>
        <w:tc>
          <w:tcPr>
            <w:tcW w:w="990" w:type="dxa"/>
            <w:noWrap/>
            <w:hideMark/>
          </w:tcPr>
          <w:p w14:paraId="75B048C9" w14:textId="77777777" w:rsidR="00E608BB" w:rsidRPr="004B520A" w:rsidRDefault="00E608BB" w:rsidP="005C34D6">
            <w:pPr>
              <w:jc w:val="right"/>
            </w:pPr>
          </w:p>
          <w:p w14:paraId="06E53A30" w14:textId="77777777" w:rsidR="00E608BB" w:rsidRPr="004B520A" w:rsidRDefault="00E608BB" w:rsidP="005C34D6">
            <w:pPr>
              <w:jc w:val="right"/>
            </w:pPr>
            <w:r w:rsidRPr="004B520A">
              <w:t>2019</w:t>
            </w:r>
          </w:p>
        </w:tc>
        <w:tc>
          <w:tcPr>
            <w:tcW w:w="990" w:type="dxa"/>
            <w:noWrap/>
            <w:hideMark/>
          </w:tcPr>
          <w:p w14:paraId="22F5FDF5" w14:textId="77777777" w:rsidR="00E608BB" w:rsidRPr="004B520A" w:rsidRDefault="00E608BB" w:rsidP="005C34D6">
            <w:pPr>
              <w:jc w:val="right"/>
            </w:pPr>
          </w:p>
          <w:p w14:paraId="521C7486" w14:textId="77777777" w:rsidR="00E608BB" w:rsidRPr="004B520A" w:rsidRDefault="00E608BB" w:rsidP="005C34D6">
            <w:pPr>
              <w:jc w:val="right"/>
            </w:pPr>
            <w:r w:rsidRPr="004B520A">
              <w:t>2020</w:t>
            </w:r>
          </w:p>
        </w:tc>
        <w:tc>
          <w:tcPr>
            <w:tcW w:w="990" w:type="dxa"/>
            <w:noWrap/>
            <w:hideMark/>
          </w:tcPr>
          <w:p w14:paraId="28AF0E53" w14:textId="77777777" w:rsidR="00E608BB" w:rsidRPr="004B520A" w:rsidRDefault="00E608BB" w:rsidP="005C34D6">
            <w:pPr>
              <w:jc w:val="right"/>
            </w:pPr>
          </w:p>
          <w:p w14:paraId="5EC5513B" w14:textId="77777777" w:rsidR="00E608BB" w:rsidRPr="004B520A" w:rsidRDefault="00E608BB" w:rsidP="005C34D6">
            <w:pPr>
              <w:jc w:val="right"/>
            </w:pPr>
            <w:r w:rsidRPr="004B520A">
              <w:t>2021</w:t>
            </w:r>
          </w:p>
        </w:tc>
        <w:tc>
          <w:tcPr>
            <w:tcW w:w="990" w:type="dxa"/>
            <w:noWrap/>
            <w:hideMark/>
          </w:tcPr>
          <w:p w14:paraId="52CA1E6C" w14:textId="77777777" w:rsidR="00E608BB" w:rsidRPr="004B520A" w:rsidRDefault="00E608BB" w:rsidP="005C34D6">
            <w:pPr>
              <w:jc w:val="right"/>
            </w:pPr>
          </w:p>
          <w:p w14:paraId="2EFDF4D8" w14:textId="77777777" w:rsidR="00E608BB" w:rsidRPr="004B520A" w:rsidRDefault="00E608BB" w:rsidP="005C34D6">
            <w:pPr>
              <w:jc w:val="right"/>
            </w:pPr>
            <w:r w:rsidRPr="004B520A">
              <w:t>2022</w:t>
            </w:r>
          </w:p>
        </w:tc>
        <w:tc>
          <w:tcPr>
            <w:tcW w:w="990" w:type="dxa"/>
            <w:hideMark/>
          </w:tcPr>
          <w:p w14:paraId="5FA6D39D" w14:textId="0FEC9C03" w:rsidR="00E608BB" w:rsidRPr="004B520A" w:rsidRDefault="00E608BB" w:rsidP="005C34D6">
            <w:pPr>
              <w:jc w:val="right"/>
            </w:pPr>
            <w:r w:rsidRPr="004B520A">
              <w:t xml:space="preserve">Change </w:t>
            </w:r>
            <w:r w:rsidRPr="004B520A">
              <w:br/>
              <w:t>2021</w:t>
            </w:r>
            <w:r w:rsidR="007D1B04">
              <w:rPr>
                <w:rFonts w:cs="Arial"/>
                <w:kern w:val="2"/>
                <w14:ligatures w14:val="standardContextual"/>
              </w:rPr>
              <w:t>–</w:t>
            </w:r>
            <w:r w:rsidRPr="004B520A">
              <w:t>2022</w:t>
            </w:r>
          </w:p>
        </w:tc>
        <w:tc>
          <w:tcPr>
            <w:tcW w:w="990" w:type="dxa"/>
            <w:hideMark/>
          </w:tcPr>
          <w:p w14:paraId="1E112360" w14:textId="76FE50A7" w:rsidR="00E608BB" w:rsidRPr="004B520A" w:rsidRDefault="00E608BB" w:rsidP="005C34D6">
            <w:pPr>
              <w:jc w:val="right"/>
            </w:pPr>
            <w:r w:rsidRPr="004B520A">
              <w:t>Change 2017</w:t>
            </w:r>
            <w:r w:rsidR="007D1B04">
              <w:rPr>
                <w:rFonts w:cs="Arial"/>
                <w:kern w:val="2"/>
                <w14:ligatures w14:val="standardContextual"/>
              </w:rPr>
              <w:t>–</w:t>
            </w:r>
            <w:r w:rsidRPr="004B520A">
              <w:t>2022</w:t>
            </w:r>
          </w:p>
        </w:tc>
      </w:tr>
      <w:tr w:rsidR="00E608BB" w:rsidRPr="004B520A" w14:paraId="2B9A0D87" w14:textId="77777777" w:rsidTr="00D55E81">
        <w:trPr>
          <w:trHeight w:val="370"/>
          <w:jc w:val="center"/>
        </w:trPr>
        <w:tc>
          <w:tcPr>
            <w:tcW w:w="1097" w:type="dxa"/>
            <w:noWrap/>
            <w:vAlign w:val="center"/>
            <w:hideMark/>
          </w:tcPr>
          <w:p w14:paraId="5B15E99F" w14:textId="4D525FFD" w:rsidR="00E608BB" w:rsidRPr="006943F2" w:rsidRDefault="00E608BB" w:rsidP="00E54B8C">
            <w:pPr>
              <w:rPr>
                <w:sz w:val="20"/>
                <w:szCs w:val="20"/>
              </w:rPr>
            </w:pPr>
            <w:r w:rsidRPr="006943F2">
              <w:rPr>
                <w:sz w:val="20"/>
                <w:szCs w:val="20"/>
              </w:rPr>
              <w:t>Regional</w:t>
            </w:r>
          </w:p>
        </w:tc>
        <w:tc>
          <w:tcPr>
            <w:tcW w:w="989" w:type="dxa"/>
            <w:vAlign w:val="center"/>
            <w:hideMark/>
          </w:tcPr>
          <w:p w14:paraId="72B05D63" w14:textId="77777777" w:rsidR="00E608BB" w:rsidRPr="006943F2" w:rsidRDefault="00E608BB" w:rsidP="005C34D6">
            <w:pPr>
              <w:jc w:val="right"/>
              <w:rPr>
                <w:sz w:val="20"/>
                <w:szCs w:val="20"/>
              </w:rPr>
            </w:pPr>
            <w:r w:rsidRPr="006943F2">
              <w:rPr>
                <w:sz w:val="20"/>
                <w:szCs w:val="20"/>
              </w:rPr>
              <w:t>159,050</w:t>
            </w:r>
          </w:p>
        </w:tc>
        <w:tc>
          <w:tcPr>
            <w:tcW w:w="990" w:type="dxa"/>
            <w:vAlign w:val="center"/>
            <w:hideMark/>
          </w:tcPr>
          <w:p w14:paraId="72FB9CFE" w14:textId="77777777" w:rsidR="00E608BB" w:rsidRPr="006943F2" w:rsidRDefault="00E608BB" w:rsidP="005C34D6">
            <w:pPr>
              <w:jc w:val="right"/>
              <w:rPr>
                <w:sz w:val="20"/>
                <w:szCs w:val="20"/>
              </w:rPr>
            </w:pPr>
            <w:r w:rsidRPr="006943F2">
              <w:rPr>
                <w:sz w:val="20"/>
                <w:szCs w:val="20"/>
              </w:rPr>
              <w:t>156,751</w:t>
            </w:r>
          </w:p>
        </w:tc>
        <w:tc>
          <w:tcPr>
            <w:tcW w:w="990" w:type="dxa"/>
            <w:vAlign w:val="center"/>
            <w:hideMark/>
          </w:tcPr>
          <w:p w14:paraId="39C2AA32" w14:textId="77777777" w:rsidR="00E608BB" w:rsidRPr="006943F2" w:rsidRDefault="00E608BB" w:rsidP="005C34D6">
            <w:pPr>
              <w:jc w:val="right"/>
              <w:rPr>
                <w:sz w:val="20"/>
                <w:szCs w:val="20"/>
              </w:rPr>
            </w:pPr>
            <w:r w:rsidRPr="006943F2">
              <w:rPr>
                <w:sz w:val="20"/>
                <w:szCs w:val="20"/>
              </w:rPr>
              <w:t>154,954</w:t>
            </w:r>
          </w:p>
        </w:tc>
        <w:tc>
          <w:tcPr>
            <w:tcW w:w="990" w:type="dxa"/>
            <w:vAlign w:val="center"/>
            <w:hideMark/>
          </w:tcPr>
          <w:p w14:paraId="7C08059F" w14:textId="77777777" w:rsidR="00E608BB" w:rsidRPr="006943F2" w:rsidRDefault="00E608BB" w:rsidP="005C34D6">
            <w:pPr>
              <w:jc w:val="right"/>
              <w:rPr>
                <w:sz w:val="20"/>
                <w:szCs w:val="20"/>
              </w:rPr>
            </w:pPr>
            <w:r w:rsidRPr="006943F2">
              <w:rPr>
                <w:sz w:val="20"/>
                <w:szCs w:val="20"/>
              </w:rPr>
              <w:t>151,036</w:t>
            </w:r>
          </w:p>
        </w:tc>
        <w:tc>
          <w:tcPr>
            <w:tcW w:w="990" w:type="dxa"/>
            <w:vAlign w:val="center"/>
            <w:hideMark/>
          </w:tcPr>
          <w:p w14:paraId="5ACC8D36" w14:textId="77777777" w:rsidR="00E608BB" w:rsidRPr="006943F2" w:rsidRDefault="00E608BB" w:rsidP="005C34D6">
            <w:pPr>
              <w:jc w:val="right"/>
              <w:rPr>
                <w:sz w:val="20"/>
                <w:szCs w:val="20"/>
              </w:rPr>
            </w:pPr>
            <w:r w:rsidRPr="006943F2">
              <w:rPr>
                <w:sz w:val="20"/>
                <w:szCs w:val="20"/>
              </w:rPr>
              <w:t>146,728</w:t>
            </w:r>
          </w:p>
        </w:tc>
        <w:tc>
          <w:tcPr>
            <w:tcW w:w="990" w:type="dxa"/>
            <w:vAlign w:val="center"/>
            <w:hideMark/>
          </w:tcPr>
          <w:p w14:paraId="7452328C" w14:textId="77777777" w:rsidR="00E608BB" w:rsidRPr="006943F2" w:rsidRDefault="00E608BB" w:rsidP="005C34D6">
            <w:pPr>
              <w:jc w:val="right"/>
              <w:rPr>
                <w:sz w:val="20"/>
                <w:szCs w:val="20"/>
              </w:rPr>
            </w:pPr>
            <w:r w:rsidRPr="006943F2">
              <w:rPr>
                <w:sz w:val="20"/>
                <w:szCs w:val="20"/>
              </w:rPr>
              <w:t>137,272</w:t>
            </w:r>
          </w:p>
        </w:tc>
        <w:tc>
          <w:tcPr>
            <w:tcW w:w="990" w:type="dxa"/>
            <w:noWrap/>
            <w:vAlign w:val="center"/>
            <w:hideMark/>
          </w:tcPr>
          <w:p w14:paraId="106A0E36" w14:textId="44251876" w:rsidR="00E608BB" w:rsidRPr="006943F2" w:rsidRDefault="00E608BB" w:rsidP="005C34D6">
            <w:pPr>
              <w:jc w:val="right"/>
              <w:rPr>
                <w:sz w:val="20"/>
                <w:szCs w:val="20"/>
              </w:rPr>
            </w:pPr>
            <w:r w:rsidRPr="006943F2">
              <w:rPr>
                <w:sz w:val="20"/>
                <w:szCs w:val="20"/>
              </w:rPr>
              <w:t>-6.4</w:t>
            </w:r>
            <w:r w:rsidR="00727FA3" w:rsidRPr="006943F2">
              <w:rPr>
                <w:sz w:val="20"/>
                <w:szCs w:val="20"/>
              </w:rPr>
              <w:t>%</w:t>
            </w:r>
          </w:p>
        </w:tc>
        <w:tc>
          <w:tcPr>
            <w:tcW w:w="990" w:type="dxa"/>
            <w:noWrap/>
            <w:vAlign w:val="center"/>
            <w:hideMark/>
          </w:tcPr>
          <w:p w14:paraId="4FAFF014" w14:textId="254B917F" w:rsidR="00E608BB" w:rsidRPr="006943F2" w:rsidRDefault="00E608BB" w:rsidP="005C34D6">
            <w:pPr>
              <w:jc w:val="right"/>
              <w:rPr>
                <w:sz w:val="20"/>
                <w:szCs w:val="20"/>
              </w:rPr>
            </w:pPr>
            <w:r w:rsidRPr="006943F2">
              <w:rPr>
                <w:sz w:val="20"/>
                <w:szCs w:val="20"/>
              </w:rPr>
              <w:t>-13.7</w:t>
            </w:r>
            <w:r w:rsidR="00727FA3" w:rsidRPr="006943F2">
              <w:rPr>
                <w:sz w:val="20"/>
                <w:szCs w:val="20"/>
              </w:rPr>
              <w:t>%</w:t>
            </w:r>
          </w:p>
        </w:tc>
      </w:tr>
      <w:tr w:rsidR="00E608BB" w:rsidRPr="004B520A" w14:paraId="39F402A5" w14:textId="77777777" w:rsidTr="00D55E81">
        <w:trPr>
          <w:cnfStyle w:val="000000010000" w:firstRow="0" w:lastRow="0" w:firstColumn="0" w:lastColumn="0" w:oddVBand="0" w:evenVBand="0" w:oddHBand="0" w:evenHBand="1" w:firstRowFirstColumn="0" w:firstRowLastColumn="0" w:lastRowFirstColumn="0" w:lastRowLastColumn="0"/>
          <w:trHeight w:val="370"/>
          <w:jc w:val="center"/>
        </w:trPr>
        <w:tc>
          <w:tcPr>
            <w:tcW w:w="1097" w:type="dxa"/>
            <w:noWrap/>
            <w:vAlign w:val="center"/>
            <w:hideMark/>
          </w:tcPr>
          <w:p w14:paraId="5005BAD9" w14:textId="77777777" w:rsidR="00E608BB" w:rsidRPr="006943F2" w:rsidRDefault="00E608BB" w:rsidP="00634DEC">
            <w:pPr>
              <w:rPr>
                <w:rFonts w:asciiTheme="minorHAnsi" w:eastAsia="Times New Roman" w:hAnsiTheme="minorHAnsi" w:cstheme="minorHAnsi"/>
                <w:color w:val="FFFFFF"/>
                <w:sz w:val="20"/>
                <w:szCs w:val="20"/>
              </w:rPr>
            </w:pPr>
            <w:r w:rsidRPr="006943F2">
              <w:rPr>
                <w:rFonts w:asciiTheme="minorHAnsi" w:eastAsia="Times New Roman" w:hAnsiTheme="minorHAnsi" w:cstheme="minorHAnsi"/>
                <w:color w:val="000000" w:themeColor="text1"/>
                <w:sz w:val="20"/>
                <w:szCs w:val="20"/>
              </w:rPr>
              <w:t>Remote</w:t>
            </w:r>
          </w:p>
        </w:tc>
        <w:tc>
          <w:tcPr>
            <w:tcW w:w="989" w:type="dxa"/>
            <w:vAlign w:val="center"/>
            <w:hideMark/>
          </w:tcPr>
          <w:p w14:paraId="06DE09A0" w14:textId="77777777" w:rsidR="00E608BB" w:rsidRPr="006943F2" w:rsidRDefault="00E608BB" w:rsidP="005C34D6">
            <w:pPr>
              <w:jc w:val="right"/>
              <w:rPr>
                <w:sz w:val="20"/>
                <w:szCs w:val="20"/>
              </w:rPr>
            </w:pPr>
            <w:r w:rsidRPr="006943F2">
              <w:rPr>
                <w:sz w:val="20"/>
                <w:szCs w:val="20"/>
              </w:rPr>
              <w:t>6,337</w:t>
            </w:r>
          </w:p>
        </w:tc>
        <w:tc>
          <w:tcPr>
            <w:tcW w:w="990" w:type="dxa"/>
            <w:vAlign w:val="center"/>
            <w:hideMark/>
          </w:tcPr>
          <w:p w14:paraId="0F23FD18" w14:textId="77777777" w:rsidR="00E608BB" w:rsidRPr="006943F2" w:rsidRDefault="00E608BB" w:rsidP="005C34D6">
            <w:pPr>
              <w:jc w:val="right"/>
              <w:rPr>
                <w:sz w:val="20"/>
                <w:szCs w:val="20"/>
              </w:rPr>
            </w:pPr>
            <w:r w:rsidRPr="006943F2">
              <w:rPr>
                <w:sz w:val="20"/>
                <w:szCs w:val="20"/>
              </w:rPr>
              <w:t>6,234</w:t>
            </w:r>
          </w:p>
        </w:tc>
        <w:tc>
          <w:tcPr>
            <w:tcW w:w="990" w:type="dxa"/>
            <w:vAlign w:val="center"/>
            <w:hideMark/>
          </w:tcPr>
          <w:p w14:paraId="72B13D82" w14:textId="77777777" w:rsidR="00E608BB" w:rsidRPr="006943F2" w:rsidRDefault="00E608BB" w:rsidP="005C34D6">
            <w:pPr>
              <w:jc w:val="right"/>
              <w:rPr>
                <w:sz w:val="20"/>
                <w:szCs w:val="20"/>
              </w:rPr>
            </w:pPr>
            <w:r w:rsidRPr="006943F2">
              <w:rPr>
                <w:sz w:val="20"/>
                <w:szCs w:val="20"/>
              </w:rPr>
              <w:t>6,276</w:t>
            </w:r>
          </w:p>
        </w:tc>
        <w:tc>
          <w:tcPr>
            <w:tcW w:w="990" w:type="dxa"/>
            <w:vAlign w:val="center"/>
            <w:hideMark/>
          </w:tcPr>
          <w:p w14:paraId="1491A27C" w14:textId="77777777" w:rsidR="00E608BB" w:rsidRPr="006943F2" w:rsidRDefault="00E608BB" w:rsidP="005C34D6">
            <w:pPr>
              <w:jc w:val="right"/>
              <w:rPr>
                <w:sz w:val="20"/>
                <w:szCs w:val="20"/>
              </w:rPr>
            </w:pPr>
            <w:r w:rsidRPr="006943F2">
              <w:rPr>
                <w:sz w:val="20"/>
                <w:szCs w:val="20"/>
              </w:rPr>
              <w:t>6,135</w:t>
            </w:r>
          </w:p>
        </w:tc>
        <w:tc>
          <w:tcPr>
            <w:tcW w:w="990" w:type="dxa"/>
            <w:vAlign w:val="center"/>
            <w:hideMark/>
          </w:tcPr>
          <w:p w14:paraId="32132512" w14:textId="77777777" w:rsidR="00E608BB" w:rsidRPr="006943F2" w:rsidRDefault="00E608BB" w:rsidP="005C34D6">
            <w:pPr>
              <w:jc w:val="right"/>
              <w:rPr>
                <w:sz w:val="20"/>
                <w:szCs w:val="20"/>
              </w:rPr>
            </w:pPr>
            <w:r w:rsidRPr="006943F2">
              <w:rPr>
                <w:sz w:val="20"/>
                <w:szCs w:val="20"/>
              </w:rPr>
              <w:t>6,102</w:t>
            </w:r>
          </w:p>
        </w:tc>
        <w:tc>
          <w:tcPr>
            <w:tcW w:w="990" w:type="dxa"/>
            <w:vAlign w:val="center"/>
            <w:hideMark/>
          </w:tcPr>
          <w:p w14:paraId="2381FBF5" w14:textId="77777777" w:rsidR="00E608BB" w:rsidRPr="006943F2" w:rsidRDefault="00E608BB" w:rsidP="005C34D6">
            <w:pPr>
              <w:jc w:val="right"/>
              <w:rPr>
                <w:sz w:val="20"/>
                <w:szCs w:val="20"/>
              </w:rPr>
            </w:pPr>
            <w:r w:rsidRPr="006943F2">
              <w:rPr>
                <w:sz w:val="20"/>
                <w:szCs w:val="20"/>
              </w:rPr>
              <w:t>5,687</w:t>
            </w:r>
          </w:p>
        </w:tc>
        <w:tc>
          <w:tcPr>
            <w:tcW w:w="990" w:type="dxa"/>
            <w:noWrap/>
            <w:vAlign w:val="center"/>
            <w:hideMark/>
          </w:tcPr>
          <w:p w14:paraId="4CABA65E" w14:textId="5E284F2A" w:rsidR="00E608BB" w:rsidRPr="006943F2" w:rsidRDefault="00E608BB" w:rsidP="005C34D6">
            <w:pPr>
              <w:jc w:val="right"/>
              <w:rPr>
                <w:sz w:val="20"/>
                <w:szCs w:val="20"/>
              </w:rPr>
            </w:pPr>
            <w:r w:rsidRPr="006943F2">
              <w:rPr>
                <w:sz w:val="20"/>
                <w:szCs w:val="20"/>
              </w:rPr>
              <w:t>-6.8</w:t>
            </w:r>
            <w:r w:rsidR="00727FA3" w:rsidRPr="006943F2">
              <w:rPr>
                <w:sz w:val="20"/>
                <w:szCs w:val="20"/>
              </w:rPr>
              <w:t>%</w:t>
            </w:r>
          </w:p>
        </w:tc>
        <w:tc>
          <w:tcPr>
            <w:tcW w:w="990" w:type="dxa"/>
            <w:noWrap/>
            <w:vAlign w:val="center"/>
            <w:hideMark/>
          </w:tcPr>
          <w:p w14:paraId="701A3F1C" w14:textId="1D461976" w:rsidR="00E608BB" w:rsidRPr="006943F2" w:rsidRDefault="00E608BB" w:rsidP="005C34D6">
            <w:pPr>
              <w:jc w:val="right"/>
              <w:rPr>
                <w:sz w:val="20"/>
                <w:szCs w:val="20"/>
              </w:rPr>
            </w:pPr>
            <w:r w:rsidRPr="006943F2">
              <w:rPr>
                <w:sz w:val="20"/>
                <w:szCs w:val="20"/>
              </w:rPr>
              <w:t>-10.3</w:t>
            </w:r>
            <w:r w:rsidR="00727FA3" w:rsidRPr="006943F2">
              <w:rPr>
                <w:sz w:val="20"/>
                <w:szCs w:val="20"/>
              </w:rPr>
              <w:t>%</w:t>
            </w:r>
          </w:p>
        </w:tc>
      </w:tr>
      <w:tr w:rsidR="00E608BB" w:rsidRPr="004B520A" w14:paraId="1626365F" w14:textId="77777777" w:rsidTr="00D55E81">
        <w:trPr>
          <w:trHeight w:val="370"/>
          <w:jc w:val="center"/>
        </w:trPr>
        <w:tc>
          <w:tcPr>
            <w:tcW w:w="1097" w:type="dxa"/>
            <w:noWrap/>
            <w:vAlign w:val="center"/>
            <w:hideMark/>
          </w:tcPr>
          <w:p w14:paraId="611635F4" w14:textId="77777777" w:rsidR="00E608BB" w:rsidRPr="006943F2" w:rsidRDefault="00E608BB" w:rsidP="00634DEC">
            <w:pPr>
              <w:rPr>
                <w:sz w:val="20"/>
                <w:szCs w:val="20"/>
              </w:rPr>
            </w:pPr>
            <w:r w:rsidRPr="006943F2">
              <w:rPr>
                <w:sz w:val="20"/>
                <w:szCs w:val="20"/>
              </w:rPr>
              <w:t>Domestic</w:t>
            </w:r>
          </w:p>
        </w:tc>
        <w:tc>
          <w:tcPr>
            <w:tcW w:w="989" w:type="dxa"/>
            <w:noWrap/>
            <w:vAlign w:val="center"/>
            <w:hideMark/>
          </w:tcPr>
          <w:p w14:paraId="2C20AC75" w14:textId="77777777" w:rsidR="00E608BB" w:rsidRPr="006943F2" w:rsidRDefault="00E608BB" w:rsidP="005C34D6">
            <w:pPr>
              <w:jc w:val="right"/>
              <w:rPr>
                <w:sz w:val="20"/>
                <w:szCs w:val="20"/>
              </w:rPr>
            </w:pPr>
            <w:r w:rsidRPr="006943F2">
              <w:rPr>
                <w:sz w:val="20"/>
                <w:szCs w:val="20"/>
              </w:rPr>
              <w:t>801,080</w:t>
            </w:r>
          </w:p>
        </w:tc>
        <w:tc>
          <w:tcPr>
            <w:tcW w:w="990" w:type="dxa"/>
            <w:noWrap/>
            <w:vAlign w:val="center"/>
            <w:hideMark/>
          </w:tcPr>
          <w:p w14:paraId="7C84BDAC" w14:textId="77777777" w:rsidR="00E608BB" w:rsidRPr="006943F2" w:rsidRDefault="00E608BB" w:rsidP="005C34D6">
            <w:pPr>
              <w:jc w:val="right"/>
              <w:rPr>
                <w:sz w:val="20"/>
                <w:szCs w:val="20"/>
              </w:rPr>
            </w:pPr>
            <w:r w:rsidRPr="006943F2">
              <w:rPr>
                <w:sz w:val="20"/>
                <w:szCs w:val="20"/>
              </w:rPr>
              <w:t>804,614</w:t>
            </w:r>
          </w:p>
        </w:tc>
        <w:tc>
          <w:tcPr>
            <w:tcW w:w="990" w:type="dxa"/>
            <w:noWrap/>
            <w:vAlign w:val="center"/>
            <w:hideMark/>
          </w:tcPr>
          <w:p w14:paraId="0B6D6008" w14:textId="77777777" w:rsidR="00E608BB" w:rsidRPr="006943F2" w:rsidRDefault="00E608BB" w:rsidP="005C34D6">
            <w:pPr>
              <w:jc w:val="right"/>
              <w:rPr>
                <w:sz w:val="20"/>
                <w:szCs w:val="20"/>
              </w:rPr>
            </w:pPr>
            <w:r w:rsidRPr="006943F2">
              <w:rPr>
                <w:sz w:val="20"/>
                <w:szCs w:val="20"/>
              </w:rPr>
              <w:t>803,035</w:t>
            </w:r>
          </w:p>
        </w:tc>
        <w:tc>
          <w:tcPr>
            <w:tcW w:w="990" w:type="dxa"/>
            <w:noWrap/>
            <w:vAlign w:val="center"/>
            <w:hideMark/>
          </w:tcPr>
          <w:p w14:paraId="7E09BFC9" w14:textId="77777777" w:rsidR="00E608BB" w:rsidRPr="006943F2" w:rsidRDefault="00E608BB" w:rsidP="005C34D6">
            <w:pPr>
              <w:jc w:val="right"/>
              <w:rPr>
                <w:sz w:val="20"/>
                <w:szCs w:val="20"/>
              </w:rPr>
            </w:pPr>
            <w:r w:rsidRPr="006943F2">
              <w:rPr>
                <w:sz w:val="20"/>
                <w:szCs w:val="20"/>
              </w:rPr>
              <w:t>818,364</w:t>
            </w:r>
          </w:p>
        </w:tc>
        <w:tc>
          <w:tcPr>
            <w:tcW w:w="990" w:type="dxa"/>
            <w:noWrap/>
            <w:vAlign w:val="center"/>
            <w:hideMark/>
          </w:tcPr>
          <w:p w14:paraId="570F7AA7" w14:textId="77777777" w:rsidR="00E608BB" w:rsidRPr="006943F2" w:rsidRDefault="00E608BB" w:rsidP="005C34D6">
            <w:pPr>
              <w:jc w:val="right"/>
              <w:rPr>
                <w:sz w:val="20"/>
                <w:szCs w:val="20"/>
              </w:rPr>
            </w:pPr>
            <w:r w:rsidRPr="006943F2">
              <w:rPr>
                <w:sz w:val="20"/>
                <w:szCs w:val="20"/>
              </w:rPr>
              <w:t>835,311</w:t>
            </w:r>
          </w:p>
        </w:tc>
        <w:tc>
          <w:tcPr>
            <w:tcW w:w="990" w:type="dxa"/>
            <w:noWrap/>
            <w:vAlign w:val="center"/>
            <w:hideMark/>
          </w:tcPr>
          <w:p w14:paraId="07E14398" w14:textId="77777777" w:rsidR="00E608BB" w:rsidRPr="006943F2" w:rsidRDefault="00E608BB" w:rsidP="005C34D6">
            <w:pPr>
              <w:jc w:val="right"/>
              <w:rPr>
                <w:sz w:val="20"/>
                <w:szCs w:val="20"/>
              </w:rPr>
            </w:pPr>
            <w:r w:rsidRPr="006943F2">
              <w:rPr>
                <w:sz w:val="20"/>
                <w:szCs w:val="20"/>
              </w:rPr>
              <w:t>794,397</w:t>
            </w:r>
          </w:p>
        </w:tc>
        <w:tc>
          <w:tcPr>
            <w:tcW w:w="990" w:type="dxa"/>
            <w:noWrap/>
            <w:vAlign w:val="center"/>
          </w:tcPr>
          <w:p w14:paraId="67EAD969" w14:textId="4B71F877" w:rsidR="00E608BB" w:rsidRPr="006943F2" w:rsidRDefault="00E608BB" w:rsidP="005C34D6">
            <w:pPr>
              <w:jc w:val="right"/>
              <w:rPr>
                <w:sz w:val="20"/>
                <w:szCs w:val="20"/>
              </w:rPr>
            </w:pPr>
            <w:r w:rsidRPr="006943F2">
              <w:rPr>
                <w:sz w:val="20"/>
                <w:szCs w:val="20"/>
              </w:rPr>
              <w:t>-4.9</w:t>
            </w:r>
            <w:r w:rsidR="00727FA3" w:rsidRPr="006943F2">
              <w:rPr>
                <w:sz w:val="20"/>
                <w:szCs w:val="20"/>
              </w:rPr>
              <w:t>%</w:t>
            </w:r>
          </w:p>
        </w:tc>
        <w:tc>
          <w:tcPr>
            <w:tcW w:w="990" w:type="dxa"/>
            <w:noWrap/>
            <w:vAlign w:val="center"/>
          </w:tcPr>
          <w:p w14:paraId="37A37E04" w14:textId="199C53C3" w:rsidR="00E608BB" w:rsidRPr="006943F2" w:rsidRDefault="00E608BB" w:rsidP="005C34D6">
            <w:pPr>
              <w:jc w:val="right"/>
              <w:rPr>
                <w:sz w:val="20"/>
                <w:szCs w:val="20"/>
              </w:rPr>
            </w:pPr>
            <w:r w:rsidRPr="006943F2">
              <w:rPr>
                <w:sz w:val="20"/>
                <w:szCs w:val="20"/>
              </w:rPr>
              <w:t>-0.8</w:t>
            </w:r>
            <w:r w:rsidR="00727FA3" w:rsidRPr="006943F2">
              <w:rPr>
                <w:sz w:val="20"/>
                <w:szCs w:val="20"/>
              </w:rPr>
              <w:t>%</w:t>
            </w:r>
          </w:p>
        </w:tc>
      </w:tr>
    </w:tbl>
    <w:p w14:paraId="67B61F32" w14:textId="5895F4CF" w:rsidR="008D084B" w:rsidRPr="00634DEC" w:rsidRDefault="00E608BB" w:rsidP="00634DEC">
      <w:pPr>
        <w:pStyle w:val="Source"/>
        <w:rPr>
          <w:rFonts w:asciiTheme="minorHAnsi" w:hAnsiTheme="minorHAnsi" w:cstheme="minorHAnsi"/>
          <w:shd w:val="clear" w:color="auto" w:fill="FFFFFF"/>
        </w:rPr>
      </w:pPr>
      <w:r w:rsidRPr="00634DEC">
        <w:rPr>
          <w:rStyle w:val="CommentReference"/>
          <w:rFonts w:asciiTheme="minorHAnsi" w:hAnsiTheme="minorHAnsi" w:cstheme="minorHAnsi"/>
          <w:sz w:val="18"/>
          <w:szCs w:val="18"/>
        </w:rPr>
        <w:t>S</w:t>
      </w:r>
      <w:r w:rsidRPr="00634DEC">
        <w:rPr>
          <w:rFonts w:asciiTheme="minorHAnsi" w:hAnsiTheme="minorHAnsi" w:cstheme="minorHAnsi"/>
          <w:shd w:val="clear" w:color="auto" w:fill="FFFFFF"/>
        </w:rPr>
        <w:t xml:space="preserve">ource: Department of Education, </w:t>
      </w:r>
      <w:r w:rsidRPr="00901A26">
        <w:rPr>
          <w:rFonts w:asciiTheme="minorHAnsi" w:hAnsiTheme="minorHAnsi" w:cstheme="minorHAnsi"/>
          <w:i/>
          <w:iCs/>
          <w:shd w:val="clear" w:color="auto" w:fill="FFFFFF"/>
        </w:rPr>
        <w:t>Selected Higher Education Statistic</w:t>
      </w:r>
      <w:r w:rsidR="002A7F88" w:rsidRPr="00901A26">
        <w:rPr>
          <w:rFonts w:asciiTheme="minorHAnsi" w:hAnsiTheme="minorHAnsi" w:cstheme="minorHAnsi"/>
          <w:i/>
          <w:iCs/>
          <w:shd w:val="clear" w:color="auto" w:fill="FFFFFF"/>
        </w:rPr>
        <w:t>s</w:t>
      </w:r>
    </w:p>
    <w:p w14:paraId="63C5254B" w14:textId="22AD26CC" w:rsidR="00374F2D" w:rsidRPr="00634DEC" w:rsidRDefault="00374F2D" w:rsidP="005C34D6">
      <w:pPr>
        <w:pStyle w:val="Heading4"/>
        <w:rPr>
          <w:shd w:val="clear" w:color="auto" w:fill="FFFFFF"/>
        </w:rPr>
      </w:pPr>
      <w:r w:rsidRPr="00634DEC">
        <w:rPr>
          <w:shd w:val="clear" w:color="auto" w:fill="FFFFFF"/>
        </w:rPr>
        <w:t xml:space="preserve">Students from regional areas have </w:t>
      </w:r>
      <w:r w:rsidRPr="005C34D6">
        <w:t>higher</w:t>
      </w:r>
      <w:r w:rsidRPr="00634DEC">
        <w:rPr>
          <w:shd w:val="clear" w:color="auto" w:fill="FFFFFF"/>
        </w:rPr>
        <w:t xml:space="preserve"> </w:t>
      </w:r>
      <w:r w:rsidR="00D33641" w:rsidRPr="00634DEC">
        <w:rPr>
          <w:shd w:val="clear" w:color="auto" w:fill="FFFFFF"/>
        </w:rPr>
        <w:t>first-year attrition rates</w:t>
      </w:r>
      <w:r w:rsidRPr="00634DEC">
        <w:rPr>
          <w:shd w:val="clear" w:color="auto" w:fill="FFFFFF"/>
        </w:rPr>
        <w:t xml:space="preserve"> </w:t>
      </w:r>
    </w:p>
    <w:p w14:paraId="580DE8E4" w14:textId="069D1677" w:rsidR="00FE1755" w:rsidRDefault="00705DBD" w:rsidP="00634DEC">
      <w:r>
        <w:t>W</w:t>
      </w:r>
      <w:r w:rsidR="00FE1755" w:rsidRPr="0075393C">
        <w:t>hen looking at attrition rates by remoteness</w:t>
      </w:r>
      <w:r w:rsidR="001119AE">
        <w:t xml:space="preserve"> </w:t>
      </w:r>
      <w:r w:rsidR="00150041">
        <w:t xml:space="preserve">(again, </w:t>
      </w:r>
      <w:r w:rsidR="001119AE">
        <w:t xml:space="preserve">based on </w:t>
      </w:r>
      <w:r w:rsidR="00C41D70">
        <w:t>permanent home address</w:t>
      </w:r>
      <w:r w:rsidR="00150041">
        <w:t>)</w:t>
      </w:r>
      <w:r w:rsidR="00E065B9">
        <w:t xml:space="preserve"> </w:t>
      </w:r>
      <w:r w:rsidR="00FE1755" w:rsidRPr="0075393C">
        <w:t xml:space="preserve">regional and remote students have higher attrition rates compared to </w:t>
      </w:r>
      <w:r w:rsidR="00FD601B">
        <w:t xml:space="preserve">students from </w:t>
      </w:r>
      <w:r w:rsidR="00E065B9">
        <w:t>major</w:t>
      </w:r>
      <w:r w:rsidR="00FD601B">
        <w:t xml:space="preserve"> cities</w:t>
      </w:r>
      <w:r w:rsidR="00FE1755" w:rsidRPr="0075393C">
        <w:t xml:space="preserve">. For example, </w:t>
      </w:r>
      <w:r w:rsidR="00A90A53">
        <w:t>of the</w:t>
      </w:r>
      <w:r w:rsidR="00FE1755" w:rsidRPr="0075393C">
        <w:t xml:space="preserve"> students who commenced studying in 2014, 8% of </w:t>
      </w:r>
      <w:r w:rsidR="00FD601B">
        <w:t>major</w:t>
      </w:r>
      <w:r w:rsidR="00FE1755" w:rsidRPr="0075393C">
        <w:t xml:space="preserve"> city students did not return the following year, compared to 12% of regional students and 14% of remote students (</w:t>
      </w:r>
      <w:r w:rsidR="00E44419">
        <w:t>Figure</w:t>
      </w:r>
      <w:r w:rsidR="00FE1755" w:rsidRPr="0075393C">
        <w:t xml:space="preserve"> </w:t>
      </w:r>
      <w:r w:rsidR="00FC33D1">
        <w:t>3</w:t>
      </w:r>
      <w:r w:rsidR="003D395A">
        <w:t>5</w:t>
      </w:r>
      <w:r w:rsidR="00FE1755" w:rsidRPr="0075393C">
        <w:t>).</w:t>
      </w:r>
    </w:p>
    <w:p w14:paraId="0BD480DD" w14:textId="1FC56423" w:rsidR="00061472" w:rsidRPr="00CA5326" w:rsidRDefault="00E44419" w:rsidP="005C34D6">
      <w:pPr>
        <w:pStyle w:val="Caption"/>
        <w:rPr>
          <w:shd w:val="clear" w:color="auto" w:fill="FFFFFF"/>
        </w:rPr>
      </w:pPr>
      <w:r w:rsidRPr="00634DEC">
        <w:t>Figure</w:t>
      </w:r>
      <w:r w:rsidR="007C151B" w:rsidRPr="00634DEC">
        <w:t xml:space="preserve"> 3</w:t>
      </w:r>
      <w:r w:rsidR="00634DEC">
        <w:t>5</w:t>
      </w:r>
      <w:r w:rsidR="00686E4B" w:rsidRPr="00634DEC">
        <w:t>:</w:t>
      </w:r>
      <w:r w:rsidR="00061472" w:rsidRPr="00634DEC">
        <w:t xml:space="preserve"> </w:t>
      </w:r>
      <w:r w:rsidR="00A47362" w:rsidRPr="005C34D6">
        <w:t>Percentage</w:t>
      </w:r>
      <w:r w:rsidR="00A47362" w:rsidRPr="00634DEC">
        <w:t xml:space="preserve"> of commencing domestic </w:t>
      </w:r>
      <w:r w:rsidR="00194410" w:rsidRPr="00634DEC">
        <w:t>B</w:t>
      </w:r>
      <w:r w:rsidR="00A47362" w:rsidRPr="00634DEC">
        <w:t>achelor</w:t>
      </w:r>
      <w:r w:rsidR="00194410" w:rsidRPr="00634DEC">
        <w:t xml:space="preserve"> Degree</w:t>
      </w:r>
      <w:r w:rsidR="00A47362" w:rsidRPr="00634DEC">
        <w:t xml:space="preserve"> students </w:t>
      </w:r>
      <w:r w:rsidR="00454257" w:rsidRPr="00634DEC">
        <w:t xml:space="preserve">that </w:t>
      </w:r>
      <w:r w:rsidR="00A47362" w:rsidRPr="00634DEC">
        <w:t>dropped out after the first year (9 year cohort analysis</w:t>
      </w:r>
      <w:r w:rsidR="00634DEC">
        <w:t>)</w:t>
      </w:r>
      <w:r w:rsidR="00061472">
        <w:rPr>
          <w:noProof/>
        </w:rPr>
        <w:drawing>
          <wp:inline distT="0" distB="0" distL="0" distR="0" wp14:anchorId="69A727AA" wp14:editId="3CF90CFF">
            <wp:extent cx="5622878" cy="3272790"/>
            <wp:effectExtent l="0" t="0" r="0" b="3810"/>
            <wp:docPr id="1609673038" name="Chart 1" descr="This line chart shows the percentage  of commencing domestic bachelor degree students which dropped out of their studies after their first year, based on a 9 year cohort time series. Across the time series the highest proportion of students which dropped out following their first year of study were from remote areas, followed by regional areas. Students studying in major cities had the lowest drop out rate compared to the other remoteness categories.">
              <a:extLst xmlns:a="http://schemas.openxmlformats.org/drawingml/2006/main">
                <a:ext uri="{FF2B5EF4-FFF2-40B4-BE49-F238E27FC236}">
                  <a16:creationId xmlns:a16="http://schemas.microsoft.com/office/drawing/2014/main" id="{D651C7D2-BB65-6498-3A6F-A9340C3D6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6CEE5C3" w14:textId="549A622C" w:rsidR="002917E2" w:rsidRPr="00634DEC" w:rsidRDefault="00061472" w:rsidP="00634DEC">
      <w:pPr>
        <w:pStyle w:val="Source"/>
        <w:rPr>
          <w:rFonts w:asciiTheme="minorHAnsi" w:hAnsiTheme="minorHAnsi" w:cstheme="minorHAnsi"/>
          <w:shd w:val="clear" w:color="auto" w:fill="FFFFFF"/>
        </w:rPr>
      </w:pPr>
      <w:r w:rsidRPr="00634DEC">
        <w:rPr>
          <w:rFonts w:asciiTheme="minorHAnsi" w:hAnsiTheme="minorHAnsi" w:cstheme="minorHAnsi"/>
          <w:shd w:val="clear" w:color="auto" w:fill="FFFFFF"/>
        </w:rPr>
        <w:t xml:space="preserve">Source: Department of Education, </w:t>
      </w:r>
      <w:r w:rsidRPr="00901A26">
        <w:rPr>
          <w:rFonts w:asciiTheme="minorHAnsi" w:hAnsiTheme="minorHAnsi" w:cstheme="minorHAnsi"/>
          <w:i/>
          <w:iCs/>
          <w:shd w:val="clear" w:color="auto" w:fill="FFFFFF"/>
        </w:rPr>
        <w:t>Selected Higher Education Statistics</w:t>
      </w:r>
    </w:p>
    <w:p w14:paraId="42A2B31D" w14:textId="77777777" w:rsidR="00982028" w:rsidRDefault="004420A3" w:rsidP="00634DEC">
      <w:r w:rsidRPr="002A5009">
        <w:t>Many regional and remote students move away from home to commence their studies, which can be financially, emotionally, and socially challenging.</w:t>
      </w:r>
      <w:r w:rsidR="009F7E62" w:rsidRPr="002A5009">
        <w:t xml:space="preserve"> </w:t>
      </w:r>
      <w:r w:rsidRPr="002A5009">
        <w:t xml:space="preserve">The Napthine Review </w:t>
      </w:r>
      <w:r w:rsidR="00280F7A">
        <w:t xml:space="preserve">(2019) </w:t>
      </w:r>
      <w:r w:rsidRPr="002A5009">
        <w:t xml:space="preserve">concluded that the inadequacy of the supports then available could generate stress and increase </w:t>
      </w:r>
      <w:r w:rsidR="000709CE">
        <w:t xml:space="preserve">tertiary </w:t>
      </w:r>
      <w:r w:rsidRPr="002A5009">
        <w:t>student drop-out rates.</w:t>
      </w:r>
      <w:r w:rsidRPr="002A5009">
        <w:rPr>
          <w:vertAlign w:val="superscript"/>
        </w:rPr>
        <w:footnoteReference w:id="65"/>
      </w:r>
      <w:r w:rsidRPr="002A5009">
        <w:t xml:space="preserve"> In addition, the Review heard from regional students who reported that moving away from family, friends and community, affected their overall wellbeing and that living independently in a new town or city without an established support network required adjustments.</w:t>
      </w:r>
    </w:p>
    <w:p w14:paraId="787091C8" w14:textId="5CE3820F" w:rsidR="004420A3" w:rsidRPr="00982028" w:rsidRDefault="004420A3" w:rsidP="00634DEC">
      <w:r w:rsidRPr="002A5009">
        <w:t>The Universities Accord Final Report highlighted that First Nations students, students from low socio-economic backgrounds and regional, rural and remote students are more likely to report financial difficulties as a reason they consider leaving university early</w:t>
      </w:r>
      <w:r w:rsidR="0099288C" w:rsidRPr="002A5009">
        <w:rPr>
          <w:rFonts w:asciiTheme="minorHAnsi" w:hAnsiTheme="minorHAnsi"/>
          <w:color w:val="222222"/>
          <w:shd w:val="clear" w:color="auto" w:fill="FFFFFF"/>
        </w:rPr>
        <w:t>.</w:t>
      </w:r>
      <w:r w:rsidR="006C4C23" w:rsidRPr="002A5009">
        <w:rPr>
          <w:rStyle w:val="FootnoteReference"/>
          <w:rFonts w:asciiTheme="minorHAnsi" w:hAnsiTheme="minorHAnsi"/>
          <w:color w:val="222222"/>
          <w:shd w:val="clear" w:color="auto" w:fill="FFFFFF"/>
        </w:rPr>
        <w:footnoteReference w:id="66"/>
      </w:r>
      <w:r w:rsidRPr="002A5009">
        <w:rPr>
          <w:rFonts w:asciiTheme="minorHAnsi" w:hAnsiTheme="minorHAnsi"/>
          <w:color w:val="222222"/>
          <w:shd w:val="clear" w:color="auto" w:fill="FFFFFF"/>
        </w:rPr>
        <w:t xml:space="preserve"> </w:t>
      </w:r>
      <w:r w:rsidR="00982028" w:rsidRPr="00466153">
        <w:rPr>
          <w:rFonts w:asciiTheme="minorHAnsi" w:hAnsiTheme="minorHAnsi"/>
          <w:shd w:val="clear" w:color="auto" w:fill="FFFFFF"/>
        </w:rPr>
        <w:t xml:space="preserve">It </w:t>
      </w:r>
      <w:r w:rsidR="007103E6" w:rsidRPr="00466153">
        <w:rPr>
          <w:rFonts w:asciiTheme="minorHAnsi" w:hAnsiTheme="minorHAnsi"/>
          <w:shd w:val="clear" w:color="auto" w:fill="FFFFFF"/>
        </w:rPr>
        <w:t xml:space="preserve">recommended </w:t>
      </w:r>
      <w:r w:rsidR="00222270" w:rsidRPr="00466153">
        <w:rPr>
          <w:rFonts w:asciiTheme="minorHAnsi" w:hAnsiTheme="minorHAnsi"/>
          <w:shd w:val="clear" w:color="auto" w:fill="FFFFFF"/>
        </w:rPr>
        <w:t>enhanced income support arrangements</w:t>
      </w:r>
      <w:r w:rsidR="00656144" w:rsidRPr="00466153">
        <w:rPr>
          <w:rFonts w:asciiTheme="minorHAnsi" w:hAnsiTheme="minorHAnsi"/>
          <w:shd w:val="clear" w:color="auto" w:fill="FFFFFF"/>
        </w:rPr>
        <w:t xml:space="preserve"> to address cost-of-living pressures on</w:t>
      </w:r>
      <w:r w:rsidR="00FF7519" w:rsidRPr="00466153">
        <w:rPr>
          <w:rFonts w:asciiTheme="minorHAnsi" w:hAnsiTheme="minorHAnsi"/>
          <w:shd w:val="clear" w:color="auto" w:fill="FFFFFF"/>
        </w:rPr>
        <w:t xml:space="preserve"> students.</w:t>
      </w:r>
      <w:r w:rsidR="00222270" w:rsidRPr="00466153">
        <w:rPr>
          <w:rFonts w:asciiTheme="minorHAnsi" w:hAnsiTheme="minorHAnsi"/>
          <w:shd w:val="clear" w:color="auto" w:fill="FFFFFF"/>
        </w:rPr>
        <w:t xml:space="preserve"> </w:t>
      </w:r>
      <w:r w:rsidR="00904D47" w:rsidRPr="00466153">
        <w:rPr>
          <w:rFonts w:asciiTheme="minorHAnsi" w:hAnsiTheme="minorHAnsi"/>
          <w:shd w:val="clear" w:color="auto" w:fill="FFFFFF"/>
        </w:rPr>
        <w:t>These reforms</w:t>
      </w:r>
      <w:r w:rsidR="00222270" w:rsidRPr="00466153">
        <w:rPr>
          <w:rFonts w:asciiTheme="minorHAnsi" w:hAnsiTheme="minorHAnsi"/>
          <w:shd w:val="clear" w:color="auto" w:fill="FFFFFF"/>
        </w:rPr>
        <w:t xml:space="preserve"> should help to reduce the higher attrition rates of students from regional </w:t>
      </w:r>
      <w:r w:rsidR="00136B17" w:rsidRPr="00466153">
        <w:rPr>
          <w:rFonts w:asciiTheme="minorHAnsi" w:hAnsiTheme="minorHAnsi"/>
          <w:shd w:val="clear" w:color="auto" w:fill="FFFFFF"/>
        </w:rPr>
        <w:t xml:space="preserve">and remote </w:t>
      </w:r>
      <w:r w:rsidR="00222270" w:rsidRPr="00466153">
        <w:rPr>
          <w:rFonts w:asciiTheme="minorHAnsi" w:hAnsiTheme="minorHAnsi"/>
          <w:shd w:val="clear" w:color="auto" w:fill="FFFFFF"/>
        </w:rPr>
        <w:t>areas, particularly those who have moved away from home to study</w:t>
      </w:r>
      <w:r w:rsidR="00136B17" w:rsidRPr="00466153">
        <w:rPr>
          <w:rFonts w:asciiTheme="minorHAnsi" w:hAnsiTheme="minorHAnsi"/>
          <w:shd w:val="clear" w:color="auto" w:fill="FFFFFF"/>
        </w:rPr>
        <w:t>.</w:t>
      </w:r>
    </w:p>
    <w:p w14:paraId="06E4D55C" w14:textId="252B2726" w:rsidR="00A61D67" w:rsidRPr="00466153" w:rsidRDefault="00FE1051" w:rsidP="005C34D6">
      <w:pPr>
        <w:pStyle w:val="Heading4"/>
      </w:pPr>
      <w:bookmarkStart w:id="76" w:name="_Toc171937443"/>
      <w:bookmarkStart w:id="77" w:name="_Toc170456996"/>
      <w:r w:rsidRPr="00466153">
        <w:t xml:space="preserve">University </w:t>
      </w:r>
      <w:r w:rsidRPr="005C34D6">
        <w:t>g</w:t>
      </w:r>
      <w:r w:rsidR="006B433E" w:rsidRPr="005C34D6">
        <w:t>raduates</w:t>
      </w:r>
      <w:r w:rsidR="00C4718A" w:rsidRPr="00466153">
        <w:t xml:space="preserve"> from r</w:t>
      </w:r>
      <w:r w:rsidR="00950171" w:rsidRPr="00466153">
        <w:t xml:space="preserve">egional </w:t>
      </w:r>
      <w:r w:rsidR="00C4718A" w:rsidRPr="00466153">
        <w:t>areas</w:t>
      </w:r>
      <w:r w:rsidR="00950171" w:rsidRPr="00466153">
        <w:t xml:space="preserve"> have </w:t>
      </w:r>
      <w:r w:rsidR="00BF4359" w:rsidRPr="00466153">
        <w:t>strong labour market outcomes</w:t>
      </w:r>
      <w:bookmarkEnd w:id="76"/>
      <w:r w:rsidR="00BF4359" w:rsidRPr="00466153">
        <w:t xml:space="preserve"> </w:t>
      </w:r>
      <w:bookmarkEnd w:id="77"/>
    </w:p>
    <w:p w14:paraId="52B66706" w14:textId="6F5908BA" w:rsidR="002B73AA" w:rsidRDefault="00A61D67" w:rsidP="00466153">
      <w:r w:rsidRPr="00FE1755">
        <w:t>The 2023 Graduate Outcomes Survey National Report indicates that full-time and overall employment rates of undergraduates from regional or remote areas</w:t>
      </w:r>
      <w:r w:rsidR="00C57F02">
        <w:rPr>
          <w:rStyle w:val="FootnoteReference"/>
        </w:rPr>
        <w:footnoteReference w:id="67"/>
      </w:r>
      <w:r w:rsidRPr="00FE1755">
        <w:t xml:space="preserve"> w</w:t>
      </w:r>
      <w:r w:rsidR="00093210">
        <w:t>ere</w:t>
      </w:r>
      <w:r w:rsidRPr="00FE1755">
        <w:t xml:space="preserve"> higher in recent years compared to those </w:t>
      </w:r>
      <w:r w:rsidR="00302AC8">
        <w:t>or</w:t>
      </w:r>
      <w:r w:rsidR="005D08F2">
        <w:t xml:space="preserve">iginally </w:t>
      </w:r>
      <w:r w:rsidRPr="00FE1755">
        <w:t xml:space="preserve">from </w:t>
      </w:r>
      <w:r w:rsidR="00FD601B">
        <w:t>major</w:t>
      </w:r>
      <w:r w:rsidR="00E848EA">
        <w:t xml:space="preserve"> cit</w:t>
      </w:r>
      <w:r w:rsidR="00093210">
        <w:t>ies</w:t>
      </w:r>
      <w:r w:rsidRPr="00FE1755">
        <w:t>.</w:t>
      </w:r>
      <w:r w:rsidR="00482684">
        <w:rPr>
          <w:rStyle w:val="FootnoteReference"/>
        </w:rPr>
        <w:footnoteReference w:id="68"/>
      </w:r>
      <w:r w:rsidRPr="00FE1755">
        <w:t xml:space="preserve"> </w:t>
      </w:r>
    </w:p>
    <w:p w14:paraId="406FBE8A" w14:textId="74AB9E76" w:rsidR="00093210" w:rsidRDefault="00A61D67" w:rsidP="00466153">
      <w:r w:rsidRPr="00FE1755">
        <w:t xml:space="preserve">In 2023 the full-time employment rate for regional and remote graduates was 84% compared with 78% for </w:t>
      </w:r>
      <w:r w:rsidR="00093210">
        <w:t>major city</w:t>
      </w:r>
      <w:r w:rsidRPr="00FE1755">
        <w:t xml:space="preserve"> graduates. Similarly, 92% of regional/remote graduates were employed overall, compared with 88% for</w:t>
      </w:r>
      <w:r w:rsidR="00093210">
        <w:t xml:space="preserve"> those from</w:t>
      </w:r>
      <w:r w:rsidR="00E848EA">
        <w:t xml:space="preserve"> cities</w:t>
      </w:r>
      <w:r w:rsidR="00302AC8">
        <w:t xml:space="preserve">. </w:t>
      </w:r>
      <w:r w:rsidR="00A050FF">
        <w:t xml:space="preserve">There was very little </w:t>
      </w:r>
      <w:r w:rsidR="00B66457">
        <w:t>difference in terms of participation rates</w:t>
      </w:r>
      <w:r w:rsidR="00302AC8">
        <w:t xml:space="preserve"> (</w:t>
      </w:r>
      <w:r w:rsidR="00952363">
        <w:t>Figure</w:t>
      </w:r>
      <w:r w:rsidR="00302AC8">
        <w:t xml:space="preserve"> </w:t>
      </w:r>
      <w:r w:rsidR="00E13228">
        <w:t>3</w:t>
      </w:r>
      <w:r w:rsidR="00466153">
        <w:t>6</w:t>
      </w:r>
      <w:r w:rsidR="00302AC8">
        <w:t>)</w:t>
      </w:r>
      <w:r w:rsidR="00B66457">
        <w:t>.</w:t>
      </w:r>
    </w:p>
    <w:p w14:paraId="0DF9C9F1" w14:textId="325AD375" w:rsidR="00A61D67" w:rsidRPr="00466153" w:rsidRDefault="00CD3286" w:rsidP="00466153">
      <w:pPr>
        <w:pStyle w:val="Caption"/>
        <w:rPr>
          <w:rFonts w:asciiTheme="minorHAnsi" w:hAnsiTheme="minorHAnsi" w:cstheme="minorHAnsi"/>
          <w:szCs w:val="20"/>
        </w:rPr>
      </w:pPr>
      <w:r w:rsidRPr="00466153">
        <w:rPr>
          <w:rFonts w:asciiTheme="minorHAnsi" w:hAnsiTheme="minorHAnsi" w:cstheme="minorHAnsi"/>
          <w:szCs w:val="20"/>
        </w:rPr>
        <w:t>Figure</w:t>
      </w:r>
      <w:r w:rsidR="007C151B" w:rsidRPr="00466153">
        <w:rPr>
          <w:rFonts w:asciiTheme="minorHAnsi" w:hAnsiTheme="minorHAnsi" w:cstheme="minorHAnsi"/>
          <w:szCs w:val="20"/>
        </w:rPr>
        <w:t xml:space="preserve"> 3</w:t>
      </w:r>
      <w:r w:rsidR="00466153">
        <w:rPr>
          <w:rFonts w:asciiTheme="minorHAnsi" w:hAnsiTheme="minorHAnsi" w:cstheme="minorHAnsi"/>
          <w:szCs w:val="20"/>
        </w:rPr>
        <w:t>6</w:t>
      </w:r>
      <w:r w:rsidR="008943CF" w:rsidRPr="00466153">
        <w:rPr>
          <w:rFonts w:asciiTheme="minorHAnsi" w:hAnsiTheme="minorHAnsi" w:cstheme="minorHAnsi"/>
          <w:szCs w:val="20"/>
        </w:rPr>
        <w:t>:</w:t>
      </w:r>
      <w:r w:rsidR="00A61D67" w:rsidRPr="00466153">
        <w:rPr>
          <w:rFonts w:asciiTheme="minorHAnsi" w:hAnsiTheme="minorHAnsi" w:cstheme="minorHAnsi"/>
          <w:szCs w:val="20"/>
        </w:rPr>
        <w:t xml:space="preserve"> </w:t>
      </w:r>
      <w:r w:rsidR="00BB66BC" w:rsidRPr="00466153">
        <w:rPr>
          <w:rFonts w:asciiTheme="minorHAnsi" w:hAnsiTheme="minorHAnsi" w:cstheme="minorHAnsi"/>
          <w:szCs w:val="20"/>
        </w:rPr>
        <w:t>Undergraduate employment outcomes</w:t>
      </w:r>
      <w:r w:rsidR="00630704" w:rsidRPr="00466153">
        <w:rPr>
          <w:rFonts w:asciiTheme="minorHAnsi" w:hAnsiTheme="minorHAnsi" w:cstheme="minorHAnsi"/>
          <w:szCs w:val="20"/>
        </w:rPr>
        <w:t xml:space="preserve"> by remoteness, 2021</w:t>
      </w:r>
      <w:r w:rsidR="000F395B" w:rsidRPr="00466153">
        <w:rPr>
          <w:rFonts w:asciiTheme="minorHAnsi" w:hAnsiTheme="minorHAnsi" w:cstheme="minorHAnsi"/>
          <w:szCs w:val="20"/>
        </w:rPr>
        <w:t xml:space="preserve"> to 2023</w:t>
      </w:r>
    </w:p>
    <w:p w14:paraId="42C4CADD" w14:textId="5E645AA6" w:rsidR="00A61D67" w:rsidRPr="00A61D67" w:rsidRDefault="007C4D9B" w:rsidP="00A61D67">
      <w:pPr>
        <w:rPr>
          <w:rFonts w:asciiTheme="minorHAnsi" w:hAnsiTheme="minorHAnsi" w:cstheme="minorHAnsi"/>
          <w:color w:val="222222"/>
          <w:shd w:val="clear" w:color="auto" w:fill="FFFFFF"/>
        </w:rPr>
      </w:pPr>
      <w:r w:rsidRPr="00AE5CA9">
        <w:rPr>
          <w:noProof/>
        </w:rPr>
        <w:drawing>
          <wp:inline distT="0" distB="0" distL="0" distR="0" wp14:anchorId="455C2C12" wp14:editId="144D5E18">
            <wp:extent cx="5730875" cy="3302759"/>
            <wp:effectExtent l="0" t="0" r="3175" b="0"/>
            <wp:docPr id="697844598" name="Chart 1" descr="Clustered column chart showing graduate outcomes survey data for undergraduates by remoteness in 2021, 2022 and 2023. Shows in each year the full-time and overall employment rates of those from regional or remote areas were higher than those originally from major cities, while there was little difference in terms of labour force participation rates.">
              <a:extLst xmlns:a="http://schemas.openxmlformats.org/drawingml/2006/main">
                <a:ext uri="{FF2B5EF4-FFF2-40B4-BE49-F238E27FC236}">
                  <a16:creationId xmlns:a16="http://schemas.microsoft.com/office/drawing/2014/main" id="{598BE1D2-631F-36E3-0650-1AA2D6706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7A121A9" w14:textId="41A8A97E" w:rsidR="00A61D67" w:rsidRPr="00466153" w:rsidRDefault="00A61D67" w:rsidP="00466153">
      <w:pPr>
        <w:pStyle w:val="Source"/>
        <w:rPr>
          <w:rFonts w:asciiTheme="minorHAnsi" w:hAnsiTheme="minorHAnsi" w:cstheme="minorHAnsi"/>
          <w:shd w:val="clear" w:color="auto" w:fill="FFFFFF"/>
        </w:rPr>
      </w:pPr>
      <w:r w:rsidRPr="00466153">
        <w:rPr>
          <w:rFonts w:asciiTheme="minorHAnsi" w:hAnsiTheme="minorHAnsi" w:cstheme="minorHAnsi"/>
          <w:shd w:val="clear" w:color="auto" w:fill="FFFFFF"/>
        </w:rPr>
        <w:t xml:space="preserve">Source: </w:t>
      </w:r>
      <w:r w:rsidR="001B7D02" w:rsidRPr="00466153">
        <w:rPr>
          <w:rFonts w:asciiTheme="minorHAnsi" w:hAnsiTheme="minorHAnsi" w:cstheme="minorHAnsi"/>
          <w:shd w:val="clear" w:color="auto" w:fill="FFFFFF"/>
        </w:rPr>
        <w:t xml:space="preserve">Quality Indicators for Learning and Teaching, </w:t>
      </w:r>
      <w:r w:rsidR="001B7D02" w:rsidRPr="00901A26">
        <w:rPr>
          <w:rFonts w:asciiTheme="minorHAnsi" w:hAnsiTheme="minorHAnsi" w:cstheme="minorHAnsi"/>
          <w:i/>
          <w:iCs/>
          <w:shd w:val="clear" w:color="auto" w:fill="FFFFFF"/>
        </w:rPr>
        <w:t>Graduate Outcomes Survey</w:t>
      </w:r>
      <w:r w:rsidR="00EB4D51" w:rsidRPr="00466153">
        <w:rPr>
          <w:rFonts w:asciiTheme="minorHAnsi" w:hAnsiTheme="minorHAnsi" w:cstheme="minorHAnsi"/>
          <w:shd w:val="clear" w:color="auto" w:fill="FFFFFF"/>
        </w:rPr>
        <w:t>,</w:t>
      </w:r>
      <w:r w:rsidR="001B7D02" w:rsidRPr="00466153">
        <w:rPr>
          <w:rFonts w:asciiTheme="minorHAnsi" w:hAnsiTheme="minorHAnsi" w:cstheme="minorHAnsi"/>
          <w:shd w:val="clear" w:color="auto" w:fill="FFFFFF"/>
        </w:rPr>
        <w:t xml:space="preserve"> 202</w:t>
      </w:r>
      <w:r w:rsidR="001528F9" w:rsidRPr="00466153">
        <w:rPr>
          <w:rFonts w:asciiTheme="minorHAnsi" w:hAnsiTheme="minorHAnsi" w:cstheme="minorHAnsi"/>
          <w:shd w:val="clear" w:color="auto" w:fill="FFFFFF"/>
        </w:rPr>
        <w:t>2</w:t>
      </w:r>
      <w:r w:rsidR="001B7D02" w:rsidRPr="00466153">
        <w:rPr>
          <w:rFonts w:asciiTheme="minorHAnsi" w:hAnsiTheme="minorHAnsi" w:cstheme="minorHAnsi"/>
          <w:shd w:val="clear" w:color="auto" w:fill="FFFFFF"/>
        </w:rPr>
        <w:t xml:space="preserve"> and 202</w:t>
      </w:r>
      <w:r w:rsidR="001528F9" w:rsidRPr="00466153">
        <w:rPr>
          <w:rFonts w:asciiTheme="minorHAnsi" w:hAnsiTheme="minorHAnsi" w:cstheme="minorHAnsi"/>
          <w:shd w:val="clear" w:color="auto" w:fill="FFFFFF"/>
        </w:rPr>
        <w:t>3</w:t>
      </w:r>
    </w:p>
    <w:p w14:paraId="2EC2B29A" w14:textId="396053E9" w:rsidR="001528F9" w:rsidRPr="00EB4D51" w:rsidRDefault="00FA5A38" w:rsidP="00EB4D51">
      <w:pPr>
        <w:rPr>
          <w:rFonts w:asciiTheme="minorHAnsi" w:hAnsiTheme="minorHAnsi" w:cstheme="minorHAnsi"/>
          <w:color w:val="222222"/>
          <w:sz w:val="18"/>
          <w:szCs w:val="18"/>
          <w:shd w:val="clear" w:color="auto" w:fill="FFFFFF"/>
        </w:rPr>
      </w:pPr>
      <w:r>
        <w:rPr>
          <w:rFonts w:asciiTheme="minorHAnsi" w:hAnsiTheme="minorHAnsi" w:cstheme="minorHAnsi"/>
          <w:color w:val="222222"/>
          <w:sz w:val="18"/>
          <w:szCs w:val="18"/>
          <w:shd w:val="clear" w:color="auto" w:fill="FFFFFF"/>
        </w:rPr>
        <w:t>*</w:t>
      </w:r>
      <w:r>
        <w:t xml:space="preserve"> </w:t>
      </w:r>
      <w:r w:rsidRPr="00EB4D51">
        <w:rPr>
          <w:rFonts w:asciiTheme="minorHAnsi" w:hAnsiTheme="minorHAnsi" w:cstheme="minorHAnsi"/>
          <w:color w:val="222222"/>
          <w:sz w:val="18"/>
          <w:szCs w:val="18"/>
          <w:shd w:val="clear" w:color="auto" w:fill="FFFFFF"/>
        </w:rPr>
        <w:t>‘</w:t>
      </w:r>
      <w:r w:rsidR="001528F9" w:rsidRPr="00EB4D51">
        <w:rPr>
          <w:rFonts w:asciiTheme="minorHAnsi" w:hAnsiTheme="minorHAnsi" w:cstheme="minorHAnsi"/>
          <w:color w:val="222222"/>
          <w:sz w:val="18"/>
          <w:szCs w:val="18"/>
          <w:shd w:val="clear" w:color="auto" w:fill="FFFFFF"/>
        </w:rPr>
        <w:t>FT</w:t>
      </w:r>
      <w:r w:rsidR="00324A73" w:rsidRPr="00EB4D51">
        <w:rPr>
          <w:rFonts w:asciiTheme="minorHAnsi" w:hAnsiTheme="minorHAnsi" w:cstheme="minorHAnsi"/>
          <w:color w:val="222222"/>
          <w:sz w:val="18"/>
          <w:szCs w:val="18"/>
          <w:shd w:val="clear" w:color="auto" w:fill="FFFFFF"/>
        </w:rPr>
        <w:t xml:space="preserve"> ER</w:t>
      </w:r>
      <w:r w:rsidRPr="00EB4D51">
        <w:rPr>
          <w:rFonts w:asciiTheme="minorHAnsi" w:hAnsiTheme="minorHAnsi" w:cstheme="minorHAnsi"/>
          <w:color w:val="222222"/>
          <w:sz w:val="18"/>
          <w:szCs w:val="18"/>
          <w:shd w:val="clear" w:color="auto" w:fill="FFFFFF"/>
        </w:rPr>
        <w:t>’</w:t>
      </w:r>
      <w:r w:rsidR="00324A73" w:rsidRPr="00EB4D51">
        <w:rPr>
          <w:rFonts w:asciiTheme="minorHAnsi" w:hAnsiTheme="minorHAnsi" w:cstheme="minorHAnsi"/>
          <w:color w:val="222222"/>
          <w:sz w:val="18"/>
          <w:szCs w:val="18"/>
          <w:shd w:val="clear" w:color="auto" w:fill="FFFFFF"/>
        </w:rPr>
        <w:t xml:space="preserve"> = Full-Time Employment Rate; </w:t>
      </w:r>
      <w:r w:rsidRPr="00EB4D51">
        <w:rPr>
          <w:rFonts w:asciiTheme="minorHAnsi" w:hAnsiTheme="minorHAnsi" w:cstheme="minorHAnsi"/>
          <w:color w:val="222222"/>
          <w:sz w:val="18"/>
          <w:szCs w:val="18"/>
          <w:shd w:val="clear" w:color="auto" w:fill="FFFFFF"/>
        </w:rPr>
        <w:t xml:space="preserve">‘OV ER’ = Overall Employment Rate; ‘LF PR’ = Labour Force Participation Rate </w:t>
      </w:r>
    </w:p>
    <w:p w14:paraId="391BFCA2" w14:textId="1B197C42" w:rsidR="0021017D" w:rsidRPr="00466153" w:rsidRDefault="0013221A" w:rsidP="00FF150A">
      <w:pPr>
        <w:pStyle w:val="Heading4"/>
        <w:keepNext/>
      </w:pPr>
      <w:r w:rsidRPr="00466153">
        <w:t>Graduates</w:t>
      </w:r>
      <w:r w:rsidR="0021017D" w:rsidRPr="00466153">
        <w:t xml:space="preserve"> of regional universities </w:t>
      </w:r>
      <w:r w:rsidR="00925A0D" w:rsidRPr="00466153">
        <w:t xml:space="preserve">also </w:t>
      </w:r>
      <w:r w:rsidR="0069302D" w:rsidRPr="005C34D6">
        <w:t>have</w:t>
      </w:r>
      <w:r w:rsidR="0069302D" w:rsidRPr="00466153">
        <w:t xml:space="preserve"> strong </w:t>
      </w:r>
      <w:r w:rsidR="00925A0D" w:rsidRPr="00466153">
        <w:t>labour market outcomes</w:t>
      </w:r>
      <w:r w:rsidR="00B96865" w:rsidRPr="00466153">
        <w:t xml:space="preserve"> </w:t>
      </w:r>
    </w:p>
    <w:p w14:paraId="2BE8282D" w14:textId="415691E7" w:rsidR="00931239" w:rsidRDefault="00A61D67" w:rsidP="00466153">
      <w:r w:rsidRPr="00875480">
        <w:t xml:space="preserve">Regional </w:t>
      </w:r>
      <w:r w:rsidR="00A4051F">
        <w:t>u</w:t>
      </w:r>
      <w:r w:rsidRPr="00875480">
        <w:t xml:space="preserve">niversities </w:t>
      </w:r>
      <w:r w:rsidR="00931239">
        <w:t xml:space="preserve">had the second, third and fourth </w:t>
      </w:r>
      <w:r w:rsidRPr="00875480">
        <w:t>placing</w:t>
      </w:r>
      <w:r w:rsidR="00E848EA">
        <w:t>s</w:t>
      </w:r>
      <w:r w:rsidRPr="00875480">
        <w:t xml:space="preserve"> for the highest full-time graduate employment rates in 2023 out of all universities. They were Charles Sturt University </w:t>
      </w:r>
      <w:r w:rsidR="00931239">
        <w:t>(</w:t>
      </w:r>
      <w:r w:rsidRPr="00875480">
        <w:t>91.2%</w:t>
      </w:r>
      <w:r w:rsidR="00931239">
        <w:t>)</w:t>
      </w:r>
      <w:r w:rsidRPr="00875480">
        <w:t xml:space="preserve">, James Cook University </w:t>
      </w:r>
      <w:r w:rsidR="00931239">
        <w:t>(</w:t>
      </w:r>
      <w:r w:rsidRPr="00875480">
        <w:t>89.5%</w:t>
      </w:r>
      <w:r w:rsidR="00931239">
        <w:t>)</w:t>
      </w:r>
      <w:r w:rsidRPr="00875480">
        <w:t xml:space="preserve">, and the University of New England </w:t>
      </w:r>
      <w:r w:rsidR="00931239">
        <w:t>(</w:t>
      </w:r>
      <w:r w:rsidRPr="00875480">
        <w:t>89.2%</w:t>
      </w:r>
      <w:r w:rsidR="00931239">
        <w:t>)</w:t>
      </w:r>
      <w:r w:rsidRPr="00875480">
        <w:t xml:space="preserve"> which were all higher compared to the national average </w:t>
      </w:r>
      <w:r w:rsidR="00931239">
        <w:t>(</w:t>
      </w:r>
      <w:r w:rsidRPr="00875480">
        <w:t>of 79.4%</w:t>
      </w:r>
      <w:r w:rsidR="00931239">
        <w:t>)</w:t>
      </w:r>
      <w:r w:rsidRPr="00875480">
        <w:t>.</w:t>
      </w:r>
      <w:r w:rsidRPr="00875480">
        <w:rPr>
          <w:vertAlign w:val="superscript"/>
        </w:rPr>
        <w:footnoteReference w:id="69"/>
      </w:r>
      <w:r w:rsidRPr="00875480">
        <w:t xml:space="preserve"> </w:t>
      </w:r>
    </w:p>
    <w:p w14:paraId="61BD011F" w14:textId="664FECF2" w:rsidR="00C318D8" w:rsidRDefault="00925A0D" w:rsidP="00466153">
      <w:r>
        <w:t xml:space="preserve">In 2023, </w:t>
      </w:r>
      <w:r w:rsidR="004B169E">
        <w:t>seven of the ten</w:t>
      </w:r>
      <w:r w:rsidR="00C318D8">
        <w:t xml:space="preserve"> r</w:t>
      </w:r>
      <w:r w:rsidR="00C318D8" w:rsidRPr="002B0EF1">
        <w:t xml:space="preserve">egional universities had a medium-term </w:t>
      </w:r>
      <w:r>
        <w:t>(i.e. 3 years post</w:t>
      </w:r>
      <w:r w:rsidR="006B4F33">
        <w:t>-</w:t>
      </w:r>
      <w:r>
        <w:t>graduation)</w:t>
      </w:r>
      <w:r w:rsidR="00C318D8" w:rsidRPr="002B0EF1">
        <w:t xml:space="preserve"> full-time employment rate for domestic undergraduate students </w:t>
      </w:r>
      <w:r w:rsidR="00C318D8">
        <w:t>that was</w:t>
      </w:r>
      <w:r w:rsidR="00C318D8" w:rsidRPr="002B0EF1">
        <w:t xml:space="preserve"> lower t</w:t>
      </w:r>
      <w:r w:rsidR="00C318D8">
        <w:t>han</w:t>
      </w:r>
      <w:r w:rsidR="00C318D8" w:rsidRPr="002B0EF1">
        <w:t xml:space="preserve"> the national average </w:t>
      </w:r>
      <w:r w:rsidR="00C318D8">
        <w:t>(</w:t>
      </w:r>
      <w:r w:rsidR="00C318D8" w:rsidRPr="002B0EF1">
        <w:t>of 91.8%</w:t>
      </w:r>
      <w:r w:rsidR="00C318D8">
        <w:t>). T</w:t>
      </w:r>
      <w:r w:rsidR="00C318D8" w:rsidRPr="002B0EF1">
        <w:t xml:space="preserve">he </w:t>
      </w:r>
      <w:r w:rsidR="00C318D8">
        <w:t>opposite</w:t>
      </w:r>
      <w:r w:rsidR="00C318D8" w:rsidRPr="002B0EF1">
        <w:t xml:space="preserve"> was true for domestic postgraduate coursework students</w:t>
      </w:r>
      <w:r w:rsidR="00C318D8">
        <w:t xml:space="preserve">, with </w:t>
      </w:r>
      <w:r w:rsidR="001D26F3">
        <w:t xml:space="preserve">only </w:t>
      </w:r>
      <w:r w:rsidR="00AD7F0E">
        <w:t>the University of Southern Queensland (89.5%)</w:t>
      </w:r>
      <w:r w:rsidR="00844DF4">
        <w:t>,</w:t>
      </w:r>
      <w:r w:rsidR="00AD7F0E">
        <w:t xml:space="preserve"> </w:t>
      </w:r>
      <w:r w:rsidR="00C318D8">
        <w:t xml:space="preserve">Southern Cross University </w:t>
      </w:r>
      <w:r w:rsidR="001D26F3">
        <w:t>(</w:t>
      </w:r>
      <w:r w:rsidR="00C318D8">
        <w:t xml:space="preserve">94.4%) </w:t>
      </w:r>
      <w:r w:rsidR="00844DF4">
        <w:t xml:space="preserve">and Charles Sturt University (94.2%) </w:t>
      </w:r>
      <w:r w:rsidR="00C318D8">
        <w:t>having</w:t>
      </w:r>
      <w:r w:rsidR="00C318D8" w:rsidRPr="002B0EF1">
        <w:t xml:space="preserve"> a </w:t>
      </w:r>
      <w:r w:rsidR="00AD7F0E">
        <w:t xml:space="preserve">lower </w:t>
      </w:r>
      <w:r w:rsidR="007C16DF" w:rsidRPr="002B0EF1">
        <w:t xml:space="preserve">medium-term full-time employment </w:t>
      </w:r>
      <w:r w:rsidR="00C318D8" w:rsidRPr="002B0EF1">
        <w:t xml:space="preserve">rate </w:t>
      </w:r>
      <w:r w:rsidR="007C16DF">
        <w:t>than</w:t>
      </w:r>
      <w:r w:rsidR="00C318D8" w:rsidRPr="002B0EF1">
        <w:t xml:space="preserve"> the national average </w:t>
      </w:r>
      <w:r w:rsidR="00C318D8">
        <w:t>(</w:t>
      </w:r>
      <w:r w:rsidR="00C318D8" w:rsidRPr="002B0EF1">
        <w:t>of 94.8%</w:t>
      </w:r>
      <w:r w:rsidR="00C318D8">
        <w:t>)</w:t>
      </w:r>
      <w:r>
        <w:t xml:space="preserve"> (Figure 3</w:t>
      </w:r>
      <w:r w:rsidR="00466153">
        <w:t>7</w:t>
      </w:r>
      <w:r>
        <w:t>)</w:t>
      </w:r>
      <w:r w:rsidR="00C318D8" w:rsidRPr="002B0EF1">
        <w:t>.</w:t>
      </w:r>
      <w:r w:rsidR="00C318D8" w:rsidRPr="00FA1BA0">
        <w:rPr>
          <w:vertAlign w:val="superscript"/>
        </w:rPr>
        <w:footnoteReference w:id="70"/>
      </w:r>
      <w:r w:rsidR="00C318D8" w:rsidRPr="00FA1BA0">
        <w:t xml:space="preserve"> </w:t>
      </w:r>
    </w:p>
    <w:p w14:paraId="3D1C2744" w14:textId="3CA33052" w:rsidR="00840BC0" w:rsidRPr="00466153" w:rsidRDefault="00CD3286" w:rsidP="00466153">
      <w:pPr>
        <w:pStyle w:val="Caption"/>
        <w:rPr>
          <w:rFonts w:asciiTheme="minorHAnsi" w:hAnsiTheme="minorHAnsi" w:cstheme="minorHAnsi"/>
          <w:szCs w:val="20"/>
          <w:shd w:val="clear" w:color="auto" w:fill="FFFFFF"/>
        </w:rPr>
      </w:pPr>
      <w:r w:rsidRPr="00466153">
        <w:rPr>
          <w:rFonts w:asciiTheme="minorHAnsi" w:hAnsiTheme="minorHAnsi" w:cstheme="minorHAnsi"/>
          <w:szCs w:val="20"/>
          <w:shd w:val="clear" w:color="auto" w:fill="FFFFFF"/>
        </w:rPr>
        <w:t>Figure</w:t>
      </w:r>
      <w:r w:rsidR="007C151B" w:rsidRPr="00466153">
        <w:rPr>
          <w:rFonts w:asciiTheme="minorHAnsi" w:hAnsiTheme="minorHAnsi" w:cstheme="minorHAnsi"/>
          <w:szCs w:val="20"/>
          <w:shd w:val="clear" w:color="auto" w:fill="FFFFFF"/>
        </w:rPr>
        <w:t xml:space="preserve"> 3</w:t>
      </w:r>
      <w:r w:rsidR="00466153" w:rsidRPr="00466153">
        <w:rPr>
          <w:rFonts w:asciiTheme="minorHAnsi" w:hAnsiTheme="minorHAnsi" w:cstheme="minorHAnsi"/>
          <w:szCs w:val="20"/>
          <w:shd w:val="clear" w:color="auto" w:fill="FFFFFF"/>
        </w:rPr>
        <w:t>7</w:t>
      </w:r>
      <w:r w:rsidR="002917E2" w:rsidRPr="00466153">
        <w:rPr>
          <w:rFonts w:asciiTheme="minorHAnsi" w:hAnsiTheme="minorHAnsi" w:cstheme="minorHAnsi"/>
          <w:szCs w:val="20"/>
          <w:shd w:val="clear" w:color="auto" w:fill="FFFFFF"/>
        </w:rPr>
        <w:t>:</w:t>
      </w:r>
      <w:r w:rsidR="008A10A3" w:rsidRPr="00466153">
        <w:rPr>
          <w:rFonts w:asciiTheme="minorHAnsi" w:hAnsiTheme="minorHAnsi" w:cstheme="minorHAnsi"/>
          <w:szCs w:val="20"/>
          <w:shd w:val="clear" w:color="auto" w:fill="FFFFFF"/>
        </w:rPr>
        <w:t xml:space="preserve"> </w:t>
      </w:r>
      <w:r w:rsidR="00E13228" w:rsidRPr="00466153">
        <w:rPr>
          <w:rFonts w:asciiTheme="minorHAnsi" w:hAnsiTheme="minorHAnsi" w:cstheme="minorHAnsi"/>
          <w:szCs w:val="20"/>
          <w:shd w:val="clear" w:color="auto" w:fill="FFFFFF"/>
        </w:rPr>
        <w:t>Medium-term full-time employment rates for domestic undergraduate and postgraduate students by university</w:t>
      </w:r>
      <w:r w:rsidR="00DB15A9" w:rsidRPr="00466153">
        <w:rPr>
          <w:rFonts w:asciiTheme="minorHAnsi" w:hAnsiTheme="minorHAnsi" w:cstheme="minorHAnsi"/>
          <w:szCs w:val="20"/>
          <w:shd w:val="clear" w:color="auto" w:fill="FFFFFF"/>
        </w:rPr>
        <w:t xml:space="preserve"> (%), 2023</w:t>
      </w:r>
    </w:p>
    <w:p w14:paraId="7ED01CDB" w14:textId="645212D1" w:rsidR="00840BC0" w:rsidRPr="00AB15BB" w:rsidRDefault="00C37626" w:rsidP="00E13189">
      <w:pPr>
        <w:rPr>
          <w:rFonts w:asciiTheme="majorHAnsi" w:hAnsiTheme="majorHAnsi" w:cstheme="majorBidi"/>
          <w:b/>
          <w:color w:val="222222"/>
          <w:sz w:val="20"/>
          <w:szCs w:val="20"/>
          <w:shd w:val="clear" w:color="auto" w:fill="FFFFFF"/>
        </w:rPr>
      </w:pPr>
      <w:r>
        <w:rPr>
          <w:noProof/>
        </w:rPr>
        <w:drawing>
          <wp:inline distT="0" distB="0" distL="0" distR="0" wp14:anchorId="3BA8D9A8" wp14:editId="056C3806">
            <wp:extent cx="5731510" cy="3308350"/>
            <wp:effectExtent l="0" t="0" r="2540" b="6350"/>
            <wp:docPr id="76368191" name="Chart 1" descr="Clustered column chart showing 2023 graduate outcomes survey data for domestic undergraduate and postgraduate students. Shows medium-term full time employment rates of domestic undergraduate students from seven of the ten regional universities were lower than the national average, while medium-term full time employment rates of domestic postgraduate students from seven of the ten regional universities were higher than the national average. ">
              <a:extLst xmlns:a="http://schemas.openxmlformats.org/drawingml/2006/main">
                <a:ext uri="{FF2B5EF4-FFF2-40B4-BE49-F238E27FC236}">
                  <a16:creationId xmlns:a16="http://schemas.microsoft.com/office/drawing/2014/main" id="{21C2CD1F-A26A-0A2F-09DB-7F4C3A9D0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8B88A9F" w14:textId="472B3D3A" w:rsidR="0052653E" w:rsidRPr="00466153" w:rsidRDefault="00A035B3" w:rsidP="00466153">
      <w:pPr>
        <w:pStyle w:val="Source"/>
        <w:rPr>
          <w:rFonts w:asciiTheme="minorHAnsi" w:hAnsiTheme="minorHAnsi" w:cstheme="minorHAnsi"/>
          <w:shd w:val="clear" w:color="auto" w:fill="FFFFFF"/>
        </w:rPr>
      </w:pPr>
      <w:r w:rsidRPr="00466153">
        <w:rPr>
          <w:rFonts w:asciiTheme="minorHAnsi" w:hAnsiTheme="minorHAnsi" w:cstheme="minorHAnsi"/>
          <w:shd w:val="clear" w:color="auto" w:fill="FFFFFF"/>
        </w:rPr>
        <w:t xml:space="preserve">Source: Quality Indicators for Learning and Teaching, </w:t>
      </w:r>
      <w:r w:rsidRPr="00901A26">
        <w:rPr>
          <w:rFonts w:asciiTheme="minorHAnsi" w:hAnsiTheme="minorHAnsi" w:cstheme="minorHAnsi"/>
          <w:i/>
          <w:iCs/>
          <w:shd w:val="clear" w:color="auto" w:fill="FFFFFF"/>
        </w:rPr>
        <w:t>Graduate Outcomes Survey</w:t>
      </w:r>
      <w:r w:rsidR="00FA1BA0" w:rsidRPr="00466153">
        <w:rPr>
          <w:rFonts w:asciiTheme="minorHAnsi" w:hAnsiTheme="minorHAnsi" w:cstheme="minorHAnsi"/>
          <w:shd w:val="clear" w:color="auto" w:fill="FFFFFF"/>
        </w:rPr>
        <w:t>,</w:t>
      </w:r>
      <w:r w:rsidRPr="00466153">
        <w:rPr>
          <w:rFonts w:asciiTheme="minorHAnsi" w:hAnsiTheme="minorHAnsi" w:cstheme="minorHAnsi"/>
          <w:shd w:val="clear" w:color="auto" w:fill="FFFFFF"/>
        </w:rPr>
        <w:t xml:space="preserve"> 2023</w:t>
      </w:r>
    </w:p>
    <w:p w14:paraId="39D9EC7A" w14:textId="77B47FDC" w:rsidR="00EB05D9" w:rsidRDefault="00EB05D9" w:rsidP="00466153">
      <w:r w:rsidRPr="002B0EF1">
        <w:t>In 2023</w:t>
      </w:r>
      <w:r>
        <w:t>,</w:t>
      </w:r>
      <w:r w:rsidRPr="002B0EF1">
        <w:t xml:space="preserve"> all regional universities except one </w:t>
      </w:r>
      <w:r>
        <w:t>had</w:t>
      </w:r>
      <w:r w:rsidRPr="002B0EF1">
        <w:t xml:space="preserve"> undergraduate full-time median annual salaries higher than the national average of $71,000. The University of Southern Queensland w</w:t>
      </w:r>
      <w:r>
        <w:t>as highest at</w:t>
      </w:r>
      <w:r w:rsidRPr="002B0EF1">
        <w:t xml:space="preserve"> $80,000</w:t>
      </w:r>
      <w:r>
        <w:t>, followed</w:t>
      </w:r>
      <w:r w:rsidRPr="002B0EF1">
        <w:t xml:space="preserve"> by C</w:t>
      </w:r>
      <w:r>
        <w:t>entral Queensland University</w:t>
      </w:r>
      <w:r w:rsidRPr="002B0EF1">
        <w:t xml:space="preserve"> with $78,300</w:t>
      </w:r>
      <w:r>
        <w:t xml:space="preserve"> (Figure 3</w:t>
      </w:r>
      <w:r w:rsidR="00466153">
        <w:t>8</w:t>
      </w:r>
      <w:r>
        <w:t>)</w:t>
      </w:r>
      <w:r w:rsidRPr="002B0EF1">
        <w:t>.</w:t>
      </w:r>
      <w:r>
        <w:t xml:space="preserve"> </w:t>
      </w:r>
      <w:r w:rsidR="00825D4D">
        <w:t>Similarly, in</w:t>
      </w:r>
      <w:r w:rsidR="003E5E6F">
        <w:t xml:space="preserve"> 2022 </w:t>
      </w:r>
      <w:r w:rsidR="003E5E6F" w:rsidRPr="002B0EF1">
        <w:t xml:space="preserve">all regional universities except one </w:t>
      </w:r>
      <w:r w:rsidR="003E5E6F">
        <w:t>excee</w:t>
      </w:r>
      <w:r w:rsidR="00275F89">
        <w:t xml:space="preserve">ded </w:t>
      </w:r>
      <w:r w:rsidR="003E5E6F" w:rsidRPr="002B0EF1">
        <w:t>the national average</w:t>
      </w:r>
      <w:r w:rsidR="005B68C8">
        <w:t xml:space="preserve"> of $68,000</w:t>
      </w:r>
      <w:r w:rsidR="00D92534">
        <w:t>.</w:t>
      </w:r>
      <w:r w:rsidR="005B68C8">
        <w:t xml:space="preserve"> </w:t>
      </w:r>
      <w:r w:rsidR="00D92534">
        <w:t>The</w:t>
      </w:r>
      <w:r w:rsidR="005B68C8">
        <w:t xml:space="preserve"> University of Tasmania</w:t>
      </w:r>
      <w:r w:rsidR="001235DE">
        <w:t xml:space="preserve"> had the highest </w:t>
      </w:r>
      <w:r w:rsidR="001235DE" w:rsidRPr="002B0EF1">
        <w:t>full-time median annual salar</w:t>
      </w:r>
      <w:r w:rsidR="001012DD">
        <w:t>y of</w:t>
      </w:r>
      <w:r w:rsidR="001235DE" w:rsidRPr="002B0EF1">
        <w:t xml:space="preserve"> </w:t>
      </w:r>
      <w:r w:rsidR="00A75F34">
        <w:t>$78,300</w:t>
      </w:r>
      <w:r w:rsidR="00C253B2">
        <w:t>,</w:t>
      </w:r>
      <w:r w:rsidR="00A75F34">
        <w:t xml:space="preserve"> followed by </w:t>
      </w:r>
      <w:r w:rsidR="002849D0">
        <w:t>t</w:t>
      </w:r>
      <w:r w:rsidR="002849D0" w:rsidRPr="002B0EF1">
        <w:t>he University of Southern Queensland</w:t>
      </w:r>
      <w:r w:rsidR="002849D0">
        <w:t xml:space="preserve"> at $75,000</w:t>
      </w:r>
      <w:r w:rsidR="001012DD">
        <w:t>.</w:t>
      </w:r>
      <w:r w:rsidR="005B68C8">
        <w:t xml:space="preserve"> </w:t>
      </w:r>
      <w:r w:rsidR="003E5E6F">
        <w:t xml:space="preserve"> </w:t>
      </w:r>
    </w:p>
    <w:p w14:paraId="58CEAD4D" w14:textId="4DBEC468" w:rsidR="006E7A3A" w:rsidRPr="00466153" w:rsidRDefault="00CD3286" w:rsidP="00466153">
      <w:pPr>
        <w:pStyle w:val="Caption"/>
        <w:rPr>
          <w:rFonts w:asciiTheme="minorHAnsi" w:hAnsiTheme="minorHAnsi" w:cstheme="minorHAnsi"/>
          <w:noProof/>
          <w:szCs w:val="20"/>
        </w:rPr>
      </w:pPr>
      <w:r w:rsidRPr="00466153">
        <w:rPr>
          <w:rFonts w:asciiTheme="minorHAnsi" w:hAnsiTheme="minorHAnsi" w:cstheme="minorHAnsi"/>
          <w:szCs w:val="20"/>
          <w:shd w:val="clear" w:color="auto" w:fill="FFFFFF"/>
        </w:rPr>
        <w:t>Figure</w:t>
      </w:r>
      <w:r w:rsidR="007C151B" w:rsidRPr="00466153">
        <w:rPr>
          <w:rFonts w:asciiTheme="minorHAnsi" w:hAnsiTheme="minorHAnsi" w:cstheme="minorHAnsi"/>
          <w:szCs w:val="20"/>
          <w:shd w:val="clear" w:color="auto" w:fill="FFFFFF"/>
        </w:rPr>
        <w:t xml:space="preserve"> 3</w:t>
      </w:r>
      <w:r w:rsidR="00466153" w:rsidRPr="00466153">
        <w:rPr>
          <w:rFonts w:asciiTheme="minorHAnsi" w:hAnsiTheme="minorHAnsi" w:cstheme="minorHAnsi"/>
          <w:szCs w:val="20"/>
          <w:shd w:val="clear" w:color="auto" w:fill="FFFFFF"/>
        </w:rPr>
        <w:t>8</w:t>
      </w:r>
      <w:r w:rsidR="00985C47" w:rsidRPr="00466153">
        <w:rPr>
          <w:rFonts w:asciiTheme="minorHAnsi" w:hAnsiTheme="minorHAnsi" w:cstheme="minorHAnsi"/>
          <w:szCs w:val="20"/>
          <w:shd w:val="clear" w:color="auto" w:fill="FFFFFF"/>
        </w:rPr>
        <w:t>:</w:t>
      </w:r>
      <w:r w:rsidR="008A10A3" w:rsidRPr="00466153">
        <w:rPr>
          <w:rFonts w:asciiTheme="minorHAnsi" w:hAnsiTheme="minorHAnsi" w:cstheme="minorHAnsi"/>
          <w:szCs w:val="20"/>
          <w:shd w:val="clear" w:color="auto" w:fill="FFFFFF"/>
        </w:rPr>
        <w:t xml:space="preserve"> </w:t>
      </w:r>
      <w:r w:rsidR="00027519" w:rsidRPr="00466153">
        <w:rPr>
          <w:rFonts w:asciiTheme="minorHAnsi" w:hAnsiTheme="minorHAnsi" w:cstheme="minorHAnsi"/>
          <w:szCs w:val="20"/>
          <w:shd w:val="clear" w:color="auto" w:fill="FFFFFF"/>
        </w:rPr>
        <w:t xml:space="preserve">Undergraduate full-time employment median annual salaries </w:t>
      </w:r>
      <w:r w:rsidR="001E3882" w:rsidRPr="00466153">
        <w:rPr>
          <w:rFonts w:asciiTheme="minorHAnsi" w:hAnsiTheme="minorHAnsi" w:cstheme="minorHAnsi"/>
          <w:szCs w:val="20"/>
          <w:shd w:val="clear" w:color="auto" w:fill="FFFFFF"/>
        </w:rPr>
        <w:t xml:space="preserve">for regional </w:t>
      </w:r>
      <w:r w:rsidR="00866A9F" w:rsidRPr="00466153">
        <w:rPr>
          <w:rFonts w:asciiTheme="minorHAnsi" w:hAnsiTheme="minorHAnsi" w:cstheme="minorHAnsi"/>
          <w:szCs w:val="20"/>
          <w:shd w:val="clear" w:color="auto" w:fill="FFFFFF"/>
        </w:rPr>
        <w:t>universities and Australia, 2022 to 2023</w:t>
      </w:r>
    </w:p>
    <w:p w14:paraId="08CC747E" w14:textId="35DC994A" w:rsidR="00472D93" w:rsidRPr="0099288C" w:rsidRDefault="00472D93" w:rsidP="00472D93">
      <w:pPr>
        <w:rPr>
          <w:rFonts w:asciiTheme="minorHAnsi" w:hAnsiTheme="minorHAnsi" w:cstheme="minorHAnsi"/>
          <w:b/>
          <w:color w:val="222222"/>
          <w:sz w:val="20"/>
          <w:szCs w:val="20"/>
          <w:shd w:val="clear" w:color="auto" w:fill="FFFFFF"/>
        </w:rPr>
      </w:pPr>
      <w:r>
        <w:rPr>
          <w:noProof/>
        </w:rPr>
        <w:drawing>
          <wp:inline distT="0" distB="0" distL="0" distR="0" wp14:anchorId="6AF17B61" wp14:editId="4B63104A">
            <wp:extent cx="5731510" cy="3869055"/>
            <wp:effectExtent l="0" t="0" r="2540" b="0"/>
            <wp:docPr id="1940015630" name="Chart 1" descr="Clustered column chart showing graduate survey outcomes data for 2022 and 2023. Shows in both 2022 and 2023, all regional universities except one, the University of the Sunshine Coast, had undergraduate full-time median annual salaries higher than the national average.">
              <a:extLst xmlns:a="http://schemas.openxmlformats.org/drawingml/2006/main">
                <a:ext uri="{FF2B5EF4-FFF2-40B4-BE49-F238E27FC236}">
                  <a16:creationId xmlns:a16="http://schemas.microsoft.com/office/drawing/2014/main" id="{4904F890-407D-B4A1-8CAA-5CE5CCE2E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38E9FCA6" w14:textId="288371EE" w:rsidR="008A10A3" w:rsidRPr="00466153" w:rsidRDefault="00A035B3" w:rsidP="00466153">
      <w:pPr>
        <w:pStyle w:val="Source"/>
        <w:rPr>
          <w:rFonts w:asciiTheme="minorHAnsi" w:hAnsiTheme="minorHAnsi" w:cstheme="minorHAnsi"/>
          <w:shd w:val="clear" w:color="auto" w:fill="FFFFFF"/>
        </w:rPr>
      </w:pPr>
      <w:r w:rsidRPr="00466153">
        <w:rPr>
          <w:rFonts w:asciiTheme="minorHAnsi" w:hAnsiTheme="minorHAnsi" w:cstheme="minorHAnsi"/>
          <w:shd w:val="clear" w:color="auto" w:fill="FFFFFF"/>
        </w:rPr>
        <w:t xml:space="preserve">Source: Quality Indicators for Learning and Teaching, </w:t>
      </w:r>
      <w:r w:rsidRPr="00901A26">
        <w:rPr>
          <w:rFonts w:asciiTheme="minorHAnsi" w:hAnsiTheme="minorHAnsi" w:cstheme="minorHAnsi"/>
          <w:i/>
          <w:iCs/>
          <w:shd w:val="clear" w:color="auto" w:fill="FFFFFF"/>
        </w:rPr>
        <w:t>Graduate Outcomes Survey</w:t>
      </w:r>
      <w:r w:rsidR="00786DA8" w:rsidRPr="00466153">
        <w:rPr>
          <w:rFonts w:asciiTheme="minorHAnsi" w:hAnsiTheme="minorHAnsi" w:cstheme="minorHAnsi"/>
          <w:shd w:val="clear" w:color="auto" w:fill="FFFFFF"/>
        </w:rPr>
        <w:t>,</w:t>
      </w:r>
      <w:r w:rsidRPr="00466153">
        <w:rPr>
          <w:rFonts w:asciiTheme="minorHAnsi" w:hAnsiTheme="minorHAnsi" w:cstheme="minorHAnsi"/>
          <w:shd w:val="clear" w:color="auto" w:fill="FFFFFF"/>
        </w:rPr>
        <w:t xml:space="preserve"> 2023</w:t>
      </w:r>
    </w:p>
    <w:p w14:paraId="467445FD" w14:textId="31545C20" w:rsidR="003E5B19" w:rsidRDefault="00925A0D" w:rsidP="00466153">
      <w:r>
        <w:t xml:space="preserve">These </w:t>
      </w:r>
      <w:r w:rsidR="007406DD">
        <w:t xml:space="preserve">generally strong </w:t>
      </w:r>
      <w:r>
        <w:t>findings in relat</w:t>
      </w:r>
      <w:r w:rsidR="007406DD">
        <w:t xml:space="preserve">ion to </w:t>
      </w:r>
      <w:r w:rsidR="00792331">
        <w:t xml:space="preserve">medium term employment rates and median annual salaries </w:t>
      </w:r>
      <w:r w:rsidR="001F2A55">
        <w:t>for graduates of regional universities</w:t>
      </w:r>
      <w:r w:rsidR="00686443">
        <w:t xml:space="preserve"> </w:t>
      </w:r>
      <w:r>
        <w:t>may be partly due to high demand for many skilled occupations in regional labour markets.</w:t>
      </w:r>
      <w:r w:rsidR="001C2686">
        <w:t xml:space="preserve"> </w:t>
      </w:r>
      <w:r w:rsidR="00A36D05">
        <w:t>People who study in the regions largely stay in the regions to work. A study</w:t>
      </w:r>
      <w:r w:rsidR="00E80059">
        <w:t xml:space="preserve"> undertaken for RUN </w:t>
      </w:r>
      <w:r w:rsidR="005743D0">
        <w:t>found around 7</w:t>
      </w:r>
      <w:r w:rsidR="00E80059">
        <w:t xml:space="preserve">0% of employed, recent graduates of </w:t>
      </w:r>
      <w:r w:rsidR="004A6219">
        <w:t>RUN universities were employed in regional Australia</w:t>
      </w:r>
      <w:r w:rsidR="00F7771C">
        <w:t>.</w:t>
      </w:r>
      <w:r w:rsidR="00DE7A85">
        <w:rPr>
          <w:rStyle w:val="FootnoteReference"/>
          <w:rFonts w:asciiTheme="minorHAnsi" w:hAnsiTheme="minorHAnsi" w:cstheme="minorHAnsi"/>
        </w:rPr>
        <w:footnoteReference w:id="71"/>
      </w:r>
      <w:r w:rsidR="00F7771C">
        <w:t xml:space="preserve"> </w:t>
      </w:r>
    </w:p>
    <w:p w14:paraId="165106B4" w14:textId="316A7A1E" w:rsidR="00925A0D" w:rsidRPr="006F0845" w:rsidRDefault="001C2686" w:rsidP="00466153">
      <w:r>
        <w:t xml:space="preserve">However, </w:t>
      </w:r>
      <w:r w:rsidRPr="001C2686">
        <w:t>factors beyond the quality of teaching, careers advice and other aspects such as course offerings and study area profile, study mode, the composition of the student population and variations in state / territory and regional labour markets can impact institution results.</w:t>
      </w:r>
      <w:r w:rsidR="00251625">
        <w:t xml:space="preserve"> </w:t>
      </w:r>
      <w:r w:rsidR="00925A0D">
        <w:t xml:space="preserve">Some regional universities have higher proportions of students studying via external rather than </w:t>
      </w:r>
      <w:hyperlink r:id="rId115" w:history="1">
        <w:r w:rsidR="00925A0D" w:rsidRPr="007E7781">
          <w:rPr>
            <w:rStyle w:val="Hyperlink"/>
          </w:rPr>
          <w:t>internal or multi-modal mode of attendance</w:t>
        </w:r>
      </w:hyperlink>
      <w:r w:rsidR="00925A0D">
        <w:t xml:space="preserve"> and/or have an older age demographic and/or higher proportion of students who may already be employed in their chosen field of study. There are opportunities </w:t>
      </w:r>
      <w:r>
        <w:t xml:space="preserve">for JSA </w:t>
      </w:r>
      <w:r w:rsidR="00925A0D">
        <w:t>to explore th</w:t>
      </w:r>
      <w:r>
        <w:t>is area</w:t>
      </w:r>
      <w:r w:rsidR="00925A0D">
        <w:t xml:space="preserve"> in more detail.</w:t>
      </w:r>
    </w:p>
    <w:p w14:paraId="04C059D4" w14:textId="2541648A" w:rsidR="00EF7B12" w:rsidRPr="00DE39B8" w:rsidRDefault="00EF7B12" w:rsidP="005C34D6">
      <w:pPr>
        <w:pStyle w:val="Heading4"/>
        <w:rPr>
          <w:b w:val="0"/>
        </w:rPr>
      </w:pPr>
      <w:r w:rsidRPr="00DE39B8">
        <w:t xml:space="preserve">Spotlight on Health </w:t>
      </w:r>
      <w:r w:rsidR="00C47E12" w:rsidRPr="005C34D6">
        <w:t>and</w:t>
      </w:r>
      <w:r w:rsidR="00C47E12" w:rsidRPr="00DE39B8">
        <w:t xml:space="preserve"> Care </w:t>
      </w:r>
      <w:r w:rsidRPr="00DE39B8">
        <w:t>professionals</w:t>
      </w:r>
    </w:p>
    <w:p w14:paraId="02ED6550" w14:textId="5F806F67" w:rsidR="0066637B" w:rsidRDefault="00E251AE" w:rsidP="00DE39B8">
      <w:r>
        <w:t xml:space="preserve">As explored earlier, </w:t>
      </w:r>
      <w:r w:rsidR="7ED9A26B" w:rsidRPr="00FF29AB">
        <w:t>JSA data on job advertisements</w:t>
      </w:r>
      <w:r w:rsidR="67F44D39" w:rsidRPr="00FF29AB">
        <w:t xml:space="preserve"> outlin</w:t>
      </w:r>
      <w:r w:rsidR="7ED9A26B" w:rsidRPr="00FF29AB">
        <w:t xml:space="preserve">es that </w:t>
      </w:r>
      <w:r w:rsidR="251B92AB" w:rsidRPr="00FF29AB">
        <w:t xml:space="preserve">the top </w:t>
      </w:r>
      <w:r>
        <w:t>five</w:t>
      </w:r>
      <w:r w:rsidR="251B92AB" w:rsidRPr="00FF29AB">
        <w:t xml:space="preserve"> Health Care and Social Assistance occupations in demand in regional Australia are Registered Nurses, Aged and Disabled Carers, Child Carers, Nursing Support and Personal Care Workers, General Practitioners and Resident Medical Officers</w:t>
      </w:r>
      <w:r w:rsidR="00DD1C79">
        <w:t>, with large numbers of job vacancies</w:t>
      </w:r>
      <w:r w:rsidR="251B92AB" w:rsidRPr="00BD026B">
        <w:t>.</w:t>
      </w:r>
      <w:r w:rsidR="1415D254" w:rsidRPr="00BD026B">
        <w:t xml:space="preserve">  </w:t>
      </w:r>
    </w:p>
    <w:p w14:paraId="110EFA4F" w14:textId="6C4DA1DB" w:rsidR="00EC56C1" w:rsidRPr="00BD026B" w:rsidRDefault="00EF7B12" w:rsidP="00DE39B8">
      <w:r w:rsidRPr="00BD026B">
        <w:t xml:space="preserve">The </w:t>
      </w:r>
      <w:r w:rsidR="221CAA33" w:rsidRPr="00BD026B">
        <w:t>Australian Universities Accord Final Report cited research</w:t>
      </w:r>
      <w:r w:rsidRPr="00BD026B">
        <w:t xml:space="preserve"> </w:t>
      </w:r>
      <w:r w:rsidR="00E86810">
        <w:t>showing</w:t>
      </w:r>
      <w:r w:rsidRPr="00BD026B">
        <w:t xml:space="preserve"> health students from regional areas, and those who undertake extensive training in a rural setting, are more likely to practice in regional areas, and that students from rural backgrounds are more likely than those of metropolitan origin to remain in rural practice.</w:t>
      </w:r>
      <w:r w:rsidRPr="00D54791">
        <w:rPr>
          <w:vertAlign w:val="superscript"/>
        </w:rPr>
        <w:footnoteReference w:id="72"/>
      </w:r>
      <w:r w:rsidR="133FC20B" w:rsidRPr="00BD026B">
        <w:t xml:space="preserve"> </w:t>
      </w:r>
      <w:r w:rsidR="00DC399A">
        <w:t>C</w:t>
      </w:r>
      <w:r w:rsidR="70F5E44D" w:rsidRPr="00BD026B">
        <w:t>onversely</w:t>
      </w:r>
      <w:r w:rsidR="00EF4703">
        <w:t>,</w:t>
      </w:r>
      <w:r w:rsidR="70F5E44D" w:rsidRPr="00BD026B">
        <w:t xml:space="preserve"> a high proportion of students who move from regional or remote areas </w:t>
      </w:r>
      <w:r w:rsidR="723C662F" w:rsidRPr="00BD026B">
        <w:t>to study in m</w:t>
      </w:r>
      <w:r w:rsidR="00227E03">
        <w:t>ajor cities</w:t>
      </w:r>
      <w:r w:rsidR="723C662F" w:rsidRPr="00BD026B">
        <w:t xml:space="preserve"> stay there.</w:t>
      </w:r>
      <w:r w:rsidR="00C05E06">
        <w:t xml:space="preserve"> It also notes that t</w:t>
      </w:r>
      <w:r w:rsidR="00C05E06" w:rsidRPr="00BD026B">
        <w:t xml:space="preserve">he more rural a community is, the less access its population has to </w:t>
      </w:r>
      <w:r w:rsidR="00C05E06">
        <w:t>general practitioners</w:t>
      </w:r>
      <w:r w:rsidR="00C05E06" w:rsidRPr="00BD026B">
        <w:t xml:space="preserve"> and health care, likely adversely impacting health outcomes in the regions.</w:t>
      </w:r>
      <w:r w:rsidR="00C05E06" w:rsidRPr="00D54791">
        <w:rPr>
          <w:vertAlign w:val="superscript"/>
        </w:rPr>
        <w:footnoteReference w:id="73"/>
      </w:r>
      <w:r w:rsidR="00C05E06" w:rsidRPr="00BD026B">
        <w:t xml:space="preserve"> </w:t>
      </w:r>
    </w:p>
    <w:p w14:paraId="2D49CA84" w14:textId="32DBE18C" w:rsidR="00713C0F" w:rsidRDefault="003F3F2C" w:rsidP="00DE39B8">
      <w:r>
        <w:t xml:space="preserve">Most </w:t>
      </w:r>
      <w:r w:rsidR="00D0602E">
        <w:t>regional</w:t>
      </w:r>
      <w:r>
        <w:t xml:space="preserve"> universities have a</w:t>
      </w:r>
      <w:r w:rsidR="00EF7B12" w:rsidRPr="00BD026B">
        <w:t xml:space="preserve"> high proportion of</w:t>
      </w:r>
      <w:r>
        <w:t xml:space="preserve"> their</w:t>
      </w:r>
      <w:r w:rsidR="00EF7B12" w:rsidRPr="00BD026B">
        <w:t xml:space="preserve"> students </w:t>
      </w:r>
      <w:r>
        <w:t xml:space="preserve">(as measured by equivalent full time student load) </w:t>
      </w:r>
      <w:r w:rsidR="00EF7B12" w:rsidRPr="00BD026B">
        <w:t>undertaking courses in the health fiel</w:t>
      </w:r>
      <w:r w:rsidR="007B7469">
        <w:t>d</w:t>
      </w:r>
      <w:r w:rsidR="00EF7B12" w:rsidRPr="00BD026B">
        <w:t xml:space="preserve">, </w:t>
      </w:r>
      <w:r w:rsidR="00E95EA9">
        <w:t xml:space="preserve">with </w:t>
      </w:r>
      <w:r w:rsidR="0082103C">
        <w:t xml:space="preserve">half of the ten regional </w:t>
      </w:r>
      <w:r w:rsidR="007B7469">
        <w:t>universities</w:t>
      </w:r>
      <w:r w:rsidR="00BF546F">
        <w:t xml:space="preserve"> at least</w:t>
      </w:r>
      <w:r w:rsidR="0082103C">
        <w:t xml:space="preserve"> double</w:t>
      </w:r>
      <w:r w:rsidR="00EF7B12" w:rsidRPr="00BD026B">
        <w:t xml:space="preserve"> the national average of 18%</w:t>
      </w:r>
      <w:r w:rsidR="007B7469">
        <w:t xml:space="preserve"> (</w:t>
      </w:r>
      <w:r w:rsidR="00E07622">
        <w:t>Table</w:t>
      </w:r>
      <w:r w:rsidR="007B7469">
        <w:t> 9)</w:t>
      </w:r>
      <w:r w:rsidR="00EF7B12" w:rsidRPr="00BD026B">
        <w:t xml:space="preserve">. </w:t>
      </w:r>
    </w:p>
    <w:p w14:paraId="03284562" w14:textId="441ABBBC" w:rsidR="00600FAF" w:rsidRDefault="00EF7B12" w:rsidP="00DE39B8">
      <w:pPr>
        <w:pStyle w:val="Caption"/>
        <w:rPr>
          <w:rFonts w:cs="Arial"/>
        </w:rPr>
      </w:pPr>
      <w:r w:rsidRPr="00DE39B8">
        <w:rPr>
          <w:rFonts w:asciiTheme="minorHAnsi" w:hAnsiTheme="minorHAnsi" w:cstheme="minorHAnsi"/>
          <w:szCs w:val="20"/>
        </w:rPr>
        <w:t xml:space="preserve">Table </w:t>
      </w:r>
      <w:r w:rsidR="00EC07D8" w:rsidRPr="00DE39B8">
        <w:rPr>
          <w:rFonts w:asciiTheme="minorHAnsi" w:hAnsiTheme="minorHAnsi" w:cstheme="minorHAnsi"/>
          <w:szCs w:val="20"/>
        </w:rPr>
        <w:t>9</w:t>
      </w:r>
      <w:r w:rsidR="00055B1F" w:rsidRPr="00DE39B8">
        <w:rPr>
          <w:rFonts w:asciiTheme="minorHAnsi" w:hAnsiTheme="minorHAnsi" w:cstheme="minorHAnsi"/>
          <w:szCs w:val="20"/>
        </w:rPr>
        <w:t>:</w:t>
      </w:r>
      <w:r w:rsidRPr="00DE39B8">
        <w:rPr>
          <w:rFonts w:asciiTheme="minorHAnsi" w:hAnsiTheme="minorHAnsi" w:cstheme="minorHAnsi"/>
          <w:szCs w:val="20"/>
        </w:rPr>
        <w:t xml:space="preserve"> Proportion of Actual Student Load (EFTSL) for selected</w:t>
      </w:r>
      <w:r w:rsidR="00FA76E2" w:rsidRPr="00DE39B8">
        <w:rPr>
          <w:rFonts w:asciiTheme="minorHAnsi" w:hAnsiTheme="minorHAnsi" w:cstheme="minorHAnsi"/>
          <w:szCs w:val="20"/>
        </w:rPr>
        <w:t>^</w:t>
      </w:r>
      <w:r w:rsidRPr="00DE39B8">
        <w:rPr>
          <w:rFonts w:asciiTheme="minorHAnsi" w:hAnsiTheme="minorHAnsi" w:cstheme="minorHAnsi"/>
          <w:szCs w:val="20"/>
        </w:rPr>
        <w:t xml:space="preserve"> Academic Organisational Units – Onshore Students 2022</w:t>
      </w:r>
    </w:p>
    <w:tbl>
      <w:tblPr>
        <w:tblW w:w="5000" w:type="pct"/>
        <w:tblLook w:val="04A0" w:firstRow="1" w:lastRow="0" w:firstColumn="1" w:lastColumn="0" w:noHBand="0" w:noVBand="1"/>
      </w:tblPr>
      <w:tblGrid>
        <w:gridCol w:w="2575"/>
        <w:gridCol w:w="874"/>
        <w:gridCol w:w="1525"/>
        <w:gridCol w:w="1197"/>
        <w:gridCol w:w="1354"/>
        <w:gridCol w:w="1501"/>
      </w:tblGrid>
      <w:tr w:rsidR="00600FAF" w:rsidRPr="00600FAF" w14:paraId="645B4241" w14:textId="77777777" w:rsidTr="005C34D6">
        <w:trPr>
          <w:trHeight w:val="840"/>
        </w:trPr>
        <w:tc>
          <w:tcPr>
            <w:tcW w:w="3920" w:type="dxa"/>
            <w:tcBorders>
              <w:top w:val="nil"/>
              <w:left w:val="nil"/>
              <w:bottom w:val="nil"/>
              <w:right w:val="nil"/>
            </w:tcBorders>
            <w:shd w:val="clear" w:color="000000" w:fill="2F005F"/>
            <w:vAlign w:val="center"/>
            <w:hideMark/>
          </w:tcPr>
          <w:p w14:paraId="18EE58DA" w14:textId="77777777" w:rsidR="00600FAF" w:rsidRPr="00600FAF" w:rsidRDefault="00600FAF" w:rsidP="003D070F">
            <w:r w:rsidRPr="00600FAF">
              <w:t> </w:t>
            </w:r>
          </w:p>
        </w:tc>
        <w:tc>
          <w:tcPr>
            <w:tcW w:w="900" w:type="dxa"/>
            <w:tcBorders>
              <w:top w:val="nil"/>
              <w:left w:val="nil"/>
              <w:bottom w:val="nil"/>
              <w:right w:val="nil"/>
            </w:tcBorders>
            <w:shd w:val="clear" w:color="000000" w:fill="2F005F"/>
            <w:vAlign w:val="center"/>
            <w:hideMark/>
          </w:tcPr>
          <w:p w14:paraId="0AD35853" w14:textId="77777777" w:rsidR="00600FAF" w:rsidRPr="00600FAF" w:rsidRDefault="00600FAF" w:rsidP="005C34D6">
            <w:pPr>
              <w:spacing w:after="0" w:line="240" w:lineRule="auto"/>
              <w:jc w:val="right"/>
              <w:rPr>
                <w:rFonts w:eastAsia="Times New Roman" w:cs="Arial"/>
                <w:color w:val="FFFFFF"/>
              </w:rPr>
            </w:pPr>
            <w:r w:rsidRPr="00600FAF">
              <w:rPr>
                <w:rFonts w:eastAsia="Times New Roman" w:cs="Arial"/>
                <w:color w:val="FFFFFF"/>
              </w:rPr>
              <w:t>Health</w:t>
            </w:r>
          </w:p>
        </w:tc>
        <w:tc>
          <w:tcPr>
            <w:tcW w:w="1400" w:type="dxa"/>
            <w:tcBorders>
              <w:top w:val="nil"/>
              <w:left w:val="nil"/>
              <w:bottom w:val="nil"/>
              <w:right w:val="nil"/>
            </w:tcBorders>
            <w:shd w:val="clear" w:color="000000" w:fill="2F005F"/>
            <w:vAlign w:val="center"/>
            <w:hideMark/>
          </w:tcPr>
          <w:p w14:paraId="68F0134F" w14:textId="77777777" w:rsidR="00600FAF" w:rsidRPr="00600FAF" w:rsidRDefault="00600FAF" w:rsidP="005C34D6">
            <w:pPr>
              <w:spacing w:after="0" w:line="240" w:lineRule="auto"/>
              <w:jc w:val="right"/>
              <w:rPr>
                <w:rFonts w:eastAsia="Times New Roman" w:cs="Arial"/>
                <w:color w:val="FFFFFF"/>
              </w:rPr>
            </w:pPr>
            <w:r w:rsidRPr="00600FAF">
              <w:rPr>
                <w:rFonts w:eastAsia="Times New Roman" w:cs="Arial"/>
                <w:color w:val="FFFFFF"/>
              </w:rPr>
              <w:t>Engineering and related Technologies</w:t>
            </w:r>
          </w:p>
        </w:tc>
        <w:tc>
          <w:tcPr>
            <w:tcW w:w="1200" w:type="dxa"/>
            <w:tcBorders>
              <w:top w:val="nil"/>
              <w:left w:val="nil"/>
              <w:bottom w:val="nil"/>
              <w:right w:val="nil"/>
            </w:tcBorders>
            <w:shd w:val="clear" w:color="000000" w:fill="2F005F"/>
            <w:vAlign w:val="center"/>
            <w:hideMark/>
          </w:tcPr>
          <w:p w14:paraId="5D21AF84" w14:textId="77777777" w:rsidR="00600FAF" w:rsidRPr="00600FAF" w:rsidRDefault="00600FAF" w:rsidP="005C34D6">
            <w:pPr>
              <w:spacing w:after="0" w:line="240" w:lineRule="auto"/>
              <w:jc w:val="right"/>
              <w:rPr>
                <w:rFonts w:eastAsia="Times New Roman" w:cs="Arial"/>
                <w:color w:val="FFFFFF"/>
              </w:rPr>
            </w:pPr>
            <w:r w:rsidRPr="00600FAF">
              <w:rPr>
                <w:rFonts w:eastAsia="Times New Roman" w:cs="Arial"/>
                <w:color w:val="FFFFFF"/>
              </w:rPr>
              <w:t>Education</w:t>
            </w:r>
          </w:p>
        </w:tc>
        <w:tc>
          <w:tcPr>
            <w:tcW w:w="1200" w:type="dxa"/>
            <w:tcBorders>
              <w:top w:val="nil"/>
              <w:left w:val="nil"/>
              <w:bottom w:val="nil"/>
              <w:right w:val="nil"/>
            </w:tcBorders>
            <w:shd w:val="clear" w:color="000000" w:fill="2F005F"/>
            <w:vAlign w:val="center"/>
            <w:hideMark/>
          </w:tcPr>
          <w:p w14:paraId="7057316B" w14:textId="77777777" w:rsidR="00600FAF" w:rsidRPr="00600FAF" w:rsidRDefault="00600FAF" w:rsidP="005C34D6">
            <w:pPr>
              <w:spacing w:after="0" w:line="240" w:lineRule="auto"/>
              <w:jc w:val="right"/>
              <w:rPr>
                <w:rFonts w:eastAsia="Times New Roman" w:cs="Arial"/>
                <w:color w:val="FFFFFF"/>
              </w:rPr>
            </w:pPr>
            <w:r w:rsidRPr="00600FAF">
              <w:rPr>
                <w:rFonts w:eastAsia="Times New Roman" w:cs="Arial"/>
                <w:color w:val="FFFFFF"/>
              </w:rPr>
              <w:t>Information Technology</w:t>
            </w:r>
          </w:p>
        </w:tc>
        <w:tc>
          <w:tcPr>
            <w:tcW w:w="1400" w:type="dxa"/>
            <w:tcBorders>
              <w:top w:val="nil"/>
              <w:left w:val="nil"/>
              <w:bottom w:val="nil"/>
              <w:right w:val="nil"/>
            </w:tcBorders>
            <w:shd w:val="clear" w:color="000000" w:fill="2F005F"/>
            <w:vAlign w:val="center"/>
            <w:hideMark/>
          </w:tcPr>
          <w:p w14:paraId="5C0FC73C" w14:textId="77777777" w:rsidR="00600FAF" w:rsidRPr="00600FAF" w:rsidRDefault="00600FAF" w:rsidP="005C34D6">
            <w:pPr>
              <w:spacing w:after="0" w:line="240" w:lineRule="auto"/>
              <w:jc w:val="right"/>
              <w:rPr>
                <w:rFonts w:eastAsia="Times New Roman" w:cs="Arial"/>
                <w:color w:val="FFFFFF"/>
              </w:rPr>
            </w:pPr>
            <w:r w:rsidRPr="00600FAF">
              <w:rPr>
                <w:rFonts w:eastAsia="Times New Roman" w:cs="Arial"/>
                <w:color w:val="FFFFFF"/>
              </w:rPr>
              <w:t>Management &amp; Commerce</w:t>
            </w:r>
          </w:p>
        </w:tc>
      </w:tr>
      <w:tr w:rsidR="00600FAF" w:rsidRPr="00600FAF" w14:paraId="5D715F66" w14:textId="77777777" w:rsidTr="005C34D6">
        <w:trPr>
          <w:trHeight w:val="290"/>
        </w:trPr>
        <w:tc>
          <w:tcPr>
            <w:tcW w:w="3920" w:type="dxa"/>
            <w:tcBorders>
              <w:top w:val="nil"/>
              <w:left w:val="nil"/>
              <w:bottom w:val="nil"/>
              <w:right w:val="nil"/>
            </w:tcBorders>
            <w:shd w:val="clear" w:color="auto" w:fill="auto"/>
            <w:vAlign w:val="center"/>
            <w:hideMark/>
          </w:tcPr>
          <w:p w14:paraId="1C09A250" w14:textId="77777777" w:rsidR="00600FAF" w:rsidRPr="00600FAF" w:rsidRDefault="00600FAF" w:rsidP="003D070F">
            <w:r w:rsidRPr="00600FAF">
              <w:t>National Average</w:t>
            </w:r>
          </w:p>
        </w:tc>
        <w:tc>
          <w:tcPr>
            <w:tcW w:w="900" w:type="dxa"/>
            <w:tcBorders>
              <w:top w:val="nil"/>
              <w:left w:val="nil"/>
              <w:bottom w:val="nil"/>
              <w:right w:val="nil"/>
            </w:tcBorders>
            <w:shd w:val="clear" w:color="auto" w:fill="auto"/>
            <w:vAlign w:val="center"/>
            <w:hideMark/>
          </w:tcPr>
          <w:p w14:paraId="38A4A3B7" w14:textId="77777777" w:rsidR="00600FAF" w:rsidRPr="00600FAF" w:rsidRDefault="00600FAF" w:rsidP="005C34D6">
            <w:pPr>
              <w:jc w:val="right"/>
            </w:pPr>
            <w:r w:rsidRPr="00600FAF">
              <w:t>18%</w:t>
            </w:r>
          </w:p>
        </w:tc>
        <w:tc>
          <w:tcPr>
            <w:tcW w:w="1400" w:type="dxa"/>
            <w:tcBorders>
              <w:top w:val="nil"/>
              <w:left w:val="nil"/>
              <w:bottom w:val="nil"/>
              <w:right w:val="nil"/>
            </w:tcBorders>
            <w:shd w:val="clear" w:color="auto" w:fill="auto"/>
            <w:vAlign w:val="center"/>
            <w:hideMark/>
          </w:tcPr>
          <w:p w14:paraId="1F29765A" w14:textId="77777777" w:rsidR="00600FAF" w:rsidRPr="00600FAF" w:rsidRDefault="00600FAF" w:rsidP="005C34D6">
            <w:pPr>
              <w:jc w:val="right"/>
            </w:pPr>
            <w:r w:rsidRPr="00600FAF">
              <w:t>6%</w:t>
            </w:r>
          </w:p>
        </w:tc>
        <w:tc>
          <w:tcPr>
            <w:tcW w:w="1200" w:type="dxa"/>
            <w:tcBorders>
              <w:top w:val="nil"/>
              <w:left w:val="nil"/>
              <w:bottom w:val="nil"/>
              <w:right w:val="nil"/>
            </w:tcBorders>
            <w:shd w:val="clear" w:color="auto" w:fill="auto"/>
            <w:vAlign w:val="center"/>
            <w:hideMark/>
          </w:tcPr>
          <w:p w14:paraId="14AE307E" w14:textId="77777777" w:rsidR="00600FAF" w:rsidRPr="00600FAF" w:rsidRDefault="00600FAF" w:rsidP="005C34D6">
            <w:pPr>
              <w:jc w:val="right"/>
            </w:pPr>
            <w:r w:rsidRPr="00600FAF">
              <w:t>9%</w:t>
            </w:r>
          </w:p>
        </w:tc>
        <w:tc>
          <w:tcPr>
            <w:tcW w:w="1200" w:type="dxa"/>
            <w:tcBorders>
              <w:top w:val="nil"/>
              <w:left w:val="nil"/>
              <w:bottom w:val="nil"/>
              <w:right w:val="nil"/>
            </w:tcBorders>
            <w:shd w:val="clear" w:color="auto" w:fill="auto"/>
            <w:vAlign w:val="center"/>
            <w:hideMark/>
          </w:tcPr>
          <w:p w14:paraId="7987046C" w14:textId="77777777" w:rsidR="00600FAF" w:rsidRPr="00600FAF" w:rsidRDefault="00600FAF" w:rsidP="005C34D6">
            <w:pPr>
              <w:jc w:val="right"/>
            </w:pPr>
            <w:r w:rsidRPr="00600FAF">
              <w:t>7%</w:t>
            </w:r>
          </w:p>
        </w:tc>
        <w:tc>
          <w:tcPr>
            <w:tcW w:w="1400" w:type="dxa"/>
            <w:tcBorders>
              <w:top w:val="nil"/>
              <w:left w:val="nil"/>
              <w:bottom w:val="nil"/>
              <w:right w:val="nil"/>
            </w:tcBorders>
            <w:shd w:val="clear" w:color="auto" w:fill="auto"/>
            <w:vAlign w:val="center"/>
            <w:hideMark/>
          </w:tcPr>
          <w:p w14:paraId="4BC19B58" w14:textId="77777777" w:rsidR="00600FAF" w:rsidRPr="00600FAF" w:rsidRDefault="00600FAF" w:rsidP="005C34D6">
            <w:pPr>
              <w:jc w:val="right"/>
            </w:pPr>
            <w:r w:rsidRPr="00600FAF">
              <w:t>16%</w:t>
            </w:r>
          </w:p>
        </w:tc>
      </w:tr>
      <w:tr w:rsidR="00600FAF" w:rsidRPr="00600FAF" w14:paraId="5A87C8B1" w14:textId="77777777" w:rsidTr="005C34D6">
        <w:trPr>
          <w:trHeight w:val="290"/>
        </w:trPr>
        <w:tc>
          <w:tcPr>
            <w:tcW w:w="3920" w:type="dxa"/>
            <w:tcBorders>
              <w:top w:val="nil"/>
              <w:left w:val="nil"/>
              <w:bottom w:val="nil"/>
              <w:right w:val="nil"/>
            </w:tcBorders>
            <w:shd w:val="clear" w:color="000000" w:fill="E6E6E6"/>
            <w:vAlign w:val="center"/>
            <w:hideMark/>
          </w:tcPr>
          <w:p w14:paraId="6165C37D" w14:textId="77777777" w:rsidR="00600FAF" w:rsidRPr="00600FAF" w:rsidRDefault="00600FAF" w:rsidP="003D070F">
            <w:r w:rsidRPr="00600FAF">
              <w:t>Charles Sturt University</w:t>
            </w:r>
          </w:p>
        </w:tc>
        <w:tc>
          <w:tcPr>
            <w:tcW w:w="900" w:type="dxa"/>
            <w:tcBorders>
              <w:top w:val="nil"/>
              <w:left w:val="nil"/>
              <w:bottom w:val="nil"/>
              <w:right w:val="nil"/>
            </w:tcBorders>
            <w:shd w:val="clear" w:color="000000" w:fill="E6E6E6"/>
            <w:vAlign w:val="center"/>
            <w:hideMark/>
          </w:tcPr>
          <w:p w14:paraId="180980C8" w14:textId="77777777" w:rsidR="00600FAF" w:rsidRPr="00600FAF" w:rsidRDefault="00600FAF" w:rsidP="005C34D6">
            <w:pPr>
              <w:jc w:val="right"/>
            </w:pPr>
            <w:r w:rsidRPr="00600FAF">
              <w:t>22%</w:t>
            </w:r>
          </w:p>
        </w:tc>
        <w:tc>
          <w:tcPr>
            <w:tcW w:w="1400" w:type="dxa"/>
            <w:tcBorders>
              <w:top w:val="nil"/>
              <w:left w:val="nil"/>
              <w:bottom w:val="nil"/>
              <w:right w:val="nil"/>
            </w:tcBorders>
            <w:shd w:val="clear" w:color="000000" w:fill="E6E6E6"/>
            <w:vAlign w:val="center"/>
            <w:hideMark/>
          </w:tcPr>
          <w:p w14:paraId="3F9E417D" w14:textId="77777777" w:rsidR="00600FAF" w:rsidRPr="00600FAF" w:rsidRDefault="00600FAF" w:rsidP="005C34D6">
            <w:pPr>
              <w:jc w:val="right"/>
            </w:pPr>
            <w:r w:rsidRPr="00600FAF">
              <w:t>0%</w:t>
            </w:r>
          </w:p>
        </w:tc>
        <w:tc>
          <w:tcPr>
            <w:tcW w:w="1200" w:type="dxa"/>
            <w:tcBorders>
              <w:top w:val="nil"/>
              <w:left w:val="nil"/>
              <w:bottom w:val="nil"/>
              <w:right w:val="nil"/>
            </w:tcBorders>
            <w:shd w:val="clear" w:color="000000" w:fill="E6E6E6"/>
            <w:vAlign w:val="center"/>
            <w:hideMark/>
          </w:tcPr>
          <w:p w14:paraId="3543212B" w14:textId="77777777" w:rsidR="00600FAF" w:rsidRPr="00600FAF" w:rsidRDefault="00600FAF" w:rsidP="005C34D6">
            <w:pPr>
              <w:jc w:val="right"/>
            </w:pPr>
            <w:r w:rsidRPr="00600FAF">
              <w:t>12%</w:t>
            </w:r>
          </w:p>
        </w:tc>
        <w:tc>
          <w:tcPr>
            <w:tcW w:w="1200" w:type="dxa"/>
            <w:tcBorders>
              <w:top w:val="nil"/>
              <w:left w:val="nil"/>
              <w:bottom w:val="nil"/>
              <w:right w:val="nil"/>
            </w:tcBorders>
            <w:shd w:val="clear" w:color="000000" w:fill="E6E6E6"/>
            <w:vAlign w:val="center"/>
            <w:hideMark/>
          </w:tcPr>
          <w:p w14:paraId="6B5C3068" w14:textId="77777777" w:rsidR="00600FAF" w:rsidRPr="00600FAF" w:rsidRDefault="00600FAF" w:rsidP="005C34D6">
            <w:pPr>
              <w:jc w:val="right"/>
            </w:pPr>
            <w:r w:rsidRPr="00600FAF">
              <w:t>6%</w:t>
            </w:r>
          </w:p>
        </w:tc>
        <w:tc>
          <w:tcPr>
            <w:tcW w:w="1400" w:type="dxa"/>
            <w:tcBorders>
              <w:top w:val="nil"/>
              <w:left w:val="nil"/>
              <w:bottom w:val="nil"/>
              <w:right w:val="nil"/>
            </w:tcBorders>
            <w:shd w:val="clear" w:color="000000" w:fill="E6E6E6"/>
            <w:vAlign w:val="center"/>
            <w:hideMark/>
          </w:tcPr>
          <w:p w14:paraId="4AB9F20D" w14:textId="77777777" w:rsidR="00600FAF" w:rsidRPr="00600FAF" w:rsidRDefault="00600FAF" w:rsidP="005C34D6">
            <w:pPr>
              <w:jc w:val="right"/>
            </w:pPr>
            <w:r w:rsidRPr="00600FAF">
              <w:t>5%</w:t>
            </w:r>
          </w:p>
        </w:tc>
      </w:tr>
      <w:tr w:rsidR="00600FAF" w:rsidRPr="00600FAF" w14:paraId="6380840A" w14:textId="77777777" w:rsidTr="005C34D6">
        <w:trPr>
          <w:trHeight w:val="290"/>
        </w:trPr>
        <w:tc>
          <w:tcPr>
            <w:tcW w:w="3920" w:type="dxa"/>
            <w:tcBorders>
              <w:top w:val="nil"/>
              <w:left w:val="nil"/>
              <w:bottom w:val="nil"/>
              <w:right w:val="nil"/>
            </w:tcBorders>
            <w:shd w:val="clear" w:color="auto" w:fill="auto"/>
            <w:vAlign w:val="center"/>
            <w:hideMark/>
          </w:tcPr>
          <w:p w14:paraId="262B24B0" w14:textId="77777777" w:rsidR="00600FAF" w:rsidRPr="00600FAF" w:rsidRDefault="00600FAF" w:rsidP="003D070F">
            <w:r w:rsidRPr="00600FAF">
              <w:t>Southern Cross University</w:t>
            </w:r>
          </w:p>
        </w:tc>
        <w:tc>
          <w:tcPr>
            <w:tcW w:w="900" w:type="dxa"/>
            <w:tcBorders>
              <w:top w:val="nil"/>
              <w:left w:val="nil"/>
              <w:bottom w:val="nil"/>
              <w:right w:val="nil"/>
            </w:tcBorders>
            <w:shd w:val="clear" w:color="auto" w:fill="auto"/>
            <w:vAlign w:val="center"/>
            <w:hideMark/>
          </w:tcPr>
          <w:p w14:paraId="602B4D7A" w14:textId="77777777" w:rsidR="00600FAF" w:rsidRPr="00600FAF" w:rsidRDefault="00600FAF" w:rsidP="005C34D6">
            <w:pPr>
              <w:jc w:val="right"/>
            </w:pPr>
            <w:r w:rsidRPr="00600FAF">
              <w:t>37%</w:t>
            </w:r>
          </w:p>
        </w:tc>
        <w:tc>
          <w:tcPr>
            <w:tcW w:w="1400" w:type="dxa"/>
            <w:tcBorders>
              <w:top w:val="nil"/>
              <w:left w:val="nil"/>
              <w:bottom w:val="nil"/>
              <w:right w:val="nil"/>
            </w:tcBorders>
            <w:shd w:val="clear" w:color="auto" w:fill="auto"/>
            <w:vAlign w:val="center"/>
            <w:hideMark/>
          </w:tcPr>
          <w:p w14:paraId="78481D7B" w14:textId="77777777" w:rsidR="00600FAF" w:rsidRPr="00600FAF" w:rsidRDefault="00600FAF" w:rsidP="005C34D6">
            <w:pPr>
              <w:jc w:val="right"/>
            </w:pPr>
            <w:r w:rsidRPr="00600FAF">
              <w:t>0%</w:t>
            </w:r>
          </w:p>
        </w:tc>
        <w:tc>
          <w:tcPr>
            <w:tcW w:w="1200" w:type="dxa"/>
            <w:tcBorders>
              <w:top w:val="nil"/>
              <w:left w:val="nil"/>
              <w:bottom w:val="nil"/>
              <w:right w:val="nil"/>
            </w:tcBorders>
            <w:shd w:val="clear" w:color="auto" w:fill="auto"/>
            <w:vAlign w:val="center"/>
            <w:hideMark/>
          </w:tcPr>
          <w:p w14:paraId="019FE190" w14:textId="77777777" w:rsidR="00600FAF" w:rsidRPr="00600FAF" w:rsidRDefault="00600FAF" w:rsidP="005C34D6">
            <w:pPr>
              <w:jc w:val="right"/>
            </w:pPr>
            <w:r w:rsidRPr="00600FAF">
              <w:t>21%</w:t>
            </w:r>
          </w:p>
        </w:tc>
        <w:tc>
          <w:tcPr>
            <w:tcW w:w="1200" w:type="dxa"/>
            <w:tcBorders>
              <w:top w:val="nil"/>
              <w:left w:val="nil"/>
              <w:bottom w:val="nil"/>
              <w:right w:val="nil"/>
            </w:tcBorders>
            <w:shd w:val="clear" w:color="auto" w:fill="auto"/>
            <w:vAlign w:val="center"/>
            <w:hideMark/>
          </w:tcPr>
          <w:p w14:paraId="6D9CF7C0" w14:textId="77777777" w:rsidR="00600FAF" w:rsidRPr="00600FAF" w:rsidRDefault="00600FAF" w:rsidP="005C34D6">
            <w:pPr>
              <w:jc w:val="right"/>
            </w:pPr>
            <w:r w:rsidRPr="00600FAF">
              <w:t>11%</w:t>
            </w:r>
          </w:p>
        </w:tc>
        <w:tc>
          <w:tcPr>
            <w:tcW w:w="1400" w:type="dxa"/>
            <w:tcBorders>
              <w:top w:val="nil"/>
              <w:left w:val="nil"/>
              <w:bottom w:val="nil"/>
              <w:right w:val="nil"/>
            </w:tcBorders>
            <w:shd w:val="clear" w:color="auto" w:fill="auto"/>
            <w:vAlign w:val="center"/>
            <w:hideMark/>
          </w:tcPr>
          <w:p w14:paraId="39D9618F" w14:textId="77777777" w:rsidR="00600FAF" w:rsidRPr="00600FAF" w:rsidRDefault="00600FAF" w:rsidP="005C34D6">
            <w:pPr>
              <w:jc w:val="right"/>
            </w:pPr>
            <w:r w:rsidRPr="00600FAF">
              <w:t>25%</w:t>
            </w:r>
          </w:p>
        </w:tc>
      </w:tr>
      <w:tr w:rsidR="00600FAF" w:rsidRPr="00600FAF" w14:paraId="6B1F10A2" w14:textId="77777777" w:rsidTr="005C34D6">
        <w:trPr>
          <w:trHeight w:val="290"/>
        </w:trPr>
        <w:tc>
          <w:tcPr>
            <w:tcW w:w="3920" w:type="dxa"/>
            <w:tcBorders>
              <w:top w:val="nil"/>
              <w:left w:val="nil"/>
              <w:bottom w:val="nil"/>
              <w:right w:val="nil"/>
            </w:tcBorders>
            <w:shd w:val="clear" w:color="000000" w:fill="E6E6E6"/>
            <w:vAlign w:val="center"/>
            <w:hideMark/>
          </w:tcPr>
          <w:p w14:paraId="54564C59" w14:textId="77777777" w:rsidR="00600FAF" w:rsidRPr="00600FAF" w:rsidRDefault="00600FAF" w:rsidP="003D070F">
            <w:r w:rsidRPr="00600FAF">
              <w:t>The University of New England</w:t>
            </w:r>
          </w:p>
        </w:tc>
        <w:tc>
          <w:tcPr>
            <w:tcW w:w="900" w:type="dxa"/>
            <w:tcBorders>
              <w:top w:val="nil"/>
              <w:left w:val="nil"/>
              <w:bottom w:val="nil"/>
              <w:right w:val="nil"/>
            </w:tcBorders>
            <w:shd w:val="clear" w:color="000000" w:fill="E6E6E6"/>
            <w:vAlign w:val="center"/>
            <w:hideMark/>
          </w:tcPr>
          <w:p w14:paraId="0DBBCE92" w14:textId="77777777" w:rsidR="00600FAF" w:rsidRPr="00600FAF" w:rsidRDefault="00600FAF" w:rsidP="005C34D6">
            <w:pPr>
              <w:jc w:val="right"/>
            </w:pPr>
            <w:r w:rsidRPr="00600FAF">
              <w:t>11%</w:t>
            </w:r>
          </w:p>
        </w:tc>
        <w:tc>
          <w:tcPr>
            <w:tcW w:w="1400" w:type="dxa"/>
            <w:tcBorders>
              <w:top w:val="nil"/>
              <w:left w:val="nil"/>
              <w:bottom w:val="nil"/>
              <w:right w:val="nil"/>
            </w:tcBorders>
            <w:shd w:val="clear" w:color="000000" w:fill="E6E6E6"/>
            <w:vAlign w:val="center"/>
            <w:hideMark/>
          </w:tcPr>
          <w:p w14:paraId="78F08184" w14:textId="77777777" w:rsidR="00600FAF" w:rsidRPr="00600FAF" w:rsidRDefault="00600FAF" w:rsidP="005C34D6">
            <w:pPr>
              <w:jc w:val="right"/>
            </w:pPr>
            <w:r w:rsidRPr="00600FAF">
              <w:t>0%</w:t>
            </w:r>
          </w:p>
        </w:tc>
        <w:tc>
          <w:tcPr>
            <w:tcW w:w="1200" w:type="dxa"/>
            <w:tcBorders>
              <w:top w:val="nil"/>
              <w:left w:val="nil"/>
              <w:bottom w:val="nil"/>
              <w:right w:val="nil"/>
            </w:tcBorders>
            <w:shd w:val="clear" w:color="000000" w:fill="E6E6E6"/>
            <w:vAlign w:val="center"/>
            <w:hideMark/>
          </w:tcPr>
          <w:p w14:paraId="3DA593EC" w14:textId="77777777" w:rsidR="00600FAF" w:rsidRPr="00600FAF" w:rsidRDefault="00600FAF" w:rsidP="005C34D6">
            <w:pPr>
              <w:jc w:val="right"/>
            </w:pPr>
            <w:r w:rsidRPr="00600FAF">
              <w:t>19%</w:t>
            </w:r>
          </w:p>
        </w:tc>
        <w:tc>
          <w:tcPr>
            <w:tcW w:w="1200" w:type="dxa"/>
            <w:tcBorders>
              <w:top w:val="nil"/>
              <w:left w:val="nil"/>
              <w:bottom w:val="nil"/>
              <w:right w:val="nil"/>
            </w:tcBorders>
            <w:shd w:val="clear" w:color="000000" w:fill="E6E6E6"/>
            <w:vAlign w:val="center"/>
            <w:hideMark/>
          </w:tcPr>
          <w:p w14:paraId="14289F07" w14:textId="77777777" w:rsidR="00600FAF" w:rsidRPr="00600FAF" w:rsidRDefault="00600FAF" w:rsidP="005C34D6">
            <w:pPr>
              <w:jc w:val="right"/>
            </w:pPr>
            <w:r w:rsidRPr="00600FAF">
              <w:t>3%</w:t>
            </w:r>
          </w:p>
        </w:tc>
        <w:tc>
          <w:tcPr>
            <w:tcW w:w="1400" w:type="dxa"/>
            <w:tcBorders>
              <w:top w:val="nil"/>
              <w:left w:val="nil"/>
              <w:bottom w:val="nil"/>
              <w:right w:val="nil"/>
            </w:tcBorders>
            <w:shd w:val="clear" w:color="000000" w:fill="E6E6E6"/>
            <w:vAlign w:val="center"/>
            <w:hideMark/>
          </w:tcPr>
          <w:p w14:paraId="75697E4C" w14:textId="77777777" w:rsidR="00600FAF" w:rsidRPr="00600FAF" w:rsidRDefault="00600FAF" w:rsidP="005C34D6">
            <w:pPr>
              <w:jc w:val="right"/>
            </w:pPr>
            <w:r w:rsidRPr="00600FAF">
              <w:t>6%</w:t>
            </w:r>
          </w:p>
        </w:tc>
      </w:tr>
      <w:tr w:rsidR="00600FAF" w:rsidRPr="00600FAF" w14:paraId="3EEC3884" w14:textId="77777777" w:rsidTr="005C34D6">
        <w:trPr>
          <w:trHeight w:val="290"/>
        </w:trPr>
        <w:tc>
          <w:tcPr>
            <w:tcW w:w="3920" w:type="dxa"/>
            <w:tcBorders>
              <w:top w:val="nil"/>
              <w:left w:val="nil"/>
              <w:bottom w:val="nil"/>
              <w:right w:val="nil"/>
            </w:tcBorders>
            <w:shd w:val="clear" w:color="auto" w:fill="auto"/>
            <w:vAlign w:val="center"/>
            <w:hideMark/>
          </w:tcPr>
          <w:p w14:paraId="21CE0DC4" w14:textId="77777777" w:rsidR="00600FAF" w:rsidRPr="00600FAF" w:rsidRDefault="00600FAF" w:rsidP="003D070F">
            <w:r w:rsidRPr="00600FAF">
              <w:t>Federation University Australia</w:t>
            </w:r>
          </w:p>
        </w:tc>
        <w:tc>
          <w:tcPr>
            <w:tcW w:w="900" w:type="dxa"/>
            <w:tcBorders>
              <w:top w:val="nil"/>
              <w:left w:val="nil"/>
              <w:bottom w:val="nil"/>
              <w:right w:val="nil"/>
            </w:tcBorders>
            <w:shd w:val="clear" w:color="auto" w:fill="auto"/>
            <w:vAlign w:val="center"/>
            <w:hideMark/>
          </w:tcPr>
          <w:p w14:paraId="78F2D5DE" w14:textId="77777777" w:rsidR="00600FAF" w:rsidRPr="00600FAF" w:rsidRDefault="00600FAF" w:rsidP="005C34D6">
            <w:pPr>
              <w:jc w:val="right"/>
            </w:pPr>
            <w:r w:rsidRPr="00600FAF">
              <w:t>28%</w:t>
            </w:r>
          </w:p>
        </w:tc>
        <w:tc>
          <w:tcPr>
            <w:tcW w:w="1400" w:type="dxa"/>
            <w:tcBorders>
              <w:top w:val="nil"/>
              <w:left w:val="nil"/>
              <w:bottom w:val="nil"/>
              <w:right w:val="nil"/>
            </w:tcBorders>
            <w:shd w:val="clear" w:color="auto" w:fill="auto"/>
            <w:vAlign w:val="center"/>
            <w:hideMark/>
          </w:tcPr>
          <w:p w14:paraId="1703924C" w14:textId="77777777" w:rsidR="00600FAF" w:rsidRPr="00600FAF" w:rsidRDefault="00600FAF" w:rsidP="005C34D6">
            <w:pPr>
              <w:jc w:val="right"/>
            </w:pPr>
            <w:r w:rsidRPr="00600FAF">
              <w:t>0%</w:t>
            </w:r>
          </w:p>
        </w:tc>
        <w:tc>
          <w:tcPr>
            <w:tcW w:w="1200" w:type="dxa"/>
            <w:tcBorders>
              <w:top w:val="nil"/>
              <w:left w:val="nil"/>
              <w:bottom w:val="nil"/>
              <w:right w:val="nil"/>
            </w:tcBorders>
            <w:shd w:val="clear" w:color="auto" w:fill="auto"/>
            <w:vAlign w:val="center"/>
            <w:hideMark/>
          </w:tcPr>
          <w:p w14:paraId="7F102FC4" w14:textId="77777777" w:rsidR="00600FAF" w:rsidRPr="00600FAF" w:rsidRDefault="00600FAF" w:rsidP="005C34D6">
            <w:pPr>
              <w:jc w:val="right"/>
            </w:pPr>
            <w:r w:rsidRPr="00600FAF">
              <w:t>14%</w:t>
            </w:r>
          </w:p>
        </w:tc>
        <w:tc>
          <w:tcPr>
            <w:tcW w:w="1200" w:type="dxa"/>
            <w:tcBorders>
              <w:top w:val="nil"/>
              <w:left w:val="nil"/>
              <w:bottom w:val="nil"/>
              <w:right w:val="nil"/>
            </w:tcBorders>
            <w:shd w:val="clear" w:color="auto" w:fill="auto"/>
            <w:vAlign w:val="center"/>
            <w:hideMark/>
          </w:tcPr>
          <w:p w14:paraId="2B058151" w14:textId="77777777" w:rsidR="00600FAF" w:rsidRPr="00600FAF" w:rsidRDefault="00600FAF" w:rsidP="005C34D6">
            <w:pPr>
              <w:jc w:val="right"/>
            </w:pPr>
            <w:r w:rsidRPr="00600FAF">
              <w:t>25%</w:t>
            </w:r>
          </w:p>
        </w:tc>
        <w:tc>
          <w:tcPr>
            <w:tcW w:w="1400" w:type="dxa"/>
            <w:tcBorders>
              <w:top w:val="nil"/>
              <w:left w:val="nil"/>
              <w:bottom w:val="nil"/>
              <w:right w:val="nil"/>
            </w:tcBorders>
            <w:shd w:val="clear" w:color="auto" w:fill="auto"/>
            <w:vAlign w:val="center"/>
            <w:hideMark/>
          </w:tcPr>
          <w:p w14:paraId="0D3ED7DF" w14:textId="77777777" w:rsidR="00600FAF" w:rsidRPr="00600FAF" w:rsidRDefault="00600FAF" w:rsidP="005C34D6">
            <w:pPr>
              <w:jc w:val="right"/>
            </w:pPr>
            <w:r w:rsidRPr="00600FAF">
              <w:t>10%</w:t>
            </w:r>
          </w:p>
        </w:tc>
      </w:tr>
      <w:tr w:rsidR="00600FAF" w:rsidRPr="00600FAF" w14:paraId="5CC2AFA8" w14:textId="77777777" w:rsidTr="005C34D6">
        <w:trPr>
          <w:trHeight w:val="290"/>
        </w:trPr>
        <w:tc>
          <w:tcPr>
            <w:tcW w:w="3920" w:type="dxa"/>
            <w:tcBorders>
              <w:top w:val="nil"/>
              <w:left w:val="nil"/>
              <w:bottom w:val="nil"/>
              <w:right w:val="nil"/>
            </w:tcBorders>
            <w:shd w:val="clear" w:color="000000" w:fill="E6E6E6"/>
            <w:vAlign w:val="center"/>
            <w:hideMark/>
          </w:tcPr>
          <w:p w14:paraId="0740E3C4" w14:textId="77777777" w:rsidR="00600FAF" w:rsidRPr="00600FAF" w:rsidRDefault="00600FAF" w:rsidP="003D070F">
            <w:r w:rsidRPr="00600FAF">
              <w:t>CQ University</w:t>
            </w:r>
          </w:p>
        </w:tc>
        <w:tc>
          <w:tcPr>
            <w:tcW w:w="900" w:type="dxa"/>
            <w:tcBorders>
              <w:top w:val="nil"/>
              <w:left w:val="nil"/>
              <w:bottom w:val="nil"/>
              <w:right w:val="nil"/>
            </w:tcBorders>
            <w:shd w:val="clear" w:color="000000" w:fill="E6E6E6"/>
            <w:vAlign w:val="center"/>
            <w:hideMark/>
          </w:tcPr>
          <w:p w14:paraId="5F6E9870" w14:textId="77777777" w:rsidR="00600FAF" w:rsidRPr="00600FAF" w:rsidRDefault="00600FAF" w:rsidP="005C34D6">
            <w:pPr>
              <w:jc w:val="right"/>
            </w:pPr>
            <w:r w:rsidRPr="00600FAF">
              <w:t>45%</w:t>
            </w:r>
          </w:p>
        </w:tc>
        <w:tc>
          <w:tcPr>
            <w:tcW w:w="1400" w:type="dxa"/>
            <w:tcBorders>
              <w:top w:val="nil"/>
              <w:left w:val="nil"/>
              <w:bottom w:val="nil"/>
              <w:right w:val="nil"/>
            </w:tcBorders>
            <w:shd w:val="clear" w:color="000000" w:fill="E6E6E6"/>
            <w:vAlign w:val="center"/>
            <w:hideMark/>
          </w:tcPr>
          <w:p w14:paraId="30DAF068" w14:textId="77777777" w:rsidR="00600FAF" w:rsidRPr="00600FAF" w:rsidRDefault="00600FAF" w:rsidP="005C34D6">
            <w:pPr>
              <w:jc w:val="right"/>
            </w:pPr>
            <w:r w:rsidRPr="00600FAF">
              <w:t>0%</w:t>
            </w:r>
          </w:p>
        </w:tc>
        <w:tc>
          <w:tcPr>
            <w:tcW w:w="1200" w:type="dxa"/>
            <w:tcBorders>
              <w:top w:val="nil"/>
              <w:left w:val="nil"/>
              <w:bottom w:val="nil"/>
              <w:right w:val="nil"/>
            </w:tcBorders>
            <w:shd w:val="clear" w:color="000000" w:fill="E6E6E6"/>
            <w:vAlign w:val="center"/>
            <w:hideMark/>
          </w:tcPr>
          <w:p w14:paraId="5A4598F3" w14:textId="77777777" w:rsidR="00600FAF" w:rsidRPr="00600FAF" w:rsidRDefault="00600FAF" w:rsidP="005C34D6">
            <w:pPr>
              <w:jc w:val="right"/>
            </w:pPr>
            <w:r w:rsidRPr="00600FAF">
              <w:t>15%</w:t>
            </w:r>
          </w:p>
        </w:tc>
        <w:tc>
          <w:tcPr>
            <w:tcW w:w="1200" w:type="dxa"/>
            <w:tcBorders>
              <w:top w:val="nil"/>
              <w:left w:val="nil"/>
              <w:bottom w:val="nil"/>
              <w:right w:val="nil"/>
            </w:tcBorders>
            <w:shd w:val="clear" w:color="000000" w:fill="E6E6E6"/>
            <w:vAlign w:val="center"/>
            <w:hideMark/>
          </w:tcPr>
          <w:p w14:paraId="3B0993F2" w14:textId="77777777" w:rsidR="00600FAF" w:rsidRPr="00600FAF" w:rsidRDefault="00600FAF" w:rsidP="005C34D6">
            <w:pPr>
              <w:jc w:val="right"/>
            </w:pPr>
            <w:r w:rsidRPr="00600FAF">
              <w:t>17%</w:t>
            </w:r>
          </w:p>
        </w:tc>
        <w:tc>
          <w:tcPr>
            <w:tcW w:w="1400" w:type="dxa"/>
            <w:tcBorders>
              <w:top w:val="nil"/>
              <w:left w:val="nil"/>
              <w:bottom w:val="nil"/>
              <w:right w:val="nil"/>
            </w:tcBorders>
            <w:shd w:val="clear" w:color="000000" w:fill="E6E6E6"/>
            <w:vAlign w:val="center"/>
            <w:hideMark/>
          </w:tcPr>
          <w:p w14:paraId="797D7371" w14:textId="77777777" w:rsidR="00600FAF" w:rsidRPr="00600FAF" w:rsidRDefault="00600FAF" w:rsidP="005C34D6">
            <w:pPr>
              <w:jc w:val="right"/>
            </w:pPr>
            <w:r w:rsidRPr="00600FAF">
              <w:t>19%</w:t>
            </w:r>
          </w:p>
        </w:tc>
      </w:tr>
      <w:tr w:rsidR="00600FAF" w:rsidRPr="00600FAF" w14:paraId="435B5E88" w14:textId="77777777" w:rsidTr="005C34D6">
        <w:trPr>
          <w:trHeight w:val="290"/>
        </w:trPr>
        <w:tc>
          <w:tcPr>
            <w:tcW w:w="3920" w:type="dxa"/>
            <w:tcBorders>
              <w:top w:val="nil"/>
              <w:left w:val="nil"/>
              <w:bottom w:val="nil"/>
              <w:right w:val="nil"/>
            </w:tcBorders>
            <w:shd w:val="clear" w:color="auto" w:fill="auto"/>
            <w:vAlign w:val="center"/>
            <w:hideMark/>
          </w:tcPr>
          <w:p w14:paraId="33D9B8BE" w14:textId="77777777" w:rsidR="00600FAF" w:rsidRPr="00600FAF" w:rsidRDefault="00600FAF" w:rsidP="003D070F">
            <w:r w:rsidRPr="00600FAF">
              <w:t>University of Southern Queensland</w:t>
            </w:r>
          </w:p>
        </w:tc>
        <w:tc>
          <w:tcPr>
            <w:tcW w:w="900" w:type="dxa"/>
            <w:tcBorders>
              <w:top w:val="nil"/>
              <w:left w:val="nil"/>
              <w:bottom w:val="nil"/>
              <w:right w:val="nil"/>
            </w:tcBorders>
            <w:shd w:val="clear" w:color="auto" w:fill="auto"/>
            <w:vAlign w:val="center"/>
            <w:hideMark/>
          </w:tcPr>
          <w:p w14:paraId="42911C67" w14:textId="77777777" w:rsidR="00600FAF" w:rsidRPr="00600FAF" w:rsidRDefault="00600FAF" w:rsidP="005C34D6">
            <w:pPr>
              <w:jc w:val="right"/>
            </w:pPr>
            <w:r w:rsidRPr="00600FAF">
              <w:t>23%</w:t>
            </w:r>
          </w:p>
        </w:tc>
        <w:tc>
          <w:tcPr>
            <w:tcW w:w="1400" w:type="dxa"/>
            <w:tcBorders>
              <w:top w:val="nil"/>
              <w:left w:val="nil"/>
              <w:bottom w:val="nil"/>
              <w:right w:val="nil"/>
            </w:tcBorders>
            <w:shd w:val="clear" w:color="auto" w:fill="auto"/>
            <w:vAlign w:val="center"/>
            <w:hideMark/>
          </w:tcPr>
          <w:p w14:paraId="53FB6AEA" w14:textId="77777777" w:rsidR="00600FAF" w:rsidRPr="00600FAF" w:rsidRDefault="00600FAF" w:rsidP="005C34D6">
            <w:pPr>
              <w:jc w:val="right"/>
            </w:pPr>
            <w:r w:rsidRPr="00600FAF">
              <w:t>10%</w:t>
            </w:r>
          </w:p>
        </w:tc>
        <w:tc>
          <w:tcPr>
            <w:tcW w:w="1200" w:type="dxa"/>
            <w:tcBorders>
              <w:top w:val="nil"/>
              <w:left w:val="nil"/>
              <w:bottom w:val="nil"/>
              <w:right w:val="nil"/>
            </w:tcBorders>
            <w:shd w:val="clear" w:color="auto" w:fill="auto"/>
            <w:vAlign w:val="center"/>
            <w:hideMark/>
          </w:tcPr>
          <w:p w14:paraId="6F41887E" w14:textId="77777777" w:rsidR="00600FAF" w:rsidRPr="00600FAF" w:rsidRDefault="00600FAF" w:rsidP="005C34D6">
            <w:pPr>
              <w:jc w:val="right"/>
            </w:pPr>
            <w:r w:rsidRPr="00600FAF">
              <w:t>18%</w:t>
            </w:r>
          </w:p>
        </w:tc>
        <w:tc>
          <w:tcPr>
            <w:tcW w:w="1200" w:type="dxa"/>
            <w:tcBorders>
              <w:top w:val="nil"/>
              <w:left w:val="nil"/>
              <w:bottom w:val="nil"/>
              <w:right w:val="nil"/>
            </w:tcBorders>
            <w:shd w:val="clear" w:color="auto" w:fill="auto"/>
            <w:vAlign w:val="center"/>
            <w:hideMark/>
          </w:tcPr>
          <w:p w14:paraId="401E42C8" w14:textId="77777777" w:rsidR="00600FAF" w:rsidRPr="00600FAF" w:rsidRDefault="00600FAF" w:rsidP="005C34D6">
            <w:pPr>
              <w:jc w:val="right"/>
            </w:pPr>
            <w:r w:rsidRPr="00600FAF">
              <w:t>0%</w:t>
            </w:r>
          </w:p>
        </w:tc>
        <w:tc>
          <w:tcPr>
            <w:tcW w:w="1400" w:type="dxa"/>
            <w:tcBorders>
              <w:top w:val="nil"/>
              <w:left w:val="nil"/>
              <w:bottom w:val="nil"/>
              <w:right w:val="nil"/>
            </w:tcBorders>
            <w:shd w:val="clear" w:color="auto" w:fill="auto"/>
            <w:vAlign w:val="center"/>
            <w:hideMark/>
          </w:tcPr>
          <w:p w14:paraId="63F4D9FB" w14:textId="77777777" w:rsidR="00600FAF" w:rsidRPr="00600FAF" w:rsidRDefault="00600FAF" w:rsidP="005C34D6">
            <w:pPr>
              <w:jc w:val="right"/>
            </w:pPr>
            <w:r w:rsidRPr="00600FAF">
              <w:t>10%</w:t>
            </w:r>
          </w:p>
        </w:tc>
      </w:tr>
      <w:tr w:rsidR="00600FAF" w:rsidRPr="00600FAF" w14:paraId="72031BE7" w14:textId="77777777" w:rsidTr="005C34D6">
        <w:trPr>
          <w:trHeight w:val="290"/>
        </w:trPr>
        <w:tc>
          <w:tcPr>
            <w:tcW w:w="3920" w:type="dxa"/>
            <w:tcBorders>
              <w:top w:val="nil"/>
              <w:left w:val="nil"/>
              <w:bottom w:val="nil"/>
              <w:right w:val="nil"/>
            </w:tcBorders>
            <w:shd w:val="clear" w:color="000000" w:fill="E6E6E6"/>
            <w:vAlign w:val="center"/>
            <w:hideMark/>
          </w:tcPr>
          <w:p w14:paraId="234653E9" w14:textId="77777777" w:rsidR="00600FAF" w:rsidRPr="00600FAF" w:rsidRDefault="00600FAF" w:rsidP="003D070F">
            <w:r w:rsidRPr="00600FAF">
              <w:t>University of the Sunshine Coast</w:t>
            </w:r>
          </w:p>
        </w:tc>
        <w:tc>
          <w:tcPr>
            <w:tcW w:w="900" w:type="dxa"/>
            <w:tcBorders>
              <w:top w:val="nil"/>
              <w:left w:val="nil"/>
              <w:bottom w:val="nil"/>
              <w:right w:val="nil"/>
            </w:tcBorders>
            <w:shd w:val="clear" w:color="000000" w:fill="E6E6E6"/>
            <w:vAlign w:val="center"/>
            <w:hideMark/>
          </w:tcPr>
          <w:p w14:paraId="5C0DD694" w14:textId="77777777" w:rsidR="00600FAF" w:rsidRPr="00600FAF" w:rsidRDefault="00600FAF" w:rsidP="005C34D6">
            <w:pPr>
              <w:jc w:val="right"/>
            </w:pPr>
            <w:r w:rsidRPr="00600FAF">
              <w:t>43%</w:t>
            </w:r>
          </w:p>
        </w:tc>
        <w:tc>
          <w:tcPr>
            <w:tcW w:w="1400" w:type="dxa"/>
            <w:tcBorders>
              <w:top w:val="nil"/>
              <w:left w:val="nil"/>
              <w:bottom w:val="nil"/>
              <w:right w:val="nil"/>
            </w:tcBorders>
            <w:shd w:val="clear" w:color="000000" w:fill="E6E6E6"/>
            <w:vAlign w:val="center"/>
            <w:hideMark/>
          </w:tcPr>
          <w:p w14:paraId="19EDC9CE" w14:textId="77777777" w:rsidR="00600FAF" w:rsidRPr="00600FAF" w:rsidRDefault="00600FAF" w:rsidP="005C34D6">
            <w:pPr>
              <w:jc w:val="right"/>
            </w:pPr>
            <w:r w:rsidRPr="00600FAF">
              <w:t>0%</w:t>
            </w:r>
          </w:p>
        </w:tc>
        <w:tc>
          <w:tcPr>
            <w:tcW w:w="1200" w:type="dxa"/>
            <w:tcBorders>
              <w:top w:val="nil"/>
              <w:left w:val="nil"/>
              <w:bottom w:val="nil"/>
              <w:right w:val="nil"/>
            </w:tcBorders>
            <w:shd w:val="clear" w:color="000000" w:fill="E6E6E6"/>
            <w:vAlign w:val="center"/>
            <w:hideMark/>
          </w:tcPr>
          <w:p w14:paraId="526395BD" w14:textId="77777777" w:rsidR="00600FAF" w:rsidRPr="00600FAF" w:rsidRDefault="00600FAF" w:rsidP="005C34D6">
            <w:pPr>
              <w:jc w:val="right"/>
            </w:pPr>
            <w:r w:rsidRPr="00600FAF">
              <w:t>13%</w:t>
            </w:r>
          </w:p>
        </w:tc>
        <w:tc>
          <w:tcPr>
            <w:tcW w:w="1200" w:type="dxa"/>
            <w:tcBorders>
              <w:top w:val="nil"/>
              <w:left w:val="nil"/>
              <w:bottom w:val="nil"/>
              <w:right w:val="nil"/>
            </w:tcBorders>
            <w:shd w:val="clear" w:color="000000" w:fill="E6E6E6"/>
            <w:vAlign w:val="center"/>
            <w:hideMark/>
          </w:tcPr>
          <w:p w14:paraId="51744C73" w14:textId="77777777" w:rsidR="00600FAF" w:rsidRPr="00600FAF" w:rsidRDefault="00600FAF" w:rsidP="005C34D6">
            <w:pPr>
              <w:jc w:val="right"/>
            </w:pPr>
            <w:r w:rsidRPr="00600FAF">
              <w:t>0%</w:t>
            </w:r>
          </w:p>
        </w:tc>
        <w:tc>
          <w:tcPr>
            <w:tcW w:w="1400" w:type="dxa"/>
            <w:tcBorders>
              <w:top w:val="nil"/>
              <w:left w:val="nil"/>
              <w:bottom w:val="nil"/>
              <w:right w:val="nil"/>
            </w:tcBorders>
            <w:shd w:val="clear" w:color="000000" w:fill="E6E6E6"/>
            <w:vAlign w:val="center"/>
            <w:hideMark/>
          </w:tcPr>
          <w:p w14:paraId="75A5BAFB" w14:textId="77777777" w:rsidR="00600FAF" w:rsidRPr="00600FAF" w:rsidRDefault="00600FAF" w:rsidP="005C34D6">
            <w:pPr>
              <w:jc w:val="right"/>
            </w:pPr>
            <w:r w:rsidRPr="00600FAF">
              <w:t>16%</w:t>
            </w:r>
          </w:p>
        </w:tc>
      </w:tr>
      <w:tr w:rsidR="00600FAF" w:rsidRPr="00600FAF" w14:paraId="4DCF2827" w14:textId="77777777" w:rsidTr="005C34D6">
        <w:trPr>
          <w:trHeight w:val="290"/>
        </w:trPr>
        <w:tc>
          <w:tcPr>
            <w:tcW w:w="3920" w:type="dxa"/>
            <w:tcBorders>
              <w:top w:val="nil"/>
              <w:left w:val="nil"/>
              <w:bottom w:val="nil"/>
              <w:right w:val="nil"/>
            </w:tcBorders>
            <w:shd w:val="clear" w:color="auto" w:fill="auto"/>
            <w:vAlign w:val="center"/>
            <w:hideMark/>
          </w:tcPr>
          <w:p w14:paraId="7C525C55" w14:textId="77777777" w:rsidR="00600FAF" w:rsidRPr="00600FAF" w:rsidRDefault="00600FAF" w:rsidP="003D070F">
            <w:r w:rsidRPr="00600FAF">
              <w:t>James Cook University</w:t>
            </w:r>
          </w:p>
        </w:tc>
        <w:tc>
          <w:tcPr>
            <w:tcW w:w="900" w:type="dxa"/>
            <w:tcBorders>
              <w:top w:val="nil"/>
              <w:left w:val="nil"/>
              <w:bottom w:val="nil"/>
              <w:right w:val="nil"/>
            </w:tcBorders>
            <w:shd w:val="clear" w:color="auto" w:fill="auto"/>
            <w:vAlign w:val="center"/>
            <w:hideMark/>
          </w:tcPr>
          <w:p w14:paraId="7EAD2CF9" w14:textId="77777777" w:rsidR="00600FAF" w:rsidRPr="00600FAF" w:rsidRDefault="00600FAF" w:rsidP="005C34D6">
            <w:pPr>
              <w:jc w:val="right"/>
            </w:pPr>
            <w:r w:rsidRPr="00600FAF">
              <w:t>41%</w:t>
            </w:r>
          </w:p>
        </w:tc>
        <w:tc>
          <w:tcPr>
            <w:tcW w:w="1400" w:type="dxa"/>
            <w:tcBorders>
              <w:top w:val="nil"/>
              <w:left w:val="nil"/>
              <w:bottom w:val="nil"/>
              <w:right w:val="nil"/>
            </w:tcBorders>
            <w:shd w:val="clear" w:color="auto" w:fill="auto"/>
            <w:vAlign w:val="center"/>
            <w:hideMark/>
          </w:tcPr>
          <w:p w14:paraId="54A355A6" w14:textId="77777777" w:rsidR="00600FAF" w:rsidRPr="00600FAF" w:rsidRDefault="00600FAF" w:rsidP="005C34D6">
            <w:pPr>
              <w:jc w:val="right"/>
            </w:pPr>
            <w:r w:rsidRPr="00600FAF">
              <w:t>3%</w:t>
            </w:r>
          </w:p>
        </w:tc>
        <w:tc>
          <w:tcPr>
            <w:tcW w:w="1200" w:type="dxa"/>
            <w:tcBorders>
              <w:top w:val="nil"/>
              <w:left w:val="nil"/>
              <w:bottom w:val="nil"/>
              <w:right w:val="nil"/>
            </w:tcBorders>
            <w:shd w:val="clear" w:color="auto" w:fill="auto"/>
            <w:vAlign w:val="center"/>
            <w:hideMark/>
          </w:tcPr>
          <w:p w14:paraId="1919B1A0" w14:textId="77777777" w:rsidR="00600FAF" w:rsidRPr="00600FAF" w:rsidRDefault="00600FAF" w:rsidP="005C34D6">
            <w:pPr>
              <w:jc w:val="right"/>
            </w:pPr>
            <w:r w:rsidRPr="00600FAF">
              <w:t>7%</w:t>
            </w:r>
          </w:p>
        </w:tc>
        <w:tc>
          <w:tcPr>
            <w:tcW w:w="1200" w:type="dxa"/>
            <w:tcBorders>
              <w:top w:val="nil"/>
              <w:left w:val="nil"/>
              <w:bottom w:val="nil"/>
              <w:right w:val="nil"/>
            </w:tcBorders>
            <w:shd w:val="clear" w:color="auto" w:fill="auto"/>
            <w:vAlign w:val="center"/>
            <w:hideMark/>
          </w:tcPr>
          <w:p w14:paraId="09C00552" w14:textId="77777777" w:rsidR="00600FAF" w:rsidRPr="00600FAF" w:rsidRDefault="00600FAF" w:rsidP="005C34D6">
            <w:pPr>
              <w:jc w:val="right"/>
            </w:pPr>
            <w:r w:rsidRPr="00600FAF">
              <w:t>3%</w:t>
            </w:r>
          </w:p>
        </w:tc>
        <w:tc>
          <w:tcPr>
            <w:tcW w:w="1400" w:type="dxa"/>
            <w:tcBorders>
              <w:top w:val="nil"/>
              <w:left w:val="nil"/>
              <w:bottom w:val="nil"/>
              <w:right w:val="nil"/>
            </w:tcBorders>
            <w:shd w:val="clear" w:color="auto" w:fill="auto"/>
            <w:vAlign w:val="center"/>
            <w:hideMark/>
          </w:tcPr>
          <w:p w14:paraId="2698C520" w14:textId="77777777" w:rsidR="00600FAF" w:rsidRPr="00600FAF" w:rsidRDefault="00600FAF" w:rsidP="005C34D6">
            <w:pPr>
              <w:jc w:val="right"/>
            </w:pPr>
            <w:r w:rsidRPr="00600FAF">
              <w:t>8%</w:t>
            </w:r>
          </w:p>
        </w:tc>
      </w:tr>
      <w:tr w:rsidR="00600FAF" w:rsidRPr="00600FAF" w14:paraId="778C59DA" w14:textId="77777777" w:rsidTr="005C34D6">
        <w:trPr>
          <w:trHeight w:val="290"/>
        </w:trPr>
        <w:tc>
          <w:tcPr>
            <w:tcW w:w="3920" w:type="dxa"/>
            <w:tcBorders>
              <w:top w:val="nil"/>
              <w:left w:val="nil"/>
              <w:bottom w:val="nil"/>
              <w:right w:val="nil"/>
            </w:tcBorders>
            <w:shd w:val="clear" w:color="000000" w:fill="E6E6E6"/>
            <w:vAlign w:val="center"/>
            <w:hideMark/>
          </w:tcPr>
          <w:p w14:paraId="1F443D9B" w14:textId="77777777" w:rsidR="00600FAF" w:rsidRPr="00600FAF" w:rsidRDefault="00600FAF" w:rsidP="003D070F">
            <w:r w:rsidRPr="00600FAF">
              <w:t>University of Tasmania</w:t>
            </w:r>
          </w:p>
        </w:tc>
        <w:tc>
          <w:tcPr>
            <w:tcW w:w="900" w:type="dxa"/>
            <w:tcBorders>
              <w:top w:val="nil"/>
              <w:left w:val="nil"/>
              <w:bottom w:val="nil"/>
              <w:right w:val="nil"/>
            </w:tcBorders>
            <w:shd w:val="clear" w:color="000000" w:fill="E6E6E6"/>
            <w:vAlign w:val="center"/>
            <w:hideMark/>
          </w:tcPr>
          <w:p w14:paraId="17FC2A32" w14:textId="77777777" w:rsidR="00600FAF" w:rsidRPr="00600FAF" w:rsidRDefault="00600FAF" w:rsidP="005C34D6">
            <w:pPr>
              <w:jc w:val="right"/>
            </w:pPr>
            <w:r w:rsidRPr="00600FAF">
              <w:t>29%</w:t>
            </w:r>
          </w:p>
        </w:tc>
        <w:tc>
          <w:tcPr>
            <w:tcW w:w="1400" w:type="dxa"/>
            <w:tcBorders>
              <w:top w:val="nil"/>
              <w:left w:val="nil"/>
              <w:bottom w:val="nil"/>
              <w:right w:val="nil"/>
            </w:tcBorders>
            <w:shd w:val="clear" w:color="000000" w:fill="E6E6E6"/>
            <w:vAlign w:val="center"/>
            <w:hideMark/>
          </w:tcPr>
          <w:p w14:paraId="3FEB6D32" w14:textId="77777777" w:rsidR="00600FAF" w:rsidRPr="00600FAF" w:rsidRDefault="00600FAF" w:rsidP="005C34D6">
            <w:pPr>
              <w:jc w:val="right"/>
            </w:pPr>
            <w:r w:rsidRPr="00600FAF">
              <w:t>4%</w:t>
            </w:r>
          </w:p>
        </w:tc>
        <w:tc>
          <w:tcPr>
            <w:tcW w:w="1200" w:type="dxa"/>
            <w:tcBorders>
              <w:top w:val="nil"/>
              <w:left w:val="nil"/>
              <w:bottom w:val="nil"/>
              <w:right w:val="nil"/>
            </w:tcBorders>
            <w:shd w:val="clear" w:color="000000" w:fill="E6E6E6"/>
            <w:vAlign w:val="center"/>
            <w:hideMark/>
          </w:tcPr>
          <w:p w14:paraId="45C8F75F" w14:textId="77777777" w:rsidR="00600FAF" w:rsidRPr="00600FAF" w:rsidRDefault="00600FAF" w:rsidP="005C34D6">
            <w:pPr>
              <w:jc w:val="right"/>
            </w:pPr>
            <w:r w:rsidRPr="00600FAF">
              <w:t>10%</w:t>
            </w:r>
          </w:p>
        </w:tc>
        <w:tc>
          <w:tcPr>
            <w:tcW w:w="1200" w:type="dxa"/>
            <w:tcBorders>
              <w:top w:val="nil"/>
              <w:left w:val="nil"/>
              <w:bottom w:val="nil"/>
              <w:right w:val="nil"/>
            </w:tcBorders>
            <w:shd w:val="clear" w:color="000000" w:fill="E6E6E6"/>
            <w:vAlign w:val="center"/>
            <w:hideMark/>
          </w:tcPr>
          <w:p w14:paraId="49C6DA0B" w14:textId="77777777" w:rsidR="00600FAF" w:rsidRPr="00600FAF" w:rsidRDefault="00600FAF" w:rsidP="005C34D6">
            <w:pPr>
              <w:jc w:val="right"/>
            </w:pPr>
            <w:r w:rsidRPr="00600FAF">
              <w:t>6%</w:t>
            </w:r>
          </w:p>
        </w:tc>
        <w:tc>
          <w:tcPr>
            <w:tcW w:w="1400" w:type="dxa"/>
            <w:tcBorders>
              <w:top w:val="nil"/>
              <w:left w:val="nil"/>
              <w:bottom w:val="nil"/>
              <w:right w:val="nil"/>
            </w:tcBorders>
            <w:shd w:val="clear" w:color="000000" w:fill="E6E6E6"/>
            <w:vAlign w:val="center"/>
            <w:hideMark/>
          </w:tcPr>
          <w:p w14:paraId="6CA7AC5D" w14:textId="77777777" w:rsidR="00600FAF" w:rsidRPr="00600FAF" w:rsidRDefault="00600FAF" w:rsidP="005C34D6">
            <w:pPr>
              <w:jc w:val="right"/>
            </w:pPr>
            <w:r w:rsidRPr="00600FAF">
              <w:t>7%</w:t>
            </w:r>
          </w:p>
        </w:tc>
      </w:tr>
      <w:tr w:rsidR="00600FAF" w:rsidRPr="00600FAF" w14:paraId="4FF1A7D4" w14:textId="77777777" w:rsidTr="005C34D6">
        <w:trPr>
          <w:trHeight w:val="300"/>
        </w:trPr>
        <w:tc>
          <w:tcPr>
            <w:tcW w:w="3920" w:type="dxa"/>
            <w:tcBorders>
              <w:top w:val="nil"/>
              <w:left w:val="nil"/>
              <w:bottom w:val="single" w:sz="8" w:space="0" w:color="4B0885"/>
              <w:right w:val="nil"/>
            </w:tcBorders>
            <w:shd w:val="clear" w:color="auto" w:fill="auto"/>
            <w:vAlign w:val="center"/>
            <w:hideMark/>
          </w:tcPr>
          <w:p w14:paraId="5E5FF9F4" w14:textId="77777777" w:rsidR="00600FAF" w:rsidRPr="00600FAF" w:rsidRDefault="00600FAF" w:rsidP="003D070F">
            <w:r w:rsidRPr="00600FAF">
              <w:t>Charles Darwin University</w:t>
            </w:r>
          </w:p>
        </w:tc>
        <w:tc>
          <w:tcPr>
            <w:tcW w:w="900" w:type="dxa"/>
            <w:tcBorders>
              <w:top w:val="nil"/>
              <w:left w:val="nil"/>
              <w:bottom w:val="single" w:sz="8" w:space="0" w:color="4B0885"/>
              <w:right w:val="nil"/>
            </w:tcBorders>
            <w:shd w:val="clear" w:color="auto" w:fill="auto"/>
            <w:vAlign w:val="center"/>
            <w:hideMark/>
          </w:tcPr>
          <w:p w14:paraId="2304E5ED" w14:textId="77777777" w:rsidR="00600FAF" w:rsidRPr="00600FAF" w:rsidRDefault="00600FAF" w:rsidP="005C34D6">
            <w:pPr>
              <w:jc w:val="right"/>
            </w:pPr>
            <w:r w:rsidRPr="00600FAF">
              <w:t>38%</w:t>
            </w:r>
          </w:p>
        </w:tc>
        <w:tc>
          <w:tcPr>
            <w:tcW w:w="1400" w:type="dxa"/>
            <w:tcBorders>
              <w:top w:val="nil"/>
              <w:left w:val="nil"/>
              <w:bottom w:val="single" w:sz="8" w:space="0" w:color="4B0885"/>
              <w:right w:val="nil"/>
            </w:tcBorders>
            <w:shd w:val="clear" w:color="auto" w:fill="auto"/>
            <w:vAlign w:val="center"/>
            <w:hideMark/>
          </w:tcPr>
          <w:p w14:paraId="0DF5783D" w14:textId="77777777" w:rsidR="00600FAF" w:rsidRPr="00600FAF" w:rsidRDefault="00600FAF" w:rsidP="005C34D6">
            <w:pPr>
              <w:jc w:val="right"/>
            </w:pPr>
            <w:r w:rsidRPr="00600FAF">
              <w:t>5%</w:t>
            </w:r>
          </w:p>
        </w:tc>
        <w:tc>
          <w:tcPr>
            <w:tcW w:w="1200" w:type="dxa"/>
            <w:tcBorders>
              <w:top w:val="nil"/>
              <w:left w:val="nil"/>
              <w:bottom w:val="single" w:sz="8" w:space="0" w:color="4B0885"/>
              <w:right w:val="nil"/>
            </w:tcBorders>
            <w:shd w:val="clear" w:color="auto" w:fill="auto"/>
            <w:vAlign w:val="center"/>
            <w:hideMark/>
          </w:tcPr>
          <w:p w14:paraId="1D12660C" w14:textId="77777777" w:rsidR="00600FAF" w:rsidRPr="00600FAF" w:rsidRDefault="00600FAF" w:rsidP="005C34D6">
            <w:pPr>
              <w:jc w:val="right"/>
            </w:pPr>
            <w:r w:rsidRPr="00600FAF">
              <w:t>12%</w:t>
            </w:r>
          </w:p>
        </w:tc>
        <w:tc>
          <w:tcPr>
            <w:tcW w:w="1200" w:type="dxa"/>
            <w:tcBorders>
              <w:top w:val="nil"/>
              <w:left w:val="nil"/>
              <w:bottom w:val="single" w:sz="8" w:space="0" w:color="4B0885"/>
              <w:right w:val="nil"/>
            </w:tcBorders>
            <w:shd w:val="clear" w:color="auto" w:fill="auto"/>
            <w:vAlign w:val="center"/>
            <w:hideMark/>
          </w:tcPr>
          <w:p w14:paraId="65E1A270" w14:textId="77777777" w:rsidR="00600FAF" w:rsidRPr="00600FAF" w:rsidRDefault="00600FAF" w:rsidP="005C34D6">
            <w:pPr>
              <w:jc w:val="right"/>
            </w:pPr>
            <w:r w:rsidRPr="00600FAF">
              <w:t>4%</w:t>
            </w:r>
          </w:p>
        </w:tc>
        <w:tc>
          <w:tcPr>
            <w:tcW w:w="1400" w:type="dxa"/>
            <w:tcBorders>
              <w:top w:val="nil"/>
              <w:left w:val="nil"/>
              <w:bottom w:val="single" w:sz="8" w:space="0" w:color="4B0885"/>
              <w:right w:val="nil"/>
            </w:tcBorders>
            <w:shd w:val="clear" w:color="auto" w:fill="auto"/>
            <w:vAlign w:val="center"/>
            <w:hideMark/>
          </w:tcPr>
          <w:p w14:paraId="1C2198DA" w14:textId="77777777" w:rsidR="00600FAF" w:rsidRPr="00600FAF" w:rsidRDefault="00600FAF" w:rsidP="005C34D6">
            <w:pPr>
              <w:jc w:val="right"/>
            </w:pPr>
            <w:r w:rsidRPr="00600FAF">
              <w:t>5%</w:t>
            </w:r>
          </w:p>
        </w:tc>
      </w:tr>
    </w:tbl>
    <w:p w14:paraId="7BBC6C5C" w14:textId="56550F93" w:rsidR="006C5B06" w:rsidRPr="00DE39B8" w:rsidRDefault="006C5B06" w:rsidP="00DE39B8">
      <w:pPr>
        <w:pStyle w:val="Source"/>
        <w:rPr>
          <w:rFonts w:asciiTheme="minorHAnsi" w:hAnsiTheme="minorHAnsi" w:cstheme="minorHAnsi"/>
        </w:rPr>
      </w:pPr>
      <w:r w:rsidRPr="00DE39B8">
        <w:rPr>
          <w:rFonts w:asciiTheme="minorHAnsi" w:hAnsiTheme="minorHAnsi" w:cstheme="minorHAnsi"/>
        </w:rPr>
        <w:t>Source:</w:t>
      </w:r>
      <w:r w:rsidR="00BD026B" w:rsidRPr="00DE39B8">
        <w:rPr>
          <w:rFonts w:asciiTheme="minorHAnsi" w:hAnsiTheme="minorHAnsi" w:cstheme="minorHAnsi"/>
        </w:rPr>
        <w:t xml:space="preserve"> </w:t>
      </w:r>
      <w:r w:rsidR="00EB5A9C" w:rsidRPr="00DE39B8">
        <w:rPr>
          <w:rFonts w:asciiTheme="minorHAnsi" w:hAnsiTheme="minorHAnsi" w:cstheme="minorHAnsi"/>
        </w:rPr>
        <w:t>Department of Education,</w:t>
      </w:r>
      <w:r w:rsidR="00EB5A9C" w:rsidRPr="00DE39B8">
        <w:rPr>
          <w:rFonts w:asciiTheme="minorHAnsi" w:hAnsiTheme="minorHAnsi" w:cstheme="minorHAnsi"/>
          <w:i/>
          <w:iCs/>
        </w:rPr>
        <w:t xml:space="preserve"> Higher Education Statistics, </w:t>
      </w:r>
      <w:r w:rsidR="00D4647F" w:rsidRPr="00DE39B8">
        <w:rPr>
          <w:rFonts w:asciiTheme="minorHAnsi" w:hAnsiTheme="minorHAnsi" w:cstheme="minorHAnsi"/>
        </w:rPr>
        <w:t>2022</w:t>
      </w:r>
      <w:r w:rsidR="00595E57" w:rsidRPr="00DE39B8">
        <w:rPr>
          <w:rFonts w:asciiTheme="minorHAnsi" w:hAnsiTheme="minorHAnsi" w:cstheme="minorHAnsi"/>
        </w:rPr>
        <w:t>,</w:t>
      </w:r>
      <w:r w:rsidR="00D55E81" w:rsidRPr="00DE39B8">
        <w:rPr>
          <w:rFonts w:asciiTheme="minorHAnsi" w:hAnsiTheme="minorHAnsi" w:cstheme="minorHAnsi"/>
        </w:rPr>
        <w:t xml:space="preserve"> </w:t>
      </w:r>
      <w:r w:rsidR="00595E57" w:rsidRPr="00DE39B8">
        <w:rPr>
          <w:rFonts w:asciiTheme="minorHAnsi" w:hAnsiTheme="minorHAnsi" w:cstheme="minorHAnsi"/>
        </w:rPr>
        <w:t>s</w:t>
      </w:r>
      <w:r w:rsidR="00D55E81" w:rsidRPr="00DE39B8">
        <w:rPr>
          <w:rFonts w:asciiTheme="minorHAnsi" w:hAnsiTheme="minorHAnsi" w:cstheme="minorHAnsi"/>
        </w:rPr>
        <w:t>ection 1</w:t>
      </w:r>
      <w:r w:rsidR="00D4647F" w:rsidRPr="00DE39B8">
        <w:rPr>
          <w:rFonts w:asciiTheme="minorHAnsi" w:hAnsiTheme="minorHAnsi" w:cstheme="minorHAnsi"/>
        </w:rPr>
        <w:t>2 – Acade</w:t>
      </w:r>
      <w:r w:rsidR="00090EF2" w:rsidRPr="00DE39B8">
        <w:rPr>
          <w:rFonts w:asciiTheme="minorHAnsi" w:hAnsiTheme="minorHAnsi" w:cstheme="minorHAnsi"/>
        </w:rPr>
        <w:t>m</w:t>
      </w:r>
      <w:r w:rsidR="00D4647F" w:rsidRPr="00DE39B8">
        <w:rPr>
          <w:rFonts w:asciiTheme="minorHAnsi" w:hAnsiTheme="minorHAnsi" w:cstheme="minorHAnsi"/>
        </w:rPr>
        <w:t>ic organisational units</w:t>
      </w:r>
    </w:p>
    <w:p w14:paraId="5C27EDA3" w14:textId="0804AD14" w:rsidR="00963479" w:rsidRPr="005C34D6" w:rsidRDefault="00FA76E2" w:rsidP="005C34D6">
      <w:pPr>
        <w:pStyle w:val="Source"/>
        <w:rPr>
          <w:rFonts w:asciiTheme="minorHAnsi" w:hAnsiTheme="minorHAnsi" w:cstheme="minorHAnsi"/>
        </w:rPr>
      </w:pPr>
      <w:r w:rsidRPr="00DE39B8">
        <w:rPr>
          <w:rFonts w:asciiTheme="minorHAnsi" w:hAnsiTheme="minorHAnsi" w:cstheme="minorHAnsi"/>
        </w:rPr>
        <w:t xml:space="preserve">^ Note: </w:t>
      </w:r>
      <w:r w:rsidR="0087203B" w:rsidRPr="00DE39B8">
        <w:rPr>
          <w:rFonts w:asciiTheme="minorHAnsi" w:hAnsiTheme="minorHAnsi" w:cstheme="minorHAnsi"/>
        </w:rPr>
        <w:t>does not include EFTSL data for all Academic Organisational Units.</w:t>
      </w:r>
    </w:p>
    <w:p w14:paraId="6E000E71" w14:textId="18435B96" w:rsidR="006F0845" w:rsidRPr="00BD026B" w:rsidRDefault="006F0845" w:rsidP="00DE39B8">
      <w:r w:rsidRPr="00BD026B">
        <w:t xml:space="preserve">Most </w:t>
      </w:r>
      <w:r>
        <w:t>regional</w:t>
      </w:r>
      <w:r w:rsidRPr="00BD026B">
        <w:t xml:space="preserve"> universities offer </w:t>
      </w:r>
      <w:r>
        <w:t xml:space="preserve">a </w:t>
      </w:r>
      <w:r w:rsidRPr="00BD026B">
        <w:t xml:space="preserve">Bachelor </w:t>
      </w:r>
      <w:r>
        <w:t>of</w:t>
      </w:r>
      <w:r w:rsidRPr="00BD026B">
        <w:t xml:space="preserve"> Nursing, and some offer a greater number of </w:t>
      </w:r>
      <w:r>
        <w:t>health-related degrees. F</w:t>
      </w:r>
      <w:r w:rsidRPr="00BD026B">
        <w:t>or example</w:t>
      </w:r>
      <w:r>
        <w:t>,</w:t>
      </w:r>
      <w:r w:rsidRPr="00BD026B">
        <w:t xml:space="preserve"> Central Queensland University with 45% of student</w:t>
      </w:r>
      <w:r>
        <w:t xml:space="preserve">s studying </w:t>
      </w:r>
      <w:r w:rsidRPr="00BD026B">
        <w:t>in the health field</w:t>
      </w:r>
      <w:r>
        <w:t xml:space="preserve">, </w:t>
      </w:r>
      <w:r w:rsidRPr="00BD026B">
        <w:t>offers 21 health</w:t>
      </w:r>
      <w:r>
        <w:t>-</w:t>
      </w:r>
      <w:r w:rsidRPr="00BD026B">
        <w:t xml:space="preserve">related </w:t>
      </w:r>
      <w:r>
        <w:t xml:space="preserve">undergraduate </w:t>
      </w:r>
      <w:r w:rsidRPr="00BD026B">
        <w:t xml:space="preserve">degrees. Bachelor </w:t>
      </w:r>
      <w:r>
        <w:t>d</w:t>
      </w:r>
      <w:r w:rsidRPr="00BD026B">
        <w:t xml:space="preserve">egrees on offer at </w:t>
      </w:r>
      <w:r>
        <w:t>Central Queensland University</w:t>
      </w:r>
      <w:r w:rsidRPr="00BD026B">
        <w:t xml:space="preserve"> include Medical Imaging, Medical Sonography, Medical Science, Paramedic Science, Physiotherapy, Psychological Science, Public Health, Occupational Therapy and Echocardiography and Cardiac Physiology. </w:t>
      </w:r>
    </w:p>
    <w:p w14:paraId="13370901" w14:textId="6B1D5385" w:rsidR="006F0845" w:rsidRPr="00873892" w:rsidRDefault="006F0845" w:rsidP="00DE39B8">
      <w:r w:rsidRPr="00BD026B">
        <w:t>Medical training offered in region</w:t>
      </w:r>
      <w:r>
        <w:t>al</w:t>
      </w:r>
      <w:r w:rsidRPr="00BD026B">
        <w:t xml:space="preserve"> Australia is critical to retaining medical professionals in regional and remote areas. R</w:t>
      </w:r>
      <w:r>
        <w:t>egional</w:t>
      </w:r>
      <w:r w:rsidRPr="00BD026B">
        <w:t xml:space="preserve"> universities are well placed to attract and train more regional students in study health care related fields to assist with alleviating </w:t>
      </w:r>
      <w:r>
        <w:t xml:space="preserve">the </w:t>
      </w:r>
      <w:r w:rsidRPr="00BD026B">
        <w:t>chronic skill shortages in</w:t>
      </w:r>
      <w:r>
        <w:t xml:space="preserve"> Registered Nurses, General Practitioners and Resident Medical Officers</w:t>
      </w:r>
      <w:r w:rsidRPr="00BD026B">
        <w:t xml:space="preserve"> and </w:t>
      </w:r>
      <w:r>
        <w:t xml:space="preserve">other </w:t>
      </w:r>
      <w:r w:rsidRPr="00BD026B">
        <w:t>allied health professionals in regional and remote areas.</w:t>
      </w:r>
      <w:r>
        <w:t xml:space="preserve"> </w:t>
      </w:r>
      <w:r w:rsidRPr="00BD026B">
        <w:t xml:space="preserve">The </w:t>
      </w:r>
      <w:r>
        <w:t xml:space="preserve">Australian </w:t>
      </w:r>
      <w:r w:rsidRPr="00BD026B">
        <w:t xml:space="preserve">Universities Accord </w:t>
      </w:r>
      <w:r>
        <w:t xml:space="preserve">Final Report </w:t>
      </w:r>
      <w:r w:rsidRPr="00BD026B">
        <w:t>recommended prioritising additional Commonwealth supported medical places to train additional doctors in areas of critical shortages in regional and outer metropolitan areas.</w:t>
      </w:r>
      <w:r w:rsidRPr="00EB5A9C">
        <w:rPr>
          <w:rStyle w:val="FootnoteReference"/>
          <w:rFonts w:asciiTheme="minorHAnsi" w:hAnsiTheme="minorHAnsi"/>
        </w:rPr>
        <w:footnoteReference w:id="74"/>
      </w:r>
      <w:r w:rsidRPr="00EB5A9C">
        <w:rPr>
          <w:rFonts w:asciiTheme="minorHAnsi" w:hAnsiTheme="minorHAnsi"/>
        </w:rPr>
        <w:t xml:space="preserve"> </w:t>
      </w:r>
    </w:p>
    <w:p w14:paraId="49324C90" w14:textId="368F1DB0" w:rsidR="633D8175" w:rsidRPr="00A0598E" w:rsidRDefault="48376293" w:rsidP="00A0598E">
      <w:pPr>
        <w:pStyle w:val="Heading3"/>
        <w:rPr>
          <w:rFonts w:asciiTheme="minorHAnsi" w:hAnsiTheme="minorHAnsi" w:cstheme="minorBidi"/>
          <w:b w:val="0"/>
          <w:szCs w:val="26"/>
        </w:rPr>
      </w:pPr>
      <w:r w:rsidRPr="00A0598E">
        <w:rPr>
          <w:rFonts w:asciiTheme="majorHAnsi" w:hAnsiTheme="majorHAnsi" w:cstheme="majorHAnsi"/>
        </w:rPr>
        <w:t>Summary</w:t>
      </w:r>
      <w:r w:rsidR="00616722">
        <w:rPr>
          <w:rFonts w:asciiTheme="majorHAnsi" w:hAnsiTheme="majorHAnsi" w:cstheme="majorHAnsi"/>
        </w:rPr>
        <w:t xml:space="preserve"> of Higher Education</w:t>
      </w:r>
    </w:p>
    <w:p w14:paraId="660F2783" w14:textId="1B68BF11" w:rsidR="0000529C" w:rsidRPr="00A0598E" w:rsidRDefault="00F6415E" w:rsidP="00DE39B8">
      <w:r w:rsidRPr="00A0598E">
        <w:t>C</w:t>
      </w:r>
      <w:r w:rsidR="1059B96B" w:rsidRPr="00A0598E">
        <w:t>urrently there is a clear disparity between pe</w:t>
      </w:r>
      <w:r w:rsidRPr="00A0598E">
        <w:t>ople</w:t>
      </w:r>
      <w:r w:rsidR="1059B96B" w:rsidRPr="00A0598E">
        <w:t xml:space="preserve"> achieving a university level education in regional and remote areas compared to </w:t>
      </w:r>
      <w:r w:rsidR="00040A17">
        <w:t>major</w:t>
      </w:r>
      <w:r w:rsidRPr="00A0598E">
        <w:t xml:space="preserve"> cities</w:t>
      </w:r>
      <w:r w:rsidR="00040A17">
        <w:t>. P</w:t>
      </w:r>
      <w:r w:rsidR="008D7E8D" w:rsidRPr="00A0598E">
        <w:t>eople</w:t>
      </w:r>
      <w:r w:rsidR="1059B96B" w:rsidRPr="00A0598E">
        <w:t xml:space="preserve"> living in regional and remote Australia face many barriers to attaining a university education</w:t>
      </w:r>
      <w:r w:rsidR="00040A17">
        <w:t>,</w:t>
      </w:r>
      <w:r w:rsidR="1059B96B" w:rsidRPr="00A0598E">
        <w:t xml:space="preserve"> </w:t>
      </w:r>
      <w:r w:rsidR="008D7E8D" w:rsidRPr="00A0598E">
        <w:t>including</w:t>
      </w:r>
      <w:r w:rsidR="1059B96B" w:rsidRPr="00A0598E">
        <w:t xml:space="preserve"> </w:t>
      </w:r>
      <w:r w:rsidR="00784815">
        <w:t>leaving</w:t>
      </w:r>
      <w:r w:rsidR="1059B96B" w:rsidRPr="00A0598E">
        <w:t xml:space="preserve"> their support network (friends and family) if moving away from home to study, </w:t>
      </w:r>
      <w:r w:rsidR="008D7E8D" w:rsidRPr="00A0598E">
        <w:t xml:space="preserve">and </w:t>
      </w:r>
      <w:r w:rsidR="1059B96B" w:rsidRPr="00A0598E">
        <w:t>increased financial burden for accommodation</w:t>
      </w:r>
      <w:r w:rsidR="00040A17">
        <w:t xml:space="preserve"> </w:t>
      </w:r>
      <w:r w:rsidR="1059B96B" w:rsidRPr="00A0598E">
        <w:t>and living expenses.</w:t>
      </w:r>
    </w:p>
    <w:p w14:paraId="0C5EF07B" w14:textId="49D0D51D" w:rsidR="1059B96B" w:rsidRPr="00A0598E" w:rsidRDefault="0000529C" w:rsidP="00DE39B8">
      <w:r w:rsidRPr="00A0598E">
        <w:t xml:space="preserve">While many regional universities have higher attrition </w:t>
      </w:r>
      <w:r w:rsidR="00040A17">
        <w:t xml:space="preserve">rates </w:t>
      </w:r>
      <w:r w:rsidRPr="00A0598E">
        <w:t xml:space="preserve">and lower success rates than the national average, the immediate and </w:t>
      </w:r>
      <w:r w:rsidR="00040A17">
        <w:t>medium</w:t>
      </w:r>
      <w:r w:rsidR="00AC44C8" w:rsidRPr="00A0598E">
        <w:t>-term</w:t>
      </w:r>
      <w:r w:rsidRPr="00A0598E">
        <w:t xml:space="preserve"> labour market outcomes for</w:t>
      </w:r>
      <w:r w:rsidR="00DB6427">
        <w:t xml:space="preserve"> graduates of</w:t>
      </w:r>
      <w:r w:rsidRPr="00A0598E">
        <w:t xml:space="preserve"> these universities are </w:t>
      </w:r>
      <w:r w:rsidR="00AA7C91">
        <w:t xml:space="preserve">comparatively </w:t>
      </w:r>
      <w:r w:rsidRPr="00A0598E">
        <w:t>strong</w:t>
      </w:r>
      <w:r w:rsidR="00E03D2A">
        <w:t>, w</w:t>
      </w:r>
      <w:r w:rsidR="00200A0C">
        <w:t xml:space="preserve">hich may be </w:t>
      </w:r>
      <w:r w:rsidR="00DB6427">
        <w:t xml:space="preserve">partly </w:t>
      </w:r>
      <w:r w:rsidR="00DB60C6">
        <w:t>due to</w:t>
      </w:r>
      <w:r w:rsidR="00E03D2A">
        <w:t xml:space="preserve"> </w:t>
      </w:r>
      <w:r w:rsidR="006B12A5">
        <w:t xml:space="preserve">high </w:t>
      </w:r>
      <w:r w:rsidR="003E68BF">
        <w:t>demand for</w:t>
      </w:r>
      <w:r w:rsidR="006B12A5">
        <w:t xml:space="preserve"> many</w:t>
      </w:r>
      <w:r w:rsidR="003E68BF">
        <w:t xml:space="preserve"> skilled occupations</w:t>
      </w:r>
      <w:r w:rsidR="006B12A5">
        <w:t xml:space="preserve"> in regional labour markets. </w:t>
      </w:r>
      <w:r w:rsidR="003E68BF">
        <w:t xml:space="preserve"> </w:t>
      </w:r>
    </w:p>
    <w:p w14:paraId="45A4EADB" w14:textId="7CA496B6" w:rsidR="00460F84" w:rsidRDefault="00525DCA" w:rsidP="00DE39B8">
      <w:r w:rsidRPr="20A6F5DF">
        <w:t xml:space="preserve">The </w:t>
      </w:r>
      <w:r w:rsidR="00C81E09">
        <w:t xml:space="preserve">Australian </w:t>
      </w:r>
      <w:r w:rsidR="1059B96B" w:rsidRPr="20A6F5DF">
        <w:t>Universit</w:t>
      </w:r>
      <w:r w:rsidR="00C81E09">
        <w:t>ies</w:t>
      </w:r>
      <w:r w:rsidRPr="20A6F5DF">
        <w:t xml:space="preserve"> Accord Final </w:t>
      </w:r>
      <w:r w:rsidR="1059B96B" w:rsidRPr="20A6F5DF">
        <w:t>Re</w:t>
      </w:r>
      <w:r w:rsidR="00C81E09">
        <w:t>port,</w:t>
      </w:r>
      <w:r w:rsidRPr="20A6F5DF">
        <w:t xml:space="preserve"> </w:t>
      </w:r>
      <w:r w:rsidR="7AAE218D" w:rsidRPr="20A6F5DF">
        <w:t xml:space="preserve">which </w:t>
      </w:r>
      <w:r w:rsidR="1059B96B" w:rsidRPr="20A6F5DF">
        <w:t xml:space="preserve">covered almost every aspect of </w:t>
      </w:r>
      <w:r w:rsidR="00C81E09">
        <w:t xml:space="preserve">Australian </w:t>
      </w:r>
      <w:r w:rsidR="7AAE218D" w:rsidRPr="20A6F5DF">
        <w:t>higher education</w:t>
      </w:r>
      <w:r w:rsidR="1059B96B" w:rsidRPr="20A6F5DF">
        <w:t xml:space="preserve">, proposes significant changes to grow the tertiary education system and improve skills through attainment targets. </w:t>
      </w:r>
      <w:r w:rsidR="00DE39B8">
        <w:t>The report</w:t>
      </w:r>
      <w:r w:rsidR="00AD4525" w:rsidRPr="20A6F5DF">
        <w:t xml:space="preserve"> has called for a concerted effort to strengthen tertiary education in regional, rural and remote Australia including recommend</w:t>
      </w:r>
      <w:r w:rsidR="008D7E8D" w:rsidRPr="20A6F5DF">
        <w:t>ing</w:t>
      </w:r>
      <w:r w:rsidR="00AD4525" w:rsidRPr="20A6F5DF">
        <w:t xml:space="preserve"> significant additional investment that recognises the additional costs involved in successfully educating students from regional and remote Australia.</w:t>
      </w:r>
      <w:r w:rsidR="00AD4525" w:rsidRPr="20A6F5DF">
        <w:rPr>
          <w:vertAlign w:val="superscript"/>
        </w:rPr>
        <w:footnoteReference w:id="75"/>
      </w:r>
      <w:r w:rsidR="00E75036" w:rsidRPr="20A6F5DF">
        <w:t xml:space="preserve"> </w:t>
      </w:r>
      <w:r w:rsidR="00C81E09">
        <w:t xml:space="preserve"> </w:t>
      </w:r>
    </w:p>
    <w:p w14:paraId="5E8E019D" w14:textId="5136CC56" w:rsidR="636409F5" w:rsidRPr="00A0598E" w:rsidRDefault="00460F84" w:rsidP="00DE39B8">
      <w:r>
        <w:t>The Accord</w:t>
      </w:r>
      <w:r w:rsidR="00E75036" w:rsidRPr="20A6F5DF">
        <w:t xml:space="preserve"> recommend</w:t>
      </w:r>
      <w:r w:rsidR="006D6F8D" w:rsidRPr="20A6F5DF">
        <w:t>ed</w:t>
      </w:r>
      <w:r w:rsidR="00E75036" w:rsidRPr="20A6F5DF">
        <w:t xml:space="preserve"> </w:t>
      </w:r>
      <w:r w:rsidR="009E2C5C" w:rsidRPr="20A6F5DF">
        <w:t>changes to current student income support arrangements</w:t>
      </w:r>
      <w:r w:rsidR="00C81E09">
        <w:t>,</w:t>
      </w:r>
      <w:r w:rsidR="009E2C5C" w:rsidRPr="20A6F5DF">
        <w:t xml:space="preserve"> </w:t>
      </w:r>
      <w:r w:rsidR="005B6FC4" w:rsidRPr="20A6F5DF">
        <w:t>and</w:t>
      </w:r>
      <w:r w:rsidR="009E2C5C" w:rsidRPr="20A6F5DF">
        <w:t xml:space="preserve"> compensating students for hundreds of hours of mandatory placements, a recommendation the </w:t>
      </w:r>
      <w:r w:rsidR="009C3BEC">
        <w:t xml:space="preserve">Australian </w:t>
      </w:r>
      <w:r w:rsidR="009E2C5C" w:rsidRPr="20A6F5DF">
        <w:t>Government has now agreed to implement.</w:t>
      </w:r>
      <w:r w:rsidR="009E2C5C" w:rsidRPr="20A6F5DF">
        <w:rPr>
          <w:vertAlign w:val="superscript"/>
        </w:rPr>
        <w:footnoteReference w:id="76"/>
      </w:r>
      <w:r w:rsidR="009E2C5C" w:rsidRPr="20A6F5DF">
        <w:t xml:space="preserve"> These initiatives</w:t>
      </w:r>
      <w:r w:rsidR="00443076">
        <w:t>, which</w:t>
      </w:r>
      <w:r w:rsidR="009E2C5C" w:rsidRPr="20A6F5DF">
        <w:t xml:space="preserve"> aim to reduce cost-of-living pressures and remove financial barriers</w:t>
      </w:r>
      <w:r w:rsidR="009C2732">
        <w:t>, will benefit</w:t>
      </w:r>
      <w:r w:rsidR="009E2C5C" w:rsidRPr="20A6F5DF">
        <w:t xml:space="preserve"> students</w:t>
      </w:r>
      <w:r w:rsidR="006F4C00">
        <w:t xml:space="preserve">, </w:t>
      </w:r>
      <w:r w:rsidR="000B68C9">
        <w:t>and</w:t>
      </w:r>
      <w:r w:rsidR="006F4C00">
        <w:t xml:space="preserve"> those</w:t>
      </w:r>
      <w:r w:rsidR="009E2C5C" w:rsidRPr="20A6F5DF">
        <w:t xml:space="preserve"> </w:t>
      </w:r>
      <w:r w:rsidR="009C2732">
        <w:t>from regional and remote areas</w:t>
      </w:r>
      <w:r w:rsidR="000B68C9">
        <w:t xml:space="preserve"> in particular</w:t>
      </w:r>
      <w:r w:rsidR="006F4C00">
        <w:t>,</w:t>
      </w:r>
      <w:r w:rsidR="009C2732">
        <w:t xml:space="preserve"> </w:t>
      </w:r>
      <w:r w:rsidR="003073E3">
        <w:t xml:space="preserve">who are </w:t>
      </w:r>
      <w:r w:rsidR="009E2C5C" w:rsidRPr="20A6F5DF">
        <w:t>commencing and continuing thei</w:t>
      </w:r>
      <w:r w:rsidR="009C2732">
        <w:t>r studies</w:t>
      </w:r>
      <w:r w:rsidR="009E2C5C" w:rsidRPr="20A6F5DF">
        <w:t>.</w:t>
      </w:r>
      <w:r w:rsidR="009E2C5C" w:rsidRPr="20A6F5DF">
        <w:rPr>
          <w:vertAlign w:val="superscript"/>
        </w:rPr>
        <w:footnoteReference w:id="77"/>
      </w:r>
    </w:p>
    <w:p w14:paraId="0538D667" w14:textId="1812E7DE" w:rsidR="00FF01B3" w:rsidRPr="00A0598E" w:rsidRDefault="77E0CB3F" w:rsidP="00DE39B8">
      <w:r w:rsidRPr="00A0598E">
        <w:t xml:space="preserve">The </w:t>
      </w:r>
      <w:r w:rsidR="006F4C00">
        <w:t xml:space="preserve">Australian </w:t>
      </w:r>
      <w:r w:rsidR="006F4C00" w:rsidRPr="20A6F5DF">
        <w:t>Universit</w:t>
      </w:r>
      <w:r w:rsidR="006F4C00">
        <w:t>ies</w:t>
      </w:r>
      <w:r w:rsidR="006F4C00" w:rsidRPr="20A6F5DF">
        <w:t xml:space="preserve"> Accord</w:t>
      </w:r>
      <w:r w:rsidR="006F4C00">
        <w:t xml:space="preserve"> </w:t>
      </w:r>
      <w:r w:rsidR="00525DCA" w:rsidRPr="00A0598E">
        <w:t>conclude</w:t>
      </w:r>
      <w:r w:rsidR="76A0805B" w:rsidRPr="00A0598E">
        <w:t>d</w:t>
      </w:r>
      <w:r w:rsidR="00525DCA" w:rsidRPr="00A0598E">
        <w:t xml:space="preserve"> that regional universities play a clearly recognisable role in regional and national development, gradually transforming regions into knowledge economies</w:t>
      </w:r>
      <w:r w:rsidR="7EC25926" w:rsidRPr="00A0598E">
        <w:t xml:space="preserve">. </w:t>
      </w:r>
      <w:r w:rsidR="009C3BEC">
        <w:t>A</w:t>
      </w:r>
      <w:r w:rsidR="7EC25926" w:rsidRPr="00A0598E">
        <w:t>ustralia will need more engineers and other professionals including those required to drive</w:t>
      </w:r>
      <w:r w:rsidR="00525DCA" w:rsidRPr="00A0598E">
        <w:t xml:space="preserve"> the </w:t>
      </w:r>
      <w:r w:rsidR="7EC25926" w:rsidRPr="00A0598E">
        <w:t xml:space="preserve">green </w:t>
      </w:r>
      <w:r w:rsidR="00525DCA" w:rsidRPr="00A0598E">
        <w:t xml:space="preserve">energy </w:t>
      </w:r>
      <w:r w:rsidR="7EC25926" w:rsidRPr="00A0598E">
        <w:t>transformation</w:t>
      </w:r>
      <w:r w:rsidR="0047498B" w:rsidRPr="00A0598E">
        <w:t>.</w:t>
      </w:r>
      <w:r w:rsidR="7EC25926" w:rsidRPr="00A0598E">
        <w:t xml:space="preserve"> </w:t>
      </w:r>
      <w:r w:rsidR="00FE0488">
        <w:t xml:space="preserve">We </w:t>
      </w:r>
      <w:r w:rsidR="7EC25926" w:rsidRPr="00A0598E">
        <w:t>will</w:t>
      </w:r>
      <w:r w:rsidR="009E2929">
        <w:t xml:space="preserve"> also</w:t>
      </w:r>
      <w:r w:rsidR="7EC25926" w:rsidRPr="00A0598E">
        <w:t xml:space="preserve"> need professionals to drive new discoveries and innovations</w:t>
      </w:r>
      <w:r w:rsidR="005050C7">
        <w:t xml:space="preserve"> and</w:t>
      </w:r>
      <w:r w:rsidR="7EC25926" w:rsidRPr="00A0598E">
        <w:t xml:space="preserve"> build new public infrastructure to support our growing cities and regions.</w:t>
      </w:r>
      <w:r w:rsidR="0074622F">
        <w:t xml:space="preserve"> </w:t>
      </w:r>
      <w:r w:rsidR="009E2929">
        <w:t>Accessible and strong r</w:t>
      </w:r>
      <w:r w:rsidR="00525DCA" w:rsidRPr="20A6F5DF">
        <w:t>egional</w:t>
      </w:r>
      <w:r w:rsidR="009E2929">
        <w:t xml:space="preserve"> universities</w:t>
      </w:r>
      <w:r w:rsidR="00525DCA" w:rsidRPr="20A6F5DF">
        <w:t xml:space="preserve"> a</w:t>
      </w:r>
      <w:r w:rsidR="005940F2" w:rsidRPr="20A6F5DF">
        <w:t>re</w:t>
      </w:r>
      <w:r w:rsidR="00525DCA" w:rsidRPr="20A6F5DF">
        <w:t xml:space="preserve"> crucial to </w:t>
      </w:r>
      <w:r w:rsidR="00C66E32">
        <w:t xml:space="preserve">increasing </w:t>
      </w:r>
      <w:r w:rsidR="00FF01B3" w:rsidRPr="20A6F5DF">
        <w:t xml:space="preserve">numbers of regional and remote Australians completing a </w:t>
      </w:r>
      <w:r w:rsidR="0000529C" w:rsidRPr="20A6F5DF">
        <w:t>higher</w:t>
      </w:r>
      <w:r w:rsidR="00FF01B3" w:rsidRPr="20A6F5DF">
        <w:t xml:space="preserve"> education</w:t>
      </w:r>
      <w:r w:rsidR="00C66E32">
        <w:t xml:space="preserve"> and </w:t>
      </w:r>
      <w:r w:rsidR="00C66E32" w:rsidRPr="20A6F5DF">
        <w:t>meeting the nation’s current and future knowledge and skills needs</w:t>
      </w:r>
      <w:r w:rsidR="00FF01B3" w:rsidRPr="20A6F5DF">
        <w:t>.</w:t>
      </w:r>
      <w:r w:rsidR="005940F2" w:rsidRPr="20A6F5DF">
        <w:rPr>
          <w:vertAlign w:val="superscript"/>
        </w:rPr>
        <w:footnoteReference w:id="78"/>
      </w:r>
    </w:p>
    <w:p w14:paraId="5033F3FA" w14:textId="5BE0D805" w:rsidR="00D262C8" w:rsidRDefault="00D262C8" w:rsidP="00E54B8C">
      <w:r>
        <w:br w:type="page"/>
      </w:r>
    </w:p>
    <w:p w14:paraId="2CDC561A" w14:textId="1329183D" w:rsidR="00C03E0A" w:rsidRPr="00DE39B8" w:rsidRDefault="00A91189" w:rsidP="000B7C0D">
      <w:pPr>
        <w:pStyle w:val="Heading2"/>
        <w:rPr>
          <w:rFonts w:asciiTheme="majorHAnsi" w:hAnsiTheme="majorHAnsi" w:cstheme="majorHAnsi"/>
        </w:rPr>
      </w:pPr>
      <w:bookmarkStart w:id="78" w:name="_Toc178173744"/>
      <w:r w:rsidRPr="00DE39B8">
        <w:rPr>
          <w:rFonts w:asciiTheme="majorHAnsi" w:hAnsiTheme="majorHAnsi" w:cstheme="majorHAnsi"/>
        </w:rPr>
        <w:t>Performance of the regional VET system</w:t>
      </w:r>
      <w:bookmarkEnd w:id="78"/>
    </w:p>
    <w:p w14:paraId="6F3CEA88" w14:textId="7D20805A" w:rsidR="009346F7" w:rsidRDefault="00754A27" w:rsidP="00DE39B8">
      <w:r w:rsidRPr="00D21D97">
        <w:t>Workers qualified through VET pathways play a key role in the Australian economy. Job roles requiring applied learning and practical skills, predominantly those roles that are at skill level 2</w:t>
      </w:r>
      <w:r w:rsidR="007D1B04">
        <w:t>–</w:t>
      </w:r>
      <w:r w:rsidRPr="00D21D97">
        <w:t xml:space="preserve">4, continue to be in demand and in persistent shortage across Australia and particularly in regional areas. </w:t>
      </w:r>
      <w:r w:rsidR="00AC44C8" w:rsidRPr="00D21D97">
        <w:t>Thus,</w:t>
      </w:r>
      <w:r w:rsidRPr="00D21D97">
        <w:t xml:space="preserve"> VET plays an important role in Australia’s regions both due to its relevance and applicability to regional-focussed industries, and the role it plays in delivering core skills. </w:t>
      </w:r>
      <w:r w:rsidR="009346F7" w:rsidRPr="009346F7">
        <w:t xml:space="preserve"> </w:t>
      </w:r>
    </w:p>
    <w:p w14:paraId="5EE50B66" w14:textId="680C3FAE" w:rsidR="00754A27" w:rsidRPr="00D21D97" w:rsidRDefault="009346F7" w:rsidP="00DE39B8">
      <w:r>
        <w:t>The N</w:t>
      </w:r>
      <w:r w:rsidRPr="009346F7">
        <w:t>ational Skills Agreement embed</w:t>
      </w:r>
      <w:r>
        <w:t>s</w:t>
      </w:r>
      <w:r w:rsidRPr="009346F7">
        <w:t xml:space="preserve"> a new model of shared national stewardship</w:t>
      </w:r>
      <w:r w:rsidR="000100F5">
        <w:t>, between the Commonwealth and state/territory governm</w:t>
      </w:r>
      <w:r w:rsidR="00BC7C1C">
        <w:t>ents,</w:t>
      </w:r>
      <w:r w:rsidRPr="009346F7">
        <w:t xml:space="preserve"> of the VET sector to support a more collaborative and evidence-driven approach to delivering high quality, responsive and accessible education and training to boost productivity and support Australians to obtain the skills they need to participate and prosper in the modern economy.</w:t>
      </w:r>
      <w:r w:rsidR="00DE39B8">
        <w:t xml:space="preserve"> See Appendix A for more detail about the National Skills Agreement.</w:t>
      </w:r>
    </w:p>
    <w:p w14:paraId="13F333F4" w14:textId="6FB1DE54" w:rsidR="00754A27" w:rsidRDefault="00754A27" w:rsidP="00DE39B8">
      <w:r w:rsidRPr="00D21D97">
        <w:t xml:space="preserve">The proximity of education </w:t>
      </w:r>
      <w:r w:rsidR="00DE39B8">
        <w:t xml:space="preserve">and training </w:t>
      </w:r>
      <w:r w:rsidRPr="00D21D97">
        <w:t>can have impacts on education and labour market</w:t>
      </w:r>
      <w:r w:rsidR="0ED7F299" w:rsidRPr="00D21D97">
        <w:t xml:space="preserve"> </w:t>
      </w:r>
      <w:r w:rsidRPr="00D21D97">
        <w:t>outcomes.</w:t>
      </w:r>
      <w:r w:rsidRPr="6437AF61">
        <w:rPr>
          <w:rFonts w:asciiTheme="majorHAnsi" w:hAnsiTheme="majorHAnsi" w:cstheme="majorBidi"/>
          <w:vertAlign w:val="superscript"/>
        </w:rPr>
        <w:footnoteReference w:id="79"/>
      </w:r>
      <w:r w:rsidRPr="00D21D97">
        <w:t xml:space="preserve"> For those seeking post-school opportunities, lack of that proximity may necessitate moving to do further study. The analysis presented below, which updates some of the key findings from the 2023 JSA report</w:t>
      </w:r>
      <w:r w:rsidRPr="001C2D09">
        <w:t xml:space="preserve"> </w:t>
      </w:r>
      <w:hyperlink r:id="rId116" w:anchor=":~:text=The%20report%2C%20Vocational%20education%20and,and%20analysis%20in%20this%20area.">
        <w:r w:rsidR="5F3D3436" w:rsidRPr="001C2D09">
          <w:rPr>
            <w:rStyle w:val="Hyperlink"/>
            <w:rFonts w:cs="Arial"/>
          </w:rPr>
          <w:t>‘Vocational Education and Training in Regional, Rural and Remote Australia’</w:t>
        </w:r>
      </w:hyperlink>
      <w:r w:rsidR="00DE39B8">
        <w:t xml:space="preserve"> (referred to as the 2023 JSA </w:t>
      </w:r>
      <w:r w:rsidR="27206F25">
        <w:t>R</w:t>
      </w:r>
      <w:r w:rsidR="00DE39B8">
        <w:t>epo</w:t>
      </w:r>
      <w:r w:rsidR="447357A2">
        <w:t>r</w:t>
      </w:r>
      <w:r w:rsidR="00DE39B8">
        <w:t>t).</w:t>
      </w:r>
      <w:r w:rsidR="00485157">
        <w:t xml:space="preserve"> </w:t>
      </w:r>
      <w:r w:rsidRPr="00D21D97">
        <w:t xml:space="preserve">The issue </w:t>
      </w:r>
      <w:r w:rsidR="009A5862">
        <w:t>of</w:t>
      </w:r>
      <w:r w:rsidRPr="00D21D97">
        <w:t xml:space="preserve"> the extent t</w:t>
      </w:r>
      <w:r w:rsidR="009A5862">
        <w:t>o which</w:t>
      </w:r>
      <w:r w:rsidRPr="00D21D97">
        <w:t xml:space="preserve"> students move to undertake post-school study presents an opportunity for JSA to undertake further analysis in the future. </w:t>
      </w:r>
    </w:p>
    <w:p w14:paraId="06895080" w14:textId="77777777" w:rsidR="00C1445E" w:rsidRPr="00DE39B8" w:rsidRDefault="00C1445E" w:rsidP="004A1A85">
      <w:pPr>
        <w:pStyle w:val="Heading3"/>
        <w:rPr>
          <w:rFonts w:asciiTheme="majorHAnsi" w:hAnsiTheme="majorHAnsi" w:cstheme="majorHAnsi"/>
        </w:rPr>
      </w:pPr>
      <w:bookmarkStart w:id="79" w:name="_Toc171937446"/>
      <w:r w:rsidRPr="00DE39B8">
        <w:rPr>
          <w:rFonts w:asciiTheme="majorHAnsi" w:hAnsiTheme="majorHAnsi" w:cstheme="majorHAnsi"/>
        </w:rPr>
        <w:t>Differing levels of VET access and choice are observed across remoteness areas</w:t>
      </w:r>
      <w:bookmarkEnd w:id="79"/>
    </w:p>
    <w:p w14:paraId="3FFC2F21" w14:textId="7D55EBC4" w:rsidR="00061638" w:rsidRDefault="00B4756C" w:rsidP="00DE39B8">
      <w:r>
        <w:t xml:space="preserve">The </w:t>
      </w:r>
      <w:r w:rsidR="00701AA3">
        <w:t>2023</w:t>
      </w:r>
      <w:r w:rsidR="00C1445E">
        <w:t xml:space="preserve"> </w:t>
      </w:r>
      <w:r w:rsidR="007202E4">
        <w:t xml:space="preserve">JSA report </w:t>
      </w:r>
      <w:r w:rsidR="00C1445E" w:rsidRPr="00C1445E">
        <w:t xml:space="preserve">noted that options for </w:t>
      </w:r>
      <w:r w:rsidR="00E60923">
        <w:t xml:space="preserve">on-campus </w:t>
      </w:r>
      <w:r w:rsidR="00C1445E" w:rsidRPr="00C1445E">
        <w:t xml:space="preserve">VET study tended to decrease the more remote the </w:t>
      </w:r>
      <w:r w:rsidR="008104E6">
        <w:t>R</w:t>
      </w:r>
      <w:r w:rsidR="00DE39B8">
        <w:t>egistered Training Organisation (R</w:t>
      </w:r>
      <w:r w:rsidR="008104E6">
        <w:t>TO</w:t>
      </w:r>
      <w:r w:rsidR="00DE39B8">
        <w:t>)</w:t>
      </w:r>
      <w:r w:rsidR="008104E6">
        <w:t xml:space="preserve"> </w:t>
      </w:r>
      <w:r w:rsidR="00C1445E" w:rsidRPr="00C1445E">
        <w:t xml:space="preserve">location. Less variation is typically observed in the number of </w:t>
      </w:r>
      <w:r w:rsidR="00EC209F">
        <w:t xml:space="preserve">approved </w:t>
      </w:r>
      <w:r w:rsidR="00C1445E" w:rsidRPr="00C1445E">
        <w:t xml:space="preserve">training products and RTOs accessed in regional and remote areas compared to </w:t>
      </w:r>
      <w:r w:rsidR="00E91CE3">
        <w:t>major</w:t>
      </w:r>
      <w:r w:rsidR="00C1445E" w:rsidRPr="00C1445E">
        <w:t xml:space="preserve"> cities.</w:t>
      </w:r>
    </w:p>
    <w:p w14:paraId="25006AFA" w14:textId="7F21CBD6" w:rsidR="00061638" w:rsidRDefault="00061638" w:rsidP="00DE39B8">
      <w:r w:rsidRPr="00C1445E">
        <w:t xml:space="preserve">Just over </w:t>
      </w:r>
      <w:r w:rsidR="001A63A0">
        <w:t>4,0</w:t>
      </w:r>
      <w:r w:rsidRPr="00C1445E">
        <w:t>00 RTO</w:t>
      </w:r>
      <w:r w:rsidR="000F67F5">
        <w:t>s</w:t>
      </w:r>
      <w:r w:rsidRPr="00C1445E">
        <w:t xml:space="preserve"> are on the national register of VET and can deliver approved VET qualifications </w:t>
      </w:r>
      <w:r w:rsidR="007824C9">
        <w:t xml:space="preserve">including </w:t>
      </w:r>
      <w:r w:rsidR="00511E67">
        <w:t>degrees, diploma</w:t>
      </w:r>
      <w:r w:rsidR="0057573B">
        <w:t>s</w:t>
      </w:r>
      <w:r w:rsidR="00511E67">
        <w:t xml:space="preserve">, </w:t>
      </w:r>
      <w:r w:rsidR="00FC7581">
        <w:t xml:space="preserve">certificate level </w:t>
      </w:r>
      <w:r w:rsidR="008751C9">
        <w:t>qualifications</w:t>
      </w:r>
      <w:r w:rsidR="00FC7581">
        <w:t xml:space="preserve"> (I to IV)</w:t>
      </w:r>
      <w:r w:rsidRPr="00C1445E">
        <w:t xml:space="preserve">, and units of competency across Australia. RTOs </w:t>
      </w:r>
      <w:r w:rsidR="003C57CB">
        <w:t>include</w:t>
      </w:r>
      <w:r w:rsidRPr="00C1445E">
        <w:t xml:space="preserve"> </w:t>
      </w:r>
      <w:r w:rsidR="00686271">
        <w:t xml:space="preserve">Technical and Further Education Institutes (TAFEs), </w:t>
      </w:r>
      <w:r w:rsidR="002E1EEB">
        <w:t>p</w:t>
      </w:r>
      <w:r w:rsidRPr="00C1445E">
        <w:t xml:space="preserve">rivate </w:t>
      </w:r>
      <w:r w:rsidR="004266B8">
        <w:t>training providers</w:t>
      </w:r>
      <w:r w:rsidR="00AA08F9">
        <w:t xml:space="preserve">, </w:t>
      </w:r>
      <w:r w:rsidR="00FD2A0D">
        <w:t>ent</w:t>
      </w:r>
      <w:r w:rsidR="003329C1">
        <w:t>erprise</w:t>
      </w:r>
      <w:r w:rsidR="004B6D14">
        <w:t xml:space="preserve"> training providers</w:t>
      </w:r>
      <w:r w:rsidR="004266B8">
        <w:t xml:space="preserve"> </w:t>
      </w:r>
      <w:r w:rsidRPr="00C1445E">
        <w:t xml:space="preserve">and </w:t>
      </w:r>
      <w:r w:rsidR="00EC0383">
        <w:t>c</w:t>
      </w:r>
      <w:r w:rsidR="00DA00EB">
        <w:t>ommunity</w:t>
      </w:r>
      <w:r w:rsidRPr="00C1445E">
        <w:t>-</w:t>
      </w:r>
      <w:r w:rsidR="00355415">
        <w:t>based adult ed</w:t>
      </w:r>
      <w:r w:rsidR="00EC0383">
        <w:t>ucation providers</w:t>
      </w:r>
      <w:r w:rsidR="00082EEF">
        <w:t xml:space="preserve">, and VET is also delivered in schools and </w:t>
      </w:r>
      <w:r w:rsidR="007A4EB9">
        <w:t>some universities</w:t>
      </w:r>
      <w:r w:rsidRPr="00C1445E">
        <w:t>. RTOs</w:t>
      </w:r>
      <w:r w:rsidR="003329C1">
        <w:t xml:space="preserve"> are</w:t>
      </w:r>
      <w:r w:rsidRPr="00C1445E">
        <w:t xml:space="preserve"> heavily </w:t>
      </w:r>
      <w:r w:rsidR="00505C19">
        <w:t>concentrated</w:t>
      </w:r>
      <w:r w:rsidRPr="00C1445E">
        <w:t xml:space="preserve"> in </w:t>
      </w:r>
      <w:r w:rsidR="00AC3D95">
        <w:t xml:space="preserve">the </w:t>
      </w:r>
      <w:r w:rsidRPr="00C1445E">
        <w:t>eastern states, primarily in New South Wales and Victoria, where population density is highest</w:t>
      </w:r>
      <w:r w:rsidR="00505C19">
        <w:t xml:space="preserve"> (Figure 3</w:t>
      </w:r>
      <w:r w:rsidR="00DE39B8">
        <w:t>9</w:t>
      </w:r>
      <w:r w:rsidR="00505C19">
        <w:t>).</w:t>
      </w:r>
      <w:r w:rsidRPr="00C1445E">
        <w:t xml:space="preserve"> </w:t>
      </w:r>
    </w:p>
    <w:p w14:paraId="5541A02D" w14:textId="77777777" w:rsidR="005C34D6" w:rsidRDefault="00420CC2" w:rsidP="00DE39B8">
      <w:pPr>
        <w:pStyle w:val="Caption"/>
        <w:rPr>
          <w:rFonts w:asciiTheme="minorHAnsi" w:hAnsiTheme="minorHAnsi" w:cstheme="minorHAnsi"/>
          <w:szCs w:val="20"/>
        </w:rPr>
      </w:pPr>
      <w:r w:rsidRPr="00DE39B8">
        <w:rPr>
          <w:rFonts w:asciiTheme="minorHAnsi" w:hAnsiTheme="minorHAnsi" w:cstheme="minorHAnsi"/>
          <w:szCs w:val="20"/>
        </w:rPr>
        <w:t>Figure</w:t>
      </w:r>
      <w:r w:rsidR="00EC07D8" w:rsidRPr="00DE39B8">
        <w:rPr>
          <w:rFonts w:asciiTheme="minorHAnsi" w:hAnsiTheme="minorHAnsi" w:cstheme="minorHAnsi"/>
          <w:szCs w:val="20"/>
        </w:rPr>
        <w:t xml:space="preserve"> 3</w:t>
      </w:r>
      <w:r w:rsidR="00DE39B8" w:rsidRPr="00DE39B8">
        <w:rPr>
          <w:rFonts w:asciiTheme="minorHAnsi" w:hAnsiTheme="minorHAnsi" w:cstheme="minorHAnsi"/>
          <w:szCs w:val="20"/>
        </w:rPr>
        <w:t>9</w:t>
      </w:r>
      <w:r w:rsidRPr="00DE39B8">
        <w:rPr>
          <w:rFonts w:asciiTheme="minorHAnsi" w:hAnsiTheme="minorHAnsi" w:cstheme="minorHAnsi"/>
          <w:szCs w:val="20"/>
        </w:rPr>
        <w:t xml:space="preserve">: </w:t>
      </w:r>
      <w:r w:rsidR="001E73A1" w:rsidRPr="00DE39B8">
        <w:rPr>
          <w:rFonts w:asciiTheme="minorHAnsi" w:hAnsiTheme="minorHAnsi" w:cstheme="minorHAnsi"/>
          <w:szCs w:val="20"/>
        </w:rPr>
        <w:t>Select</w:t>
      </w:r>
      <w:r w:rsidR="004007D6" w:rsidRPr="00DE39B8">
        <w:rPr>
          <w:rFonts w:asciiTheme="minorHAnsi" w:hAnsiTheme="minorHAnsi" w:cstheme="minorHAnsi"/>
          <w:szCs w:val="20"/>
        </w:rPr>
        <w:t>ed</w:t>
      </w:r>
      <w:r w:rsidR="0053385B" w:rsidRPr="00DE39B8">
        <w:rPr>
          <w:rFonts w:asciiTheme="minorHAnsi" w:hAnsiTheme="minorHAnsi" w:cstheme="minorHAnsi"/>
          <w:szCs w:val="20"/>
        </w:rPr>
        <w:t xml:space="preserve">* </w:t>
      </w:r>
      <w:r w:rsidR="004D4404" w:rsidRPr="00DE39B8">
        <w:rPr>
          <w:rFonts w:asciiTheme="minorHAnsi" w:hAnsiTheme="minorHAnsi" w:cstheme="minorHAnsi"/>
          <w:szCs w:val="20"/>
        </w:rPr>
        <w:t>Registered Training Organisation</w:t>
      </w:r>
      <w:r w:rsidR="00383328" w:rsidRPr="00DE39B8">
        <w:rPr>
          <w:rFonts w:asciiTheme="minorHAnsi" w:hAnsiTheme="minorHAnsi" w:cstheme="minorHAnsi"/>
          <w:szCs w:val="20"/>
        </w:rPr>
        <w:t xml:space="preserve"> (RTO) Locations</w:t>
      </w:r>
    </w:p>
    <w:p w14:paraId="151F73F6" w14:textId="1A62A431" w:rsidR="003C28C0" w:rsidRDefault="00F77003" w:rsidP="00DE39B8">
      <w:pPr>
        <w:pStyle w:val="Caption"/>
        <w:rPr>
          <w:rFonts w:cs="Arial"/>
          <w:sz w:val="22"/>
          <w:szCs w:val="22"/>
        </w:rPr>
      </w:pPr>
      <w:r w:rsidRPr="00F77003">
        <w:rPr>
          <w:noProof/>
        </w:rPr>
        <w:drawing>
          <wp:inline distT="0" distB="0" distL="0" distR="0" wp14:anchorId="223D9DAE" wp14:editId="411BEC2F">
            <wp:extent cx="5729623" cy="3689405"/>
            <wp:effectExtent l="0" t="0" r="4445" b="6350"/>
            <wp:docPr id="685301265" name="Picture 1" descr="Graphic showing RTO locations on a map of Australia. Different coloured dots show the locations of selected RTO types (i.e. Community Based Adult Education Providers, Enterprises, Private Training Providers and TAFEs). Map shows RTO locations are heavily concentrated in the coastal population centres, mainly on the eastern sea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01265" name="Picture 1" descr="Graphic showing RTO locations on a map of Australia. Different coloured dots show the locations of selected RTO types (i.e. Community Based Adult Education Providers, Enterprises, Private Training Providers and TAFEs). Map shows RTO locations are heavily concentrated in the coastal population centres, mainly on the eastern seaboard."/>
                    <pic:cNvPicPr/>
                  </pic:nvPicPr>
                  <pic:blipFill>
                    <a:blip r:embed="rId117"/>
                    <a:stretch>
                      <a:fillRect/>
                    </a:stretch>
                  </pic:blipFill>
                  <pic:spPr>
                    <a:xfrm>
                      <a:off x="0" y="0"/>
                      <a:ext cx="5738384" cy="3695046"/>
                    </a:xfrm>
                    <a:prstGeom prst="rect">
                      <a:avLst/>
                    </a:prstGeom>
                  </pic:spPr>
                </pic:pic>
              </a:graphicData>
            </a:graphic>
          </wp:inline>
        </w:drawing>
      </w:r>
    </w:p>
    <w:p w14:paraId="3C5DEB87" w14:textId="51CCE285" w:rsidR="0010564E" w:rsidRPr="00DE39B8" w:rsidRDefault="0010564E" w:rsidP="00DE39B8">
      <w:pPr>
        <w:pStyle w:val="Source"/>
        <w:rPr>
          <w:rFonts w:asciiTheme="minorHAnsi" w:hAnsiTheme="minorHAnsi" w:cstheme="minorHAnsi"/>
          <w:kern w:val="2"/>
          <w14:ligatures w14:val="standardContextual"/>
        </w:rPr>
      </w:pPr>
      <w:r w:rsidRPr="00DE39B8">
        <w:rPr>
          <w:rFonts w:asciiTheme="minorHAnsi" w:hAnsiTheme="minorHAnsi" w:cstheme="minorHAnsi"/>
          <w:kern w:val="2"/>
          <w14:ligatures w14:val="standardContextual"/>
        </w:rPr>
        <w:t>Source: National Careers Institute</w:t>
      </w:r>
      <w:r w:rsidR="00E22F4A" w:rsidRPr="00DE39B8">
        <w:rPr>
          <w:rFonts w:asciiTheme="minorHAnsi" w:hAnsiTheme="minorHAnsi" w:cstheme="minorHAnsi"/>
          <w:kern w:val="2"/>
          <w14:ligatures w14:val="standardContextual"/>
        </w:rPr>
        <w:t xml:space="preserve">, </w:t>
      </w:r>
      <w:hyperlink r:id="rId118" w:history="1">
        <w:r w:rsidR="00E22F4A" w:rsidRPr="00DE39B8">
          <w:rPr>
            <w:rStyle w:val="Hyperlink"/>
            <w:rFonts w:asciiTheme="minorHAnsi" w:hAnsiTheme="minorHAnsi" w:cstheme="minorHAnsi"/>
            <w:kern w:val="2"/>
            <w14:ligatures w14:val="standardContextual"/>
          </w:rPr>
          <w:t>RTO Locations Report – National Register of VET</w:t>
        </w:r>
      </w:hyperlink>
      <w:r w:rsidR="00DF5CD5" w:rsidRPr="00DE39B8">
        <w:rPr>
          <w:rFonts w:asciiTheme="minorHAnsi" w:hAnsiTheme="minorHAnsi" w:cstheme="minorHAnsi"/>
          <w:kern w:val="2"/>
          <w14:ligatures w14:val="standardContextual"/>
        </w:rPr>
        <w:t xml:space="preserve"> </w:t>
      </w:r>
      <w:r w:rsidR="00401D91" w:rsidRPr="00DE39B8">
        <w:rPr>
          <w:rFonts w:asciiTheme="minorHAnsi" w:hAnsiTheme="minorHAnsi" w:cstheme="minorHAnsi"/>
          <w:kern w:val="2"/>
          <w14:ligatures w14:val="standardContextual"/>
        </w:rPr>
        <w:t xml:space="preserve">data </w:t>
      </w:r>
      <w:r w:rsidR="00422BF4" w:rsidRPr="00DE39B8">
        <w:rPr>
          <w:rFonts w:asciiTheme="minorHAnsi" w:hAnsiTheme="minorHAnsi" w:cstheme="minorHAnsi"/>
          <w:kern w:val="2"/>
          <w14:ligatures w14:val="standardContextual"/>
        </w:rPr>
        <w:t xml:space="preserve">at </w:t>
      </w:r>
      <w:r w:rsidR="00401D91" w:rsidRPr="00DE39B8">
        <w:rPr>
          <w:rFonts w:asciiTheme="minorHAnsi" w:hAnsiTheme="minorHAnsi" w:cstheme="minorHAnsi"/>
          <w:kern w:val="2"/>
          <w14:ligatures w14:val="standardContextual"/>
        </w:rPr>
        <w:t>1 August</w:t>
      </w:r>
      <w:r w:rsidR="00DF5CD5" w:rsidRPr="00DE39B8">
        <w:rPr>
          <w:rFonts w:asciiTheme="minorHAnsi" w:hAnsiTheme="minorHAnsi" w:cstheme="minorHAnsi"/>
          <w:kern w:val="2"/>
          <w14:ligatures w14:val="standardContextual"/>
        </w:rPr>
        <w:t xml:space="preserve"> 2024.</w:t>
      </w:r>
    </w:p>
    <w:p w14:paraId="4CD60EF5" w14:textId="798D736B" w:rsidR="006E4CDF" w:rsidRPr="00DE39B8" w:rsidRDefault="0053385B" w:rsidP="00DE39B8">
      <w:pPr>
        <w:pStyle w:val="Source"/>
        <w:rPr>
          <w:rFonts w:asciiTheme="minorHAnsi" w:hAnsiTheme="minorHAnsi" w:cstheme="minorHAnsi"/>
          <w:kern w:val="2"/>
          <w14:ligatures w14:val="standardContextual"/>
        </w:rPr>
      </w:pPr>
      <w:r w:rsidRPr="00DE39B8">
        <w:rPr>
          <w:rFonts w:asciiTheme="minorHAnsi" w:hAnsiTheme="minorHAnsi" w:cstheme="minorHAnsi"/>
          <w:kern w:val="2"/>
          <w14:ligatures w14:val="standardContextual"/>
        </w:rPr>
        <w:t xml:space="preserve">* </w:t>
      </w:r>
      <w:r w:rsidR="00133AE6" w:rsidRPr="00DE39B8">
        <w:rPr>
          <w:rFonts w:asciiTheme="minorHAnsi" w:hAnsiTheme="minorHAnsi" w:cstheme="minorHAnsi"/>
          <w:kern w:val="2"/>
          <w14:ligatures w14:val="standardContextual"/>
        </w:rPr>
        <w:t xml:space="preserve">Note: </w:t>
      </w:r>
      <w:r w:rsidR="003C78D4" w:rsidRPr="00DE39B8">
        <w:rPr>
          <w:rFonts w:asciiTheme="minorHAnsi" w:hAnsiTheme="minorHAnsi" w:cstheme="minorHAnsi"/>
          <w:kern w:val="2"/>
          <w14:ligatures w14:val="standardContextual"/>
        </w:rPr>
        <w:t xml:space="preserve">School </w:t>
      </w:r>
      <w:r w:rsidR="00A84B59" w:rsidRPr="00DE39B8">
        <w:rPr>
          <w:rFonts w:asciiTheme="minorHAnsi" w:hAnsiTheme="minorHAnsi" w:cstheme="minorHAnsi"/>
          <w:kern w:val="2"/>
          <w14:ligatures w14:val="standardContextual"/>
        </w:rPr>
        <w:t xml:space="preserve">and University </w:t>
      </w:r>
      <w:r w:rsidR="003C78D4" w:rsidRPr="00DE39B8">
        <w:rPr>
          <w:rFonts w:asciiTheme="minorHAnsi" w:hAnsiTheme="minorHAnsi" w:cstheme="minorHAnsi"/>
          <w:kern w:val="2"/>
          <w14:ligatures w14:val="standardContextual"/>
        </w:rPr>
        <w:t>RTOs are not shown on the map.</w:t>
      </w:r>
    </w:p>
    <w:p w14:paraId="03C70B54" w14:textId="18C277AF" w:rsidR="00777C85" w:rsidRPr="00857480" w:rsidRDefault="00927042" w:rsidP="00DE39B8">
      <w:r w:rsidRPr="00857480">
        <w:t xml:space="preserve">Data on </w:t>
      </w:r>
      <w:r w:rsidR="00C1445E" w:rsidRPr="00857480">
        <w:t>RTO locations</w:t>
      </w:r>
      <w:r w:rsidR="00DA5EA9" w:rsidRPr="00857480">
        <w:t xml:space="preserve"> </w:t>
      </w:r>
      <w:r w:rsidRPr="00857480">
        <w:t xml:space="preserve">by remoteness </w:t>
      </w:r>
      <w:r w:rsidR="00C1445E" w:rsidRPr="00857480">
        <w:t xml:space="preserve">provides insight into the ease of access to VET according to where you live. </w:t>
      </w:r>
      <w:r w:rsidR="00F47956" w:rsidRPr="00857480">
        <w:t>Very few RTO</w:t>
      </w:r>
      <w:r w:rsidR="00AE2DD5" w:rsidRPr="00857480">
        <w:t>s</w:t>
      </w:r>
      <w:r w:rsidR="00F47956" w:rsidRPr="00857480">
        <w:t xml:space="preserve"> are based in remote and very remote areas (22 and 2 head offices respectively</w:t>
      </w:r>
      <w:r w:rsidR="00AE2DD5" w:rsidRPr="00857480">
        <w:t>)</w:t>
      </w:r>
      <w:r w:rsidR="00F47956" w:rsidRPr="00857480">
        <w:t xml:space="preserve"> (Table 10). Those 24 head offices are dispersed across the northern states/territory - Western Australia (11), the Northern Territory (7) and Queensland (5).</w:t>
      </w:r>
    </w:p>
    <w:p w14:paraId="377CF03B" w14:textId="7FB39D7E" w:rsidR="005C34D6" w:rsidRDefault="00385576" w:rsidP="00DE39B8">
      <w:pPr>
        <w:rPr>
          <w:rFonts w:asciiTheme="minorHAnsi" w:hAnsiTheme="minorHAnsi" w:cstheme="minorHAnsi"/>
        </w:rPr>
      </w:pPr>
      <w:r w:rsidRPr="00C21473">
        <w:rPr>
          <w:rFonts w:asciiTheme="minorHAnsi" w:hAnsiTheme="minorHAnsi" w:cstheme="minorHAnsi"/>
        </w:rPr>
        <w:t>The number of RTO locations (including campuses and head offices) also decreases with remoteness,</w:t>
      </w:r>
      <w:r w:rsidR="004C5F04" w:rsidRPr="00C21473">
        <w:rPr>
          <w:rFonts w:asciiTheme="minorHAnsi" w:hAnsiTheme="minorHAnsi" w:cstheme="minorHAnsi"/>
        </w:rPr>
        <w:t xml:space="preserve"> with just 250 RTO locations across remote and very remote Australia, again mostly in Western Australia, the Northern Territory and Queensland. </w:t>
      </w:r>
      <w:r w:rsidR="00623C27" w:rsidRPr="00C21473">
        <w:rPr>
          <w:rFonts w:asciiTheme="minorHAnsi" w:hAnsiTheme="minorHAnsi" w:cstheme="minorHAnsi"/>
        </w:rPr>
        <w:t xml:space="preserve">Queensland also has </w:t>
      </w:r>
      <w:r w:rsidR="00BD3B92" w:rsidRPr="00C21473">
        <w:rPr>
          <w:rFonts w:asciiTheme="minorHAnsi" w:hAnsiTheme="minorHAnsi" w:cstheme="minorHAnsi"/>
        </w:rPr>
        <w:t xml:space="preserve">almost half (47%) </w:t>
      </w:r>
      <w:r w:rsidR="00623C27" w:rsidRPr="00C21473">
        <w:rPr>
          <w:rFonts w:asciiTheme="minorHAnsi" w:hAnsiTheme="minorHAnsi" w:cstheme="minorHAnsi"/>
        </w:rPr>
        <w:t>of the RTO locations in outer regional Australia</w:t>
      </w:r>
      <w:r w:rsidR="00BD3B92" w:rsidRPr="00C21473">
        <w:rPr>
          <w:rFonts w:asciiTheme="minorHAnsi" w:hAnsiTheme="minorHAnsi" w:cstheme="minorHAnsi"/>
        </w:rPr>
        <w:t xml:space="preserve">. </w:t>
      </w:r>
    </w:p>
    <w:p w14:paraId="540284F5" w14:textId="26C2F64E" w:rsidR="00DE39B8" w:rsidRDefault="005C34D6" w:rsidP="005C34D6">
      <w:pPr>
        <w:spacing w:after="120" w:line="276" w:lineRule="auto"/>
        <w:rPr>
          <w:rFonts w:asciiTheme="minorHAnsi" w:hAnsiTheme="minorHAnsi" w:cstheme="minorHAnsi"/>
        </w:rPr>
      </w:pPr>
      <w:r>
        <w:rPr>
          <w:rFonts w:asciiTheme="minorHAnsi" w:hAnsiTheme="minorHAnsi" w:cstheme="minorHAnsi"/>
        </w:rPr>
        <w:br w:type="page"/>
      </w:r>
    </w:p>
    <w:p w14:paraId="53411BC8" w14:textId="2C89A49D" w:rsidR="00F23E80" w:rsidRPr="00DE39B8" w:rsidRDefault="5F3D3436" w:rsidP="005C34D6">
      <w:pPr>
        <w:pStyle w:val="Caption"/>
      </w:pPr>
      <w:r w:rsidRPr="00DE39B8">
        <w:t xml:space="preserve">Table </w:t>
      </w:r>
      <w:r w:rsidR="008229BC" w:rsidRPr="00DE39B8">
        <w:t>10</w:t>
      </w:r>
      <w:r w:rsidRPr="00DE39B8">
        <w:t xml:space="preserve">: </w:t>
      </w:r>
      <w:r w:rsidR="00DB2C60" w:rsidRPr="00DE39B8">
        <w:t xml:space="preserve">Selected* </w:t>
      </w:r>
      <w:r w:rsidRPr="00DE39B8">
        <w:t xml:space="preserve">RTO locations </w:t>
      </w:r>
      <w:r w:rsidR="005F7696" w:rsidRPr="00DE39B8">
        <w:t>and</w:t>
      </w:r>
      <w:r w:rsidR="002135B2" w:rsidRPr="00DE39B8">
        <w:t xml:space="preserve"> adult population</w:t>
      </w:r>
      <w:r w:rsidR="00393A73" w:rsidRPr="00DE39B8">
        <w:t>,</w:t>
      </w:r>
      <w:r w:rsidR="002135B2" w:rsidRPr="00DE39B8">
        <w:t xml:space="preserve"> </w:t>
      </w:r>
      <w:r w:rsidRPr="00DE39B8">
        <w:t>by re</w:t>
      </w:r>
      <w:r w:rsidR="00393A73" w:rsidRPr="00DE39B8">
        <w:t>moteness</w:t>
      </w:r>
    </w:p>
    <w:tbl>
      <w:tblPr>
        <w:tblW w:w="9026" w:type="dxa"/>
        <w:tblLook w:val="04A0" w:firstRow="1" w:lastRow="0" w:firstColumn="1" w:lastColumn="0" w:noHBand="0" w:noVBand="1"/>
      </w:tblPr>
      <w:tblGrid>
        <w:gridCol w:w="9026"/>
      </w:tblGrid>
      <w:tr w:rsidR="006030D8" w:rsidRPr="00F23E80" w14:paraId="2B0FDCF1" w14:textId="77777777" w:rsidTr="00E26CF8">
        <w:trPr>
          <w:trHeight w:val="290"/>
        </w:trPr>
        <w:tc>
          <w:tcPr>
            <w:tcW w:w="9026" w:type="dxa"/>
            <w:tcBorders>
              <w:top w:val="nil"/>
              <w:left w:val="nil"/>
              <w:bottom w:val="nil"/>
              <w:right w:val="nil"/>
            </w:tcBorders>
            <w:shd w:val="clear" w:color="auto" w:fill="auto"/>
            <w:noWrap/>
            <w:vAlign w:val="bottom"/>
            <w:hideMark/>
          </w:tcPr>
          <w:tbl>
            <w:tblPr>
              <w:tblW w:w="8770" w:type="dxa"/>
              <w:tblLook w:val="04A0" w:firstRow="1" w:lastRow="0" w:firstColumn="1" w:lastColumn="0" w:noHBand="0" w:noVBand="1"/>
            </w:tblPr>
            <w:tblGrid>
              <w:gridCol w:w="2439"/>
              <w:gridCol w:w="2551"/>
              <w:gridCol w:w="1843"/>
              <w:gridCol w:w="1701"/>
              <w:gridCol w:w="236"/>
            </w:tblGrid>
            <w:tr w:rsidR="00857480" w:rsidRPr="006030D8" w14:paraId="7845E61E" w14:textId="77777777" w:rsidTr="00857480">
              <w:trPr>
                <w:trHeight w:val="320"/>
              </w:trPr>
              <w:tc>
                <w:tcPr>
                  <w:tcW w:w="2439" w:type="dxa"/>
                  <w:tcBorders>
                    <w:top w:val="nil"/>
                    <w:left w:val="nil"/>
                    <w:bottom w:val="nil"/>
                    <w:right w:val="nil"/>
                  </w:tcBorders>
                  <w:shd w:val="clear" w:color="auto" w:fill="341462" w:themeFill="accent1" w:themeFillShade="80"/>
                </w:tcPr>
                <w:p w14:paraId="7C325EC9" w14:textId="564E8E73" w:rsidR="00857480" w:rsidRPr="004C51C9" w:rsidRDefault="00857480" w:rsidP="00857480">
                  <w:pPr>
                    <w:rPr>
                      <w:rFonts w:asciiTheme="minorHAnsi" w:eastAsia="Times New Roman" w:hAnsiTheme="minorHAnsi" w:cstheme="minorHAnsi"/>
                      <w:sz w:val="20"/>
                      <w:szCs w:val="20"/>
                    </w:rPr>
                  </w:pPr>
                  <w:r>
                    <w:rPr>
                      <w:rFonts w:asciiTheme="minorHAnsi" w:eastAsia="Times New Roman" w:hAnsiTheme="minorHAnsi" w:cstheme="minorHAnsi"/>
                      <w:color w:val="FFFFFF"/>
                      <w:sz w:val="20"/>
                      <w:szCs w:val="20"/>
                    </w:rPr>
                    <w:t>Remoteness</w:t>
                  </w:r>
                </w:p>
              </w:tc>
              <w:tc>
                <w:tcPr>
                  <w:tcW w:w="2551" w:type="dxa"/>
                  <w:tcBorders>
                    <w:top w:val="nil"/>
                    <w:left w:val="nil"/>
                    <w:bottom w:val="nil"/>
                    <w:right w:val="nil"/>
                  </w:tcBorders>
                  <w:shd w:val="clear" w:color="auto" w:fill="341462" w:themeFill="accent1" w:themeFillShade="80"/>
                </w:tcPr>
                <w:p w14:paraId="336B4B4B" w14:textId="1EBBC552" w:rsidR="00857480" w:rsidRPr="004C51C9" w:rsidRDefault="00857480" w:rsidP="005C34D6">
                  <w:pPr>
                    <w:jc w:val="right"/>
                    <w:rPr>
                      <w:rFonts w:asciiTheme="minorHAnsi" w:eastAsia="Times New Roman" w:hAnsiTheme="minorHAnsi" w:cstheme="minorHAnsi"/>
                      <w:sz w:val="20"/>
                      <w:szCs w:val="20"/>
                    </w:rPr>
                  </w:pPr>
                  <w:r w:rsidRPr="004C51C9">
                    <w:rPr>
                      <w:rFonts w:asciiTheme="minorHAnsi" w:eastAsia="Times New Roman" w:hAnsiTheme="minorHAnsi" w:cstheme="minorHAnsi"/>
                      <w:color w:val="FFFFFF"/>
                      <w:sz w:val="20"/>
                      <w:szCs w:val="20"/>
                    </w:rPr>
                    <w:t>Population (15+)</w:t>
                  </w:r>
                </w:p>
              </w:tc>
              <w:tc>
                <w:tcPr>
                  <w:tcW w:w="1843" w:type="dxa"/>
                  <w:tcBorders>
                    <w:top w:val="nil"/>
                    <w:left w:val="nil"/>
                    <w:bottom w:val="nil"/>
                    <w:right w:val="nil"/>
                  </w:tcBorders>
                  <w:shd w:val="clear" w:color="auto" w:fill="341462" w:themeFill="accent1" w:themeFillShade="80"/>
                </w:tcPr>
                <w:p w14:paraId="363442E8" w14:textId="248D91B7" w:rsidR="00857480" w:rsidRPr="004C51C9" w:rsidRDefault="00857480" w:rsidP="005C34D6">
                  <w:pPr>
                    <w:jc w:val="right"/>
                    <w:rPr>
                      <w:rFonts w:asciiTheme="minorHAnsi" w:eastAsia="Times New Roman" w:hAnsiTheme="minorHAnsi" w:cstheme="minorHAnsi"/>
                      <w:sz w:val="20"/>
                      <w:szCs w:val="20"/>
                    </w:rPr>
                  </w:pPr>
                  <w:r w:rsidRPr="004C51C9">
                    <w:rPr>
                      <w:rFonts w:asciiTheme="minorHAnsi" w:eastAsia="Times New Roman" w:hAnsiTheme="minorHAnsi" w:cstheme="minorHAnsi"/>
                      <w:color w:val="FFFFFF"/>
                      <w:sz w:val="20"/>
                      <w:szCs w:val="20"/>
                    </w:rPr>
                    <w:t>RTO head offices</w:t>
                  </w:r>
                </w:p>
              </w:tc>
              <w:tc>
                <w:tcPr>
                  <w:tcW w:w="1701" w:type="dxa"/>
                  <w:tcBorders>
                    <w:top w:val="nil"/>
                    <w:left w:val="nil"/>
                    <w:bottom w:val="nil"/>
                    <w:right w:val="nil"/>
                  </w:tcBorders>
                  <w:shd w:val="clear" w:color="auto" w:fill="341462" w:themeFill="accent1" w:themeFillShade="80"/>
                </w:tcPr>
                <w:p w14:paraId="0DF77CC6" w14:textId="661BD26D" w:rsidR="00857480" w:rsidRPr="004C51C9" w:rsidRDefault="00857480" w:rsidP="005C34D6">
                  <w:pPr>
                    <w:jc w:val="right"/>
                    <w:rPr>
                      <w:rFonts w:asciiTheme="minorHAnsi" w:eastAsia="Times New Roman" w:hAnsiTheme="minorHAnsi" w:cstheme="minorHAnsi"/>
                      <w:sz w:val="20"/>
                      <w:szCs w:val="20"/>
                    </w:rPr>
                  </w:pPr>
                  <w:r w:rsidRPr="004C51C9">
                    <w:rPr>
                      <w:rFonts w:asciiTheme="minorHAnsi" w:eastAsia="Times New Roman" w:hAnsiTheme="minorHAnsi" w:cstheme="minorHAnsi"/>
                      <w:color w:val="FFFFFF"/>
                      <w:sz w:val="20"/>
                      <w:szCs w:val="20"/>
                    </w:rPr>
                    <w:t>RTO unique locations</w:t>
                  </w:r>
                </w:p>
              </w:tc>
              <w:tc>
                <w:tcPr>
                  <w:tcW w:w="236" w:type="dxa"/>
                  <w:vAlign w:val="center"/>
                </w:tcPr>
                <w:p w14:paraId="6A7A7E23" w14:textId="77777777" w:rsidR="00857480" w:rsidRPr="006030D8" w:rsidRDefault="00857480" w:rsidP="00857480">
                  <w:pPr>
                    <w:rPr>
                      <w:rFonts w:eastAsia="Times New Roman"/>
                      <w:sz w:val="20"/>
                      <w:szCs w:val="20"/>
                    </w:rPr>
                  </w:pPr>
                </w:p>
              </w:tc>
            </w:tr>
            <w:tr w:rsidR="00857480" w:rsidRPr="006030D8" w14:paraId="103B1950" w14:textId="77777777">
              <w:trPr>
                <w:trHeight w:val="320"/>
              </w:trPr>
              <w:tc>
                <w:tcPr>
                  <w:tcW w:w="2439" w:type="dxa"/>
                  <w:tcBorders>
                    <w:top w:val="nil"/>
                    <w:left w:val="nil"/>
                    <w:bottom w:val="nil"/>
                    <w:right w:val="nil"/>
                  </w:tcBorders>
                  <w:shd w:val="clear" w:color="auto" w:fill="auto"/>
                  <w:vAlign w:val="center"/>
                  <w:hideMark/>
                </w:tcPr>
                <w:p w14:paraId="51518427" w14:textId="77777777" w:rsidR="00857480" w:rsidRPr="00E54B8C" w:rsidRDefault="00857480" w:rsidP="00857480">
                  <w:r w:rsidRPr="00E54B8C">
                    <w:t>Major cities of Australia</w:t>
                  </w:r>
                </w:p>
              </w:tc>
              <w:tc>
                <w:tcPr>
                  <w:tcW w:w="2551" w:type="dxa"/>
                  <w:tcBorders>
                    <w:top w:val="nil"/>
                    <w:left w:val="nil"/>
                    <w:bottom w:val="nil"/>
                    <w:right w:val="nil"/>
                  </w:tcBorders>
                  <w:shd w:val="clear" w:color="auto" w:fill="auto"/>
                  <w:vAlign w:val="center"/>
                  <w:hideMark/>
                </w:tcPr>
                <w:p w14:paraId="3F47B811" w14:textId="77777777" w:rsidR="00857480" w:rsidRPr="004C51C9" w:rsidRDefault="00857480" w:rsidP="005C34D6">
                  <w:pPr>
                    <w:jc w:val="right"/>
                  </w:pPr>
                  <w:r w:rsidRPr="004C51C9">
                    <w:t>14,957,400</w:t>
                  </w:r>
                </w:p>
              </w:tc>
              <w:tc>
                <w:tcPr>
                  <w:tcW w:w="1843" w:type="dxa"/>
                  <w:tcBorders>
                    <w:top w:val="nil"/>
                    <w:left w:val="nil"/>
                    <w:bottom w:val="nil"/>
                    <w:right w:val="nil"/>
                  </w:tcBorders>
                  <w:shd w:val="clear" w:color="auto" w:fill="auto"/>
                  <w:vAlign w:val="center"/>
                  <w:hideMark/>
                </w:tcPr>
                <w:p w14:paraId="3D6D2D3B" w14:textId="77777777" w:rsidR="00857480" w:rsidRPr="004C51C9" w:rsidRDefault="00857480" w:rsidP="005C34D6">
                  <w:pPr>
                    <w:jc w:val="right"/>
                  </w:pPr>
                  <w:r w:rsidRPr="004C51C9">
                    <w:t>3,058</w:t>
                  </w:r>
                </w:p>
              </w:tc>
              <w:tc>
                <w:tcPr>
                  <w:tcW w:w="1701" w:type="dxa"/>
                  <w:tcBorders>
                    <w:top w:val="nil"/>
                    <w:left w:val="nil"/>
                    <w:bottom w:val="nil"/>
                    <w:right w:val="nil"/>
                  </w:tcBorders>
                  <w:shd w:val="clear" w:color="auto" w:fill="auto"/>
                  <w:vAlign w:val="center"/>
                  <w:hideMark/>
                </w:tcPr>
                <w:p w14:paraId="206D0E19" w14:textId="77777777" w:rsidR="00857480" w:rsidRPr="004C51C9" w:rsidRDefault="00857480" w:rsidP="005C34D6">
                  <w:pPr>
                    <w:jc w:val="right"/>
                  </w:pPr>
                  <w:r w:rsidRPr="004C51C9">
                    <w:t>8,510</w:t>
                  </w:r>
                </w:p>
              </w:tc>
              <w:tc>
                <w:tcPr>
                  <w:tcW w:w="236" w:type="dxa"/>
                  <w:vAlign w:val="center"/>
                  <w:hideMark/>
                </w:tcPr>
                <w:p w14:paraId="4C486442" w14:textId="77777777" w:rsidR="00857480" w:rsidRPr="006030D8" w:rsidRDefault="00857480" w:rsidP="00857480">
                  <w:pPr>
                    <w:rPr>
                      <w:rFonts w:eastAsia="Times New Roman"/>
                      <w:sz w:val="20"/>
                      <w:szCs w:val="20"/>
                    </w:rPr>
                  </w:pPr>
                </w:p>
              </w:tc>
            </w:tr>
            <w:tr w:rsidR="00857480" w:rsidRPr="006030D8" w14:paraId="1CED6E9B" w14:textId="77777777" w:rsidTr="00857480">
              <w:trPr>
                <w:trHeight w:val="320"/>
              </w:trPr>
              <w:tc>
                <w:tcPr>
                  <w:tcW w:w="2439" w:type="dxa"/>
                  <w:tcBorders>
                    <w:top w:val="nil"/>
                    <w:left w:val="nil"/>
                    <w:bottom w:val="nil"/>
                    <w:right w:val="nil"/>
                  </w:tcBorders>
                  <w:shd w:val="clear" w:color="000000" w:fill="E6E6E6"/>
                  <w:vAlign w:val="center"/>
                  <w:hideMark/>
                </w:tcPr>
                <w:p w14:paraId="4646C3AA" w14:textId="77777777" w:rsidR="00857480" w:rsidRPr="00E54B8C" w:rsidRDefault="00857480" w:rsidP="00857480">
                  <w:r w:rsidRPr="00E54B8C">
                    <w:t xml:space="preserve">Inner Regional </w:t>
                  </w:r>
                </w:p>
              </w:tc>
              <w:tc>
                <w:tcPr>
                  <w:tcW w:w="2551" w:type="dxa"/>
                  <w:tcBorders>
                    <w:top w:val="nil"/>
                    <w:left w:val="nil"/>
                    <w:bottom w:val="nil"/>
                    <w:right w:val="nil"/>
                  </w:tcBorders>
                  <w:shd w:val="clear" w:color="000000" w:fill="E6E6E6"/>
                  <w:vAlign w:val="center"/>
                  <w:hideMark/>
                </w:tcPr>
                <w:p w14:paraId="23CD340A" w14:textId="77777777" w:rsidR="00857480" w:rsidRPr="004C51C9" w:rsidRDefault="00857480" w:rsidP="005C34D6">
                  <w:pPr>
                    <w:jc w:val="right"/>
                  </w:pPr>
                  <w:r w:rsidRPr="004C51C9">
                    <w:t>3,727,300</w:t>
                  </w:r>
                </w:p>
              </w:tc>
              <w:tc>
                <w:tcPr>
                  <w:tcW w:w="1843" w:type="dxa"/>
                  <w:tcBorders>
                    <w:top w:val="nil"/>
                    <w:left w:val="nil"/>
                    <w:bottom w:val="nil"/>
                    <w:right w:val="nil"/>
                  </w:tcBorders>
                  <w:shd w:val="clear" w:color="000000" w:fill="E6E6E6"/>
                  <w:vAlign w:val="center"/>
                  <w:hideMark/>
                </w:tcPr>
                <w:p w14:paraId="125230F6" w14:textId="77777777" w:rsidR="00857480" w:rsidRPr="004C51C9" w:rsidRDefault="00857480" w:rsidP="005C34D6">
                  <w:pPr>
                    <w:jc w:val="right"/>
                  </w:pPr>
                  <w:r w:rsidRPr="004C51C9">
                    <w:t>380</w:t>
                  </w:r>
                </w:p>
              </w:tc>
              <w:tc>
                <w:tcPr>
                  <w:tcW w:w="1701" w:type="dxa"/>
                  <w:tcBorders>
                    <w:top w:val="nil"/>
                    <w:left w:val="nil"/>
                    <w:bottom w:val="nil"/>
                    <w:right w:val="nil"/>
                  </w:tcBorders>
                  <w:shd w:val="clear" w:color="000000" w:fill="E6E6E6"/>
                  <w:vAlign w:val="center"/>
                  <w:hideMark/>
                </w:tcPr>
                <w:p w14:paraId="762D1239" w14:textId="77777777" w:rsidR="00857480" w:rsidRPr="004C51C9" w:rsidRDefault="00857480" w:rsidP="005C34D6">
                  <w:pPr>
                    <w:jc w:val="right"/>
                  </w:pPr>
                  <w:r w:rsidRPr="004C51C9">
                    <w:t>1,815</w:t>
                  </w:r>
                </w:p>
              </w:tc>
              <w:tc>
                <w:tcPr>
                  <w:tcW w:w="236" w:type="dxa"/>
                  <w:vAlign w:val="center"/>
                  <w:hideMark/>
                </w:tcPr>
                <w:p w14:paraId="21C1A541" w14:textId="77777777" w:rsidR="00857480" w:rsidRPr="006030D8" w:rsidRDefault="00857480" w:rsidP="00857480">
                  <w:pPr>
                    <w:rPr>
                      <w:rFonts w:eastAsia="Times New Roman"/>
                      <w:sz w:val="20"/>
                      <w:szCs w:val="20"/>
                    </w:rPr>
                  </w:pPr>
                </w:p>
              </w:tc>
            </w:tr>
            <w:tr w:rsidR="00857480" w:rsidRPr="006030D8" w14:paraId="08F4F43C" w14:textId="77777777" w:rsidTr="00857480">
              <w:trPr>
                <w:trHeight w:val="320"/>
              </w:trPr>
              <w:tc>
                <w:tcPr>
                  <w:tcW w:w="2439" w:type="dxa"/>
                  <w:tcBorders>
                    <w:top w:val="nil"/>
                    <w:left w:val="nil"/>
                    <w:bottom w:val="nil"/>
                    <w:right w:val="nil"/>
                  </w:tcBorders>
                  <w:shd w:val="clear" w:color="auto" w:fill="auto"/>
                  <w:vAlign w:val="center"/>
                  <w:hideMark/>
                </w:tcPr>
                <w:p w14:paraId="5BB8E86E" w14:textId="77777777" w:rsidR="00857480" w:rsidRPr="00E54B8C" w:rsidRDefault="00857480" w:rsidP="00857480">
                  <w:r w:rsidRPr="00E54B8C">
                    <w:t>Outer Regional</w:t>
                  </w:r>
                </w:p>
              </w:tc>
              <w:tc>
                <w:tcPr>
                  <w:tcW w:w="2551" w:type="dxa"/>
                  <w:tcBorders>
                    <w:top w:val="nil"/>
                    <w:left w:val="nil"/>
                    <w:bottom w:val="nil"/>
                    <w:right w:val="nil"/>
                  </w:tcBorders>
                  <w:shd w:val="clear" w:color="auto" w:fill="auto"/>
                  <w:vAlign w:val="center"/>
                  <w:hideMark/>
                </w:tcPr>
                <w:p w14:paraId="5FB99FAC" w14:textId="77777777" w:rsidR="00857480" w:rsidRPr="004C51C9" w:rsidRDefault="00857480" w:rsidP="005C34D6">
                  <w:pPr>
                    <w:jc w:val="right"/>
                  </w:pPr>
                  <w:r w:rsidRPr="004C51C9">
                    <w:t>1,680,100</w:t>
                  </w:r>
                </w:p>
              </w:tc>
              <w:tc>
                <w:tcPr>
                  <w:tcW w:w="1843" w:type="dxa"/>
                  <w:tcBorders>
                    <w:top w:val="nil"/>
                    <w:left w:val="nil"/>
                    <w:bottom w:val="nil"/>
                    <w:right w:val="nil"/>
                  </w:tcBorders>
                  <w:shd w:val="clear" w:color="auto" w:fill="auto"/>
                  <w:vAlign w:val="center"/>
                  <w:hideMark/>
                </w:tcPr>
                <w:p w14:paraId="6F2F6FE9" w14:textId="77777777" w:rsidR="00857480" w:rsidRPr="004C51C9" w:rsidRDefault="00857480" w:rsidP="005C34D6">
                  <w:pPr>
                    <w:jc w:val="right"/>
                  </w:pPr>
                  <w:r w:rsidRPr="004C51C9">
                    <w:t>175</w:t>
                  </w:r>
                </w:p>
              </w:tc>
              <w:tc>
                <w:tcPr>
                  <w:tcW w:w="1701" w:type="dxa"/>
                  <w:tcBorders>
                    <w:top w:val="nil"/>
                    <w:left w:val="nil"/>
                    <w:bottom w:val="nil"/>
                    <w:right w:val="nil"/>
                  </w:tcBorders>
                  <w:shd w:val="clear" w:color="auto" w:fill="auto"/>
                  <w:vAlign w:val="center"/>
                  <w:hideMark/>
                </w:tcPr>
                <w:p w14:paraId="09E5231A" w14:textId="77777777" w:rsidR="00857480" w:rsidRPr="004C51C9" w:rsidRDefault="00857480" w:rsidP="005C34D6">
                  <w:pPr>
                    <w:jc w:val="right"/>
                  </w:pPr>
                  <w:r w:rsidRPr="004C51C9">
                    <w:t>947</w:t>
                  </w:r>
                </w:p>
              </w:tc>
              <w:tc>
                <w:tcPr>
                  <w:tcW w:w="236" w:type="dxa"/>
                  <w:vAlign w:val="center"/>
                  <w:hideMark/>
                </w:tcPr>
                <w:p w14:paraId="73366606" w14:textId="77777777" w:rsidR="00857480" w:rsidRPr="006030D8" w:rsidRDefault="00857480" w:rsidP="00857480">
                  <w:pPr>
                    <w:rPr>
                      <w:rFonts w:eastAsia="Times New Roman"/>
                      <w:sz w:val="20"/>
                      <w:szCs w:val="20"/>
                    </w:rPr>
                  </w:pPr>
                </w:p>
              </w:tc>
            </w:tr>
            <w:tr w:rsidR="00857480" w:rsidRPr="006030D8" w14:paraId="7567DDC0" w14:textId="77777777" w:rsidTr="00857480">
              <w:trPr>
                <w:trHeight w:val="320"/>
              </w:trPr>
              <w:tc>
                <w:tcPr>
                  <w:tcW w:w="2439" w:type="dxa"/>
                  <w:tcBorders>
                    <w:top w:val="nil"/>
                    <w:left w:val="nil"/>
                    <w:bottom w:val="nil"/>
                    <w:right w:val="nil"/>
                  </w:tcBorders>
                  <w:shd w:val="clear" w:color="000000" w:fill="E6E6E6"/>
                  <w:vAlign w:val="center"/>
                  <w:hideMark/>
                </w:tcPr>
                <w:p w14:paraId="384A659C" w14:textId="77777777" w:rsidR="00857480" w:rsidRPr="00E54B8C" w:rsidRDefault="00857480" w:rsidP="00857480">
                  <w:r w:rsidRPr="00E54B8C">
                    <w:t xml:space="preserve">Remote </w:t>
                  </w:r>
                </w:p>
              </w:tc>
              <w:tc>
                <w:tcPr>
                  <w:tcW w:w="2551" w:type="dxa"/>
                  <w:tcBorders>
                    <w:top w:val="nil"/>
                    <w:left w:val="nil"/>
                    <w:bottom w:val="nil"/>
                    <w:right w:val="nil"/>
                  </w:tcBorders>
                  <w:shd w:val="clear" w:color="000000" w:fill="E6E6E6"/>
                  <w:vAlign w:val="center"/>
                  <w:hideMark/>
                </w:tcPr>
                <w:p w14:paraId="1928D3E9" w14:textId="77777777" w:rsidR="00857480" w:rsidRPr="004C51C9" w:rsidRDefault="00857480" w:rsidP="005C34D6">
                  <w:pPr>
                    <w:jc w:val="right"/>
                  </w:pPr>
                  <w:r w:rsidRPr="004C51C9">
                    <w:t>228,900</w:t>
                  </w:r>
                </w:p>
              </w:tc>
              <w:tc>
                <w:tcPr>
                  <w:tcW w:w="1843" w:type="dxa"/>
                  <w:tcBorders>
                    <w:top w:val="nil"/>
                    <w:left w:val="nil"/>
                    <w:bottom w:val="nil"/>
                    <w:right w:val="nil"/>
                  </w:tcBorders>
                  <w:shd w:val="clear" w:color="000000" w:fill="E6E6E6"/>
                  <w:vAlign w:val="center"/>
                  <w:hideMark/>
                </w:tcPr>
                <w:p w14:paraId="4E565B00" w14:textId="77777777" w:rsidR="00857480" w:rsidRPr="004C51C9" w:rsidRDefault="00857480" w:rsidP="005C34D6">
                  <w:pPr>
                    <w:jc w:val="right"/>
                  </w:pPr>
                  <w:r w:rsidRPr="004C51C9">
                    <w:t>22</w:t>
                  </w:r>
                </w:p>
              </w:tc>
              <w:tc>
                <w:tcPr>
                  <w:tcW w:w="1701" w:type="dxa"/>
                  <w:tcBorders>
                    <w:top w:val="nil"/>
                    <w:left w:val="nil"/>
                    <w:bottom w:val="nil"/>
                    <w:right w:val="nil"/>
                  </w:tcBorders>
                  <w:shd w:val="clear" w:color="000000" w:fill="E6E6E6"/>
                  <w:vAlign w:val="center"/>
                  <w:hideMark/>
                </w:tcPr>
                <w:p w14:paraId="61EDE22B" w14:textId="77777777" w:rsidR="00857480" w:rsidRPr="004C51C9" w:rsidRDefault="00857480" w:rsidP="005C34D6">
                  <w:pPr>
                    <w:jc w:val="right"/>
                  </w:pPr>
                  <w:r w:rsidRPr="004C51C9">
                    <w:t>144</w:t>
                  </w:r>
                </w:p>
              </w:tc>
              <w:tc>
                <w:tcPr>
                  <w:tcW w:w="236" w:type="dxa"/>
                  <w:vAlign w:val="center"/>
                  <w:hideMark/>
                </w:tcPr>
                <w:p w14:paraId="73754869" w14:textId="77777777" w:rsidR="00857480" w:rsidRPr="006030D8" w:rsidRDefault="00857480" w:rsidP="00857480">
                  <w:pPr>
                    <w:rPr>
                      <w:rFonts w:eastAsia="Times New Roman"/>
                      <w:sz w:val="20"/>
                      <w:szCs w:val="20"/>
                    </w:rPr>
                  </w:pPr>
                </w:p>
              </w:tc>
            </w:tr>
            <w:tr w:rsidR="00857480" w:rsidRPr="006030D8" w14:paraId="6364074B" w14:textId="77777777" w:rsidTr="00857480">
              <w:trPr>
                <w:trHeight w:val="320"/>
              </w:trPr>
              <w:tc>
                <w:tcPr>
                  <w:tcW w:w="2439" w:type="dxa"/>
                  <w:tcBorders>
                    <w:top w:val="nil"/>
                    <w:left w:val="nil"/>
                    <w:bottom w:val="nil"/>
                    <w:right w:val="nil"/>
                  </w:tcBorders>
                  <w:shd w:val="clear" w:color="auto" w:fill="auto"/>
                  <w:vAlign w:val="center"/>
                  <w:hideMark/>
                </w:tcPr>
                <w:p w14:paraId="2CB30776" w14:textId="77777777" w:rsidR="00857480" w:rsidRPr="00E54B8C" w:rsidRDefault="00857480" w:rsidP="00857480">
                  <w:r w:rsidRPr="00E54B8C">
                    <w:t>Very Remote</w:t>
                  </w:r>
                </w:p>
              </w:tc>
              <w:tc>
                <w:tcPr>
                  <w:tcW w:w="2551" w:type="dxa"/>
                  <w:tcBorders>
                    <w:top w:val="nil"/>
                    <w:left w:val="nil"/>
                    <w:bottom w:val="nil"/>
                    <w:right w:val="nil"/>
                  </w:tcBorders>
                  <w:shd w:val="clear" w:color="auto" w:fill="auto"/>
                  <w:vAlign w:val="center"/>
                  <w:hideMark/>
                </w:tcPr>
                <w:p w14:paraId="6B320551" w14:textId="77777777" w:rsidR="00857480" w:rsidRPr="004C51C9" w:rsidRDefault="00857480" w:rsidP="005C34D6">
                  <w:pPr>
                    <w:jc w:val="right"/>
                  </w:pPr>
                  <w:r w:rsidRPr="004C51C9">
                    <w:t>143,800</w:t>
                  </w:r>
                </w:p>
              </w:tc>
              <w:tc>
                <w:tcPr>
                  <w:tcW w:w="1843" w:type="dxa"/>
                  <w:tcBorders>
                    <w:top w:val="nil"/>
                    <w:left w:val="nil"/>
                    <w:bottom w:val="nil"/>
                    <w:right w:val="nil"/>
                  </w:tcBorders>
                  <w:shd w:val="clear" w:color="auto" w:fill="auto"/>
                  <w:vAlign w:val="center"/>
                  <w:hideMark/>
                </w:tcPr>
                <w:p w14:paraId="7902F141" w14:textId="77777777" w:rsidR="00857480" w:rsidRPr="004C51C9" w:rsidRDefault="00857480" w:rsidP="005C34D6">
                  <w:pPr>
                    <w:jc w:val="right"/>
                  </w:pPr>
                  <w:r w:rsidRPr="004C51C9">
                    <w:t>2</w:t>
                  </w:r>
                </w:p>
              </w:tc>
              <w:tc>
                <w:tcPr>
                  <w:tcW w:w="1701" w:type="dxa"/>
                  <w:tcBorders>
                    <w:top w:val="nil"/>
                    <w:left w:val="nil"/>
                    <w:bottom w:val="nil"/>
                    <w:right w:val="nil"/>
                  </w:tcBorders>
                  <w:shd w:val="clear" w:color="auto" w:fill="auto"/>
                  <w:vAlign w:val="center"/>
                  <w:hideMark/>
                </w:tcPr>
                <w:p w14:paraId="00EE3C22" w14:textId="77777777" w:rsidR="00857480" w:rsidRPr="004C51C9" w:rsidRDefault="00857480" w:rsidP="005C34D6">
                  <w:pPr>
                    <w:jc w:val="right"/>
                  </w:pPr>
                  <w:r w:rsidRPr="004C51C9">
                    <w:t>106</w:t>
                  </w:r>
                </w:p>
              </w:tc>
              <w:tc>
                <w:tcPr>
                  <w:tcW w:w="236" w:type="dxa"/>
                  <w:vAlign w:val="center"/>
                  <w:hideMark/>
                </w:tcPr>
                <w:p w14:paraId="77326545" w14:textId="77777777" w:rsidR="00857480" w:rsidRPr="006030D8" w:rsidRDefault="00857480" w:rsidP="00857480">
                  <w:pPr>
                    <w:rPr>
                      <w:rFonts w:eastAsia="Times New Roman"/>
                      <w:sz w:val="20"/>
                      <w:szCs w:val="20"/>
                    </w:rPr>
                  </w:pPr>
                </w:p>
              </w:tc>
            </w:tr>
            <w:tr w:rsidR="00857480" w:rsidRPr="006030D8" w14:paraId="358FDE60" w14:textId="77777777" w:rsidTr="00857480">
              <w:trPr>
                <w:trHeight w:val="320"/>
              </w:trPr>
              <w:tc>
                <w:tcPr>
                  <w:tcW w:w="2439" w:type="dxa"/>
                  <w:tcBorders>
                    <w:top w:val="nil"/>
                    <w:left w:val="nil"/>
                    <w:bottom w:val="single" w:sz="4" w:space="0" w:color="000000"/>
                    <w:right w:val="nil"/>
                  </w:tcBorders>
                  <w:shd w:val="clear" w:color="000000" w:fill="E6E6E6"/>
                  <w:vAlign w:val="center"/>
                  <w:hideMark/>
                </w:tcPr>
                <w:p w14:paraId="0F78B293" w14:textId="77777777" w:rsidR="00857480" w:rsidRPr="00E54B8C" w:rsidRDefault="00857480" w:rsidP="00857480">
                  <w:r w:rsidRPr="00E54B8C">
                    <w:t>Australia</w:t>
                  </w:r>
                </w:p>
              </w:tc>
              <w:tc>
                <w:tcPr>
                  <w:tcW w:w="2551" w:type="dxa"/>
                  <w:tcBorders>
                    <w:top w:val="nil"/>
                    <w:left w:val="nil"/>
                    <w:bottom w:val="single" w:sz="4" w:space="0" w:color="000000"/>
                    <w:right w:val="nil"/>
                  </w:tcBorders>
                  <w:shd w:val="clear" w:color="000000" w:fill="E6E6E6"/>
                  <w:vAlign w:val="center"/>
                  <w:hideMark/>
                </w:tcPr>
                <w:p w14:paraId="24675B37" w14:textId="77777777" w:rsidR="00857480" w:rsidRPr="004C51C9" w:rsidRDefault="00857480" w:rsidP="005C34D6">
                  <w:pPr>
                    <w:jc w:val="right"/>
                  </w:pPr>
                  <w:r w:rsidRPr="004C51C9">
                    <w:t>20,737,500</w:t>
                  </w:r>
                </w:p>
              </w:tc>
              <w:tc>
                <w:tcPr>
                  <w:tcW w:w="1843" w:type="dxa"/>
                  <w:tcBorders>
                    <w:top w:val="nil"/>
                    <w:left w:val="nil"/>
                    <w:bottom w:val="single" w:sz="4" w:space="0" w:color="000000"/>
                    <w:right w:val="nil"/>
                  </w:tcBorders>
                  <w:shd w:val="clear" w:color="000000" w:fill="E6E6E6"/>
                  <w:vAlign w:val="center"/>
                  <w:hideMark/>
                </w:tcPr>
                <w:p w14:paraId="2C230E18" w14:textId="77777777" w:rsidR="00857480" w:rsidRPr="004C51C9" w:rsidRDefault="00857480" w:rsidP="005C34D6">
                  <w:pPr>
                    <w:jc w:val="right"/>
                  </w:pPr>
                  <w:r w:rsidRPr="004C51C9">
                    <w:t>3,637</w:t>
                  </w:r>
                </w:p>
              </w:tc>
              <w:tc>
                <w:tcPr>
                  <w:tcW w:w="1701" w:type="dxa"/>
                  <w:tcBorders>
                    <w:top w:val="nil"/>
                    <w:left w:val="nil"/>
                    <w:bottom w:val="single" w:sz="4" w:space="0" w:color="000000"/>
                    <w:right w:val="nil"/>
                  </w:tcBorders>
                  <w:shd w:val="clear" w:color="000000" w:fill="E6E6E6"/>
                  <w:vAlign w:val="center"/>
                  <w:hideMark/>
                </w:tcPr>
                <w:p w14:paraId="57E082A3" w14:textId="77777777" w:rsidR="00857480" w:rsidRPr="004C51C9" w:rsidRDefault="00857480" w:rsidP="005C34D6">
                  <w:pPr>
                    <w:jc w:val="right"/>
                  </w:pPr>
                  <w:r w:rsidRPr="004C51C9">
                    <w:t>11,522</w:t>
                  </w:r>
                </w:p>
              </w:tc>
              <w:tc>
                <w:tcPr>
                  <w:tcW w:w="236" w:type="dxa"/>
                  <w:vAlign w:val="center"/>
                  <w:hideMark/>
                </w:tcPr>
                <w:p w14:paraId="3FE7AACA" w14:textId="77777777" w:rsidR="00857480" w:rsidRPr="006030D8" w:rsidRDefault="00857480" w:rsidP="00857480">
                  <w:pPr>
                    <w:rPr>
                      <w:rFonts w:eastAsia="Times New Roman"/>
                      <w:sz w:val="20"/>
                      <w:szCs w:val="20"/>
                    </w:rPr>
                  </w:pPr>
                </w:p>
              </w:tc>
            </w:tr>
          </w:tbl>
          <w:p w14:paraId="0FCF8E84" w14:textId="77777777" w:rsidR="006030D8" w:rsidRPr="00F23E80" w:rsidRDefault="006030D8" w:rsidP="00F23E80">
            <w:pPr>
              <w:rPr>
                <w:rFonts w:ascii="Aptos" w:eastAsia="Times New Roman" w:hAnsi="Aptos"/>
                <w:color w:val="FFFFFF"/>
              </w:rPr>
            </w:pPr>
          </w:p>
        </w:tc>
      </w:tr>
    </w:tbl>
    <w:p w14:paraId="7641F5E0" w14:textId="5F44B9BE" w:rsidR="008B2CA1" w:rsidRPr="00DE39B8" w:rsidRDefault="001D2978" w:rsidP="00DE39B8">
      <w:pPr>
        <w:pStyle w:val="Source"/>
        <w:rPr>
          <w:rFonts w:asciiTheme="minorHAnsi" w:hAnsiTheme="minorHAnsi" w:cstheme="minorHAnsi"/>
          <w:iCs/>
        </w:rPr>
      </w:pPr>
      <w:r w:rsidRPr="00DE39B8">
        <w:rPr>
          <w:rFonts w:asciiTheme="minorHAnsi" w:eastAsia="Arial" w:hAnsiTheme="minorHAnsi" w:cstheme="minorHAnsi"/>
          <w:iCs/>
        </w:rPr>
        <w:t xml:space="preserve">Sources </w:t>
      </w:r>
      <w:r w:rsidR="00CE440D" w:rsidRPr="00DE39B8">
        <w:rPr>
          <w:rFonts w:asciiTheme="minorHAnsi" w:eastAsia="Arial" w:hAnsiTheme="minorHAnsi" w:cstheme="minorHAnsi"/>
          <w:iCs/>
        </w:rPr>
        <w:t>ABS</w:t>
      </w:r>
      <w:r w:rsidR="00257C05" w:rsidRPr="00DE39B8">
        <w:rPr>
          <w:rFonts w:asciiTheme="minorHAnsi" w:eastAsia="Arial" w:hAnsiTheme="minorHAnsi" w:cstheme="minorHAnsi"/>
          <w:iCs/>
        </w:rPr>
        <w:t>,</w:t>
      </w:r>
      <w:r w:rsidR="5F3D3436" w:rsidRPr="00DE39B8">
        <w:rPr>
          <w:rFonts w:asciiTheme="minorHAnsi" w:eastAsia="Arial" w:hAnsiTheme="minorHAnsi" w:cstheme="minorHAnsi"/>
          <w:iCs/>
        </w:rPr>
        <w:t xml:space="preserve"> </w:t>
      </w:r>
      <w:r w:rsidR="5F3D3436" w:rsidRPr="00DE39B8">
        <w:rPr>
          <w:rFonts w:asciiTheme="minorHAnsi" w:eastAsia="Arial" w:hAnsiTheme="minorHAnsi" w:cstheme="minorHAnsi"/>
          <w:i/>
        </w:rPr>
        <w:t>Census of Population and Housing</w:t>
      </w:r>
      <w:r w:rsidR="5F3D3436" w:rsidRPr="00DE39B8">
        <w:rPr>
          <w:rFonts w:asciiTheme="minorHAnsi" w:eastAsia="Arial" w:hAnsiTheme="minorHAnsi" w:cstheme="minorHAnsi"/>
          <w:iCs/>
        </w:rPr>
        <w:t>, 2021, TableBuilder</w:t>
      </w:r>
      <w:r w:rsidR="003959EF" w:rsidRPr="00DE39B8">
        <w:rPr>
          <w:rFonts w:asciiTheme="minorHAnsi" w:eastAsia="Arial" w:hAnsiTheme="minorHAnsi" w:cstheme="minorHAnsi"/>
          <w:iCs/>
        </w:rPr>
        <w:t xml:space="preserve">, rounded to </w:t>
      </w:r>
      <w:r w:rsidR="00C22081" w:rsidRPr="00DE39B8">
        <w:rPr>
          <w:rFonts w:asciiTheme="minorHAnsi" w:eastAsia="Arial" w:hAnsiTheme="minorHAnsi" w:cstheme="minorHAnsi"/>
          <w:iCs/>
        </w:rPr>
        <w:t>nearest</w:t>
      </w:r>
      <w:r w:rsidR="003959EF" w:rsidRPr="00DE39B8">
        <w:rPr>
          <w:rFonts w:asciiTheme="minorHAnsi" w:eastAsia="Arial" w:hAnsiTheme="minorHAnsi" w:cstheme="minorHAnsi"/>
          <w:iCs/>
        </w:rPr>
        <w:t xml:space="preserve"> 100</w:t>
      </w:r>
      <w:r w:rsidR="00A227E8" w:rsidRPr="00DE39B8">
        <w:rPr>
          <w:rFonts w:asciiTheme="minorHAnsi" w:eastAsia="Arial" w:hAnsiTheme="minorHAnsi" w:cstheme="minorHAnsi"/>
          <w:iCs/>
        </w:rPr>
        <w:t xml:space="preserve">; </w:t>
      </w:r>
      <w:r w:rsidR="00C56026" w:rsidRPr="00DE39B8">
        <w:rPr>
          <w:rFonts w:asciiTheme="minorHAnsi" w:hAnsiTheme="minorHAnsi" w:cstheme="minorHAnsi"/>
          <w:kern w:val="2"/>
          <w14:ligatures w14:val="standardContextual"/>
        </w:rPr>
        <w:t xml:space="preserve">National Careers Institute, </w:t>
      </w:r>
      <w:hyperlink r:id="rId119" w:history="1">
        <w:r w:rsidR="00C56026" w:rsidRPr="00DE39B8">
          <w:rPr>
            <w:rStyle w:val="Hyperlink"/>
            <w:rFonts w:asciiTheme="minorHAnsi" w:hAnsiTheme="minorHAnsi" w:cstheme="minorHAnsi"/>
            <w:kern w:val="2"/>
            <w14:ligatures w14:val="standardContextual"/>
          </w:rPr>
          <w:t>RTO Locations Report – National Register of VET</w:t>
        </w:r>
      </w:hyperlink>
      <w:r w:rsidR="00C56026" w:rsidRPr="00DE39B8">
        <w:rPr>
          <w:rFonts w:asciiTheme="minorHAnsi" w:hAnsiTheme="minorHAnsi" w:cstheme="minorHAnsi"/>
          <w:kern w:val="2"/>
          <w14:ligatures w14:val="standardContextual"/>
        </w:rPr>
        <w:t xml:space="preserve"> data </w:t>
      </w:r>
      <w:r w:rsidR="00086A38" w:rsidRPr="00DE39B8">
        <w:rPr>
          <w:rFonts w:asciiTheme="minorHAnsi" w:hAnsiTheme="minorHAnsi" w:cstheme="minorHAnsi"/>
          <w:kern w:val="2"/>
          <w14:ligatures w14:val="standardContextual"/>
        </w:rPr>
        <w:t xml:space="preserve">as </w:t>
      </w:r>
      <w:r w:rsidR="00C56026" w:rsidRPr="00DE39B8">
        <w:rPr>
          <w:rFonts w:asciiTheme="minorHAnsi" w:hAnsiTheme="minorHAnsi" w:cstheme="minorHAnsi"/>
          <w:kern w:val="2"/>
          <w14:ligatures w14:val="standardContextual"/>
        </w:rPr>
        <w:t>at 1 August 2024</w:t>
      </w:r>
      <w:r w:rsidR="00A95374" w:rsidRPr="00DE39B8">
        <w:rPr>
          <w:rFonts w:asciiTheme="minorHAnsi" w:hAnsiTheme="minorHAnsi" w:cstheme="minorHAnsi"/>
          <w:kern w:val="2"/>
          <w14:ligatures w14:val="standardContextual"/>
        </w:rPr>
        <w:t>.</w:t>
      </w:r>
      <w:r w:rsidR="008B2CA1" w:rsidRPr="00DE39B8">
        <w:rPr>
          <w:rFonts w:asciiTheme="minorHAnsi" w:hAnsiTheme="minorHAnsi" w:cstheme="minorHAnsi"/>
          <w:iCs/>
        </w:rPr>
        <w:t xml:space="preserve"> </w:t>
      </w:r>
    </w:p>
    <w:p w14:paraId="419E27AA" w14:textId="055E6A6C" w:rsidR="0057453D" w:rsidRPr="00DE39B8" w:rsidRDefault="0057453D" w:rsidP="00DE39B8">
      <w:pPr>
        <w:pStyle w:val="Source"/>
        <w:rPr>
          <w:rFonts w:asciiTheme="minorHAnsi" w:hAnsiTheme="minorHAnsi" w:cstheme="minorHAnsi"/>
          <w:iCs/>
        </w:rPr>
      </w:pPr>
      <w:r w:rsidRPr="00DE39B8">
        <w:rPr>
          <w:rFonts w:asciiTheme="minorHAnsi" w:hAnsiTheme="minorHAnsi" w:cstheme="minorHAnsi"/>
          <w:iCs/>
        </w:rPr>
        <w:t xml:space="preserve">* Excludes </w:t>
      </w:r>
      <w:r w:rsidR="002A05CE" w:rsidRPr="00DE39B8">
        <w:rPr>
          <w:rFonts w:asciiTheme="minorHAnsi" w:hAnsiTheme="minorHAnsi" w:cstheme="minorHAnsi"/>
          <w:iCs/>
        </w:rPr>
        <w:t>school and university RTO</w:t>
      </w:r>
      <w:r w:rsidR="00E26CF8" w:rsidRPr="00DE39B8">
        <w:rPr>
          <w:rFonts w:asciiTheme="minorHAnsi" w:hAnsiTheme="minorHAnsi" w:cstheme="minorHAnsi"/>
          <w:iCs/>
        </w:rPr>
        <w:t>s</w:t>
      </w:r>
      <w:r w:rsidR="009D7C3C" w:rsidRPr="00DE39B8">
        <w:rPr>
          <w:rFonts w:asciiTheme="minorHAnsi" w:hAnsiTheme="minorHAnsi" w:cstheme="minorHAnsi"/>
          <w:iCs/>
        </w:rPr>
        <w:t>.</w:t>
      </w:r>
    </w:p>
    <w:p w14:paraId="6F9E2288" w14:textId="14F5BE13" w:rsidR="00A95374" w:rsidRPr="00DE39B8" w:rsidRDefault="00847082" w:rsidP="00DE39B8">
      <w:pPr>
        <w:pStyle w:val="Source"/>
        <w:rPr>
          <w:rFonts w:asciiTheme="minorHAnsi" w:hAnsiTheme="minorHAnsi" w:cstheme="minorHAnsi"/>
          <w:iCs/>
        </w:rPr>
      </w:pPr>
      <w:r w:rsidRPr="00DE39B8">
        <w:rPr>
          <w:rFonts w:asciiTheme="minorHAnsi" w:hAnsiTheme="minorHAnsi" w:cstheme="minorHAnsi"/>
          <w:iCs/>
        </w:rPr>
        <w:t xml:space="preserve">Note: </w:t>
      </w:r>
      <w:r w:rsidR="00D05F33" w:rsidRPr="00DE39B8">
        <w:rPr>
          <w:rFonts w:asciiTheme="minorHAnsi" w:hAnsiTheme="minorHAnsi" w:cstheme="minorHAnsi"/>
          <w:iCs/>
        </w:rPr>
        <w:t>RTO l</w:t>
      </w:r>
      <w:r w:rsidR="00F97FAE" w:rsidRPr="00DE39B8">
        <w:rPr>
          <w:rFonts w:asciiTheme="minorHAnsi" w:hAnsiTheme="minorHAnsi" w:cstheme="minorHAnsi"/>
          <w:iCs/>
        </w:rPr>
        <w:t xml:space="preserve">ocation </w:t>
      </w:r>
      <w:r w:rsidR="00D05F33" w:rsidRPr="00DE39B8">
        <w:rPr>
          <w:rFonts w:asciiTheme="minorHAnsi" w:hAnsiTheme="minorHAnsi" w:cstheme="minorHAnsi"/>
          <w:iCs/>
        </w:rPr>
        <w:t xml:space="preserve">data </w:t>
      </w:r>
      <w:r w:rsidR="00F97FAE" w:rsidRPr="00DE39B8">
        <w:rPr>
          <w:rFonts w:asciiTheme="minorHAnsi" w:hAnsiTheme="minorHAnsi" w:cstheme="minorHAnsi"/>
          <w:iCs/>
        </w:rPr>
        <w:t>may be incomplete as s</w:t>
      </w:r>
      <w:r w:rsidR="006726D3" w:rsidRPr="00DE39B8">
        <w:rPr>
          <w:rFonts w:asciiTheme="minorHAnsi" w:hAnsiTheme="minorHAnsi" w:cstheme="minorHAnsi"/>
          <w:iCs/>
        </w:rPr>
        <w:t xml:space="preserve">ome </w:t>
      </w:r>
      <w:r w:rsidR="00F97FAE" w:rsidRPr="00DE39B8">
        <w:rPr>
          <w:rFonts w:asciiTheme="minorHAnsi" w:hAnsiTheme="minorHAnsi" w:cstheme="minorHAnsi"/>
          <w:iCs/>
        </w:rPr>
        <w:t>VET regulators</w:t>
      </w:r>
      <w:r w:rsidR="00D31B8B" w:rsidRPr="00DE39B8">
        <w:rPr>
          <w:rFonts w:asciiTheme="minorHAnsi" w:hAnsiTheme="minorHAnsi" w:cstheme="minorHAnsi"/>
          <w:iCs/>
        </w:rPr>
        <w:t xml:space="preserve"> </w:t>
      </w:r>
      <w:r w:rsidR="00D05F33" w:rsidRPr="00DE39B8">
        <w:rPr>
          <w:rFonts w:asciiTheme="minorHAnsi" w:hAnsiTheme="minorHAnsi" w:cstheme="minorHAnsi"/>
          <w:iCs/>
        </w:rPr>
        <w:t>supply</w:t>
      </w:r>
      <w:r w:rsidR="00D31B8B" w:rsidRPr="00DE39B8">
        <w:rPr>
          <w:rFonts w:asciiTheme="minorHAnsi" w:hAnsiTheme="minorHAnsi" w:cstheme="minorHAnsi"/>
          <w:iCs/>
        </w:rPr>
        <w:t xml:space="preserve"> </w:t>
      </w:r>
      <w:r w:rsidR="00D05F33" w:rsidRPr="00DE39B8">
        <w:rPr>
          <w:rFonts w:asciiTheme="minorHAnsi" w:hAnsiTheme="minorHAnsi" w:cstheme="minorHAnsi"/>
          <w:iCs/>
        </w:rPr>
        <w:t>data</w:t>
      </w:r>
      <w:r w:rsidR="00D31B8B" w:rsidRPr="00DE39B8">
        <w:rPr>
          <w:rFonts w:asciiTheme="minorHAnsi" w:hAnsiTheme="minorHAnsi" w:cstheme="minorHAnsi"/>
          <w:iCs/>
        </w:rPr>
        <w:t xml:space="preserve"> </w:t>
      </w:r>
      <w:r w:rsidR="006726D3" w:rsidRPr="00DE39B8">
        <w:rPr>
          <w:rFonts w:asciiTheme="minorHAnsi" w:hAnsiTheme="minorHAnsi" w:cstheme="minorHAnsi"/>
          <w:iCs/>
        </w:rPr>
        <w:t xml:space="preserve">on a </w:t>
      </w:r>
      <w:hyperlink r:id="rId120" w:history="1">
        <w:r w:rsidR="006726D3" w:rsidRPr="00DE39B8">
          <w:rPr>
            <w:rStyle w:val="Hyperlink"/>
            <w:rFonts w:asciiTheme="minorHAnsi" w:hAnsiTheme="minorHAnsi" w:cstheme="minorHAnsi"/>
            <w:iCs/>
          </w:rPr>
          <w:t>voluntary basis only</w:t>
        </w:r>
      </w:hyperlink>
      <w:r w:rsidR="00034533" w:rsidRPr="00DE39B8">
        <w:rPr>
          <w:rFonts w:asciiTheme="minorHAnsi" w:hAnsiTheme="minorHAnsi" w:cstheme="minorHAnsi"/>
          <w:iCs/>
        </w:rPr>
        <w:t>.</w:t>
      </w:r>
      <w:r w:rsidR="00F80A36" w:rsidRPr="00DE39B8">
        <w:rPr>
          <w:rFonts w:asciiTheme="minorHAnsi" w:hAnsiTheme="minorHAnsi" w:cstheme="minorHAnsi"/>
          <w:iCs/>
        </w:rPr>
        <w:t xml:space="preserve"> </w:t>
      </w:r>
      <w:r w:rsidR="00EB6BC7" w:rsidRPr="00DE39B8">
        <w:rPr>
          <w:rFonts w:asciiTheme="minorHAnsi" w:hAnsiTheme="minorHAnsi" w:cstheme="minorHAnsi"/>
          <w:iCs/>
        </w:rPr>
        <w:t xml:space="preserve"> </w:t>
      </w:r>
    </w:p>
    <w:p w14:paraId="63CDA0F6" w14:textId="7CD318CE" w:rsidR="0003545C" w:rsidRDefault="00375ECA" w:rsidP="00DE39B8">
      <w:pPr>
        <w:rPr>
          <w:rFonts w:eastAsia="Arial"/>
        </w:rPr>
      </w:pPr>
      <w:r w:rsidRPr="0CF5B975">
        <w:t>Reflecting the challenges in delivering VET in remote and very remote locations, RTOs have adopted flexible solutions, including online delivery. Some RTOs without a permanent presence in these areas also utilise fly-in-fly-out training delivery solutions in remote and very remote Austral</w:t>
      </w:r>
      <w:r w:rsidRPr="0CF5B975">
        <w:rPr>
          <w:rFonts w:eastAsia="Arial"/>
        </w:rPr>
        <w:t>ia.</w:t>
      </w:r>
      <w:r w:rsidRPr="0CF5B975">
        <w:rPr>
          <w:rStyle w:val="FootnoteReference"/>
          <w:rFonts w:asciiTheme="minorHAnsi" w:eastAsia="Arial" w:hAnsiTheme="minorHAnsi"/>
        </w:rPr>
        <w:footnoteReference w:id="80"/>
      </w:r>
      <w:r w:rsidRPr="0CF5B975">
        <w:rPr>
          <w:rFonts w:eastAsia="Arial"/>
        </w:rPr>
        <w:t xml:space="preserve"> </w:t>
      </w:r>
      <w:r w:rsidR="00FA5DF0">
        <w:rPr>
          <w:rFonts w:eastAsia="Arial"/>
        </w:rPr>
        <w:t xml:space="preserve">However, a number of stakeholders have highlighted challenges that RTOs have in delivering training in regional and remote locations, </w:t>
      </w:r>
      <w:r w:rsidR="00FA5DF0" w:rsidRPr="0CF5B975">
        <w:rPr>
          <w:rFonts w:asciiTheme="minorHAnsi" w:eastAsia="Arial" w:hAnsiTheme="minorHAnsi"/>
        </w:rPr>
        <w:t>including inadequate high-quality training facilities, outdated training equipment, a lack of appropriately qualified trainers and assessors.</w:t>
      </w:r>
      <w:r w:rsidR="00FA5DF0">
        <w:rPr>
          <w:rFonts w:asciiTheme="minorHAnsi" w:eastAsia="Arial" w:hAnsiTheme="minorHAnsi"/>
        </w:rPr>
        <w:t xml:space="preserve"> Other challenges include the need for </w:t>
      </w:r>
      <w:r w:rsidR="00FA5DF0" w:rsidRPr="0CF5B975">
        <w:rPr>
          <w:rFonts w:asciiTheme="minorHAnsi" w:eastAsia="Arial" w:hAnsiTheme="minorHAnsi"/>
        </w:rPr>
        <w:t>cultural competency when working with First Nations communities</w:t>
      </w:r>
      <w:r w:rsidR="00FA5DF0">
        <w:rPr>
          <w:rFonts w:asciiTheme="minorHAnsi" w:eastAsia="Arial" w:hAnsiTheme="minorHAnsi"/>
        </w:rPr>
        <w:t xml:space="preserve"> and </w:t>
      </w:r>
      <w:r w:rsidR="00FA5DF0">
        <w:rPr>
          <w:rFonts w:asciiTheme="minorHAnsi" w:eastAsia="Arial" w:hAnsiTheme="minorHAnsi" w:cstheme="minorHAnsi"/>
        </w:rPr>
        <w:t>c</w:t>
      </w:r>
      <w:r w:rsidR="00FA5DF0" w:rsidRPr="00343EEA">
        <w:rPr>
          <w:rFonts w:asciiTheme="minorHAnsi" w:eastAsia="Arial" w:hAnsiTheme="minorHAnsi" w:cstheme="minorHAnsi"/>
        </w:rPr>
        <w:t>ulturally sensitive learning environments</w:t>
      </w:r>
      <w:r w:rsidR="00FA5DF0">
        <w:rPr>
          <w:rFonts w:asciiTheme="minorHAnsi" w:eastAsia="Arial" w:hAnsiTheme="minorHAnsi" w:cstheme="minorHAnsi"/>
        </w:rPr>
        <w:t>, and e</w:t>
      </w:r>
      <w:r w:rsidR="00FA5DF0" w:rsidRPr="00343EEA">
        <w:rPr>
          <w:rFonts w:asciiTheme="minorHAnsi" w:eastAsia="Arial" w:hAnsiTheme="minorHAnsi" w:cstheme="minorHAnsi"/>
        </w:rPr>
        <w:t>ducational and career mentorship for learners</w:t>
      </w:r>
      <w:r w:rsidR="00FA5DF0">
        <w:rPr>
          <w:rFonts w:asciiTheme="minorHAnsi" w:eastAsia="Arial" w:hAnsiTheme="minorHAnsi" w:cstheme="minorHAnsi"/>
        </w:rPr>
        <w:t xml:space="preserve">. Digital accessibility remains a key issue in terms of access to online tertiary education solutions, with </w:t>
      </w:r>
      <w:r w:rsidR="00FA5DF0" w:rsidRPr="00B07995">
        <w:rPr>
          <w:rFonts w:asciiTheme="minorHAnsi" w:eastAsia="Arial" w:hAnsiTheme="minorHAnsi" w:cstheme="minorHAnsi"/>
        </w:rPr>
        <w:t>some region</w:t>
      </w:r>
      <w:r w:rsidR="00FA5DF0">
        <w:rPr>
          <w:rFonts w:asciiTheme="minorHAnsi" w:eastAsia="Arial" w:hAnsiTheme="minorHAnsi" w:cstheme="minorHAnsi"/>
        </w:rPr>
        <w:t>al/remote areas</w:t>
      </w:r>
      <w:r w:rsidR="00FA5DF0" w:rsidRPr="00B07995">
        <w:rPr>
          <w:rFonts w:asciiTheme="minorHAnsi" w:eastAsia="Arial" w:hAnsiTheme="minorHAnsi" w:cstheme="minorHAnsi"/>
        </w:rPr>
        <w:t xml:space="preserve"> still only hav</w:t>
      </w:r>
      <w:r w:rsidR="00FA5DF0">
        <w:rPr>
          <w:rFonts w:asciiTheme="minorHAnsi" w:eastAsia="Arial" w:hAnsiTheme="minorHAnsi" w:cstheme="minorHAnsi"/>
        </w:rPr>
        <w:t>ing</w:t>
      </w:r>
      <w:r w:rsidR="00FA5DF0" w:rsidRPr="00B07995">
        <w:rPr>
          <w:rFonts w:asciiTheme="minorHAnsi" w:eastAsia="Arial" w:hAnsiTheme="minorHAnsi" w:cstheme="minorHAnsi"/>
        </w:rPr>
        <w:t xml:space="preserve"> access to 3G</w:t>
      </w:r>
      <w:r w:rsidR="00FA5DF0">
        <w:rPr>
          <w:rFonts w:asciiTheme="minorHAnsi" w:eastAsia="Arial" w:hAnsiTheme="minorHAnsi" w:cstheme="minorHAnsi"/>
        </w:rPr>
        <w:t xml:space="preserve"> services</w:t>
      </w:r>
      <w:r w:rsidR="00FA5DF0" w:rsidRPr="00B07995">
        <w:rPr>
          <w:rFonts w:asciiTheme="minorHAnsi" w:eastAsia="Arial" w:hAnsiTheme="minorHAnsi" w:cstheme="minorHAnsi"/>
        </w:rPr>
        <w:t>, or little to no telecommunications infrastructure at all</w:t>
      </w:r>
      <w:r w:rsidR="00FA5DF0">
        <w:rPr>
          <w:rFonts w:asciiTheme="minorHAnsi" w:eastAsia="Arial" w:hAnsiTheme="minorHAnsi" w:cstheme="minorHAnsi"/>
        </w:rPr>
        <w:t>.</w:t>
      </w:r>
    </w:p>
    <w:p w14:paraId="00F66DEB" w14:textId="534284AF" w:rsidR="00B12035" w:rsidRDefault="00B12035" w:rsidP="00DE39B8">
      <w:pPr>
        <w:rPr>
          <w:rFonts w:eastAsia="Arial"/>
        </w:rPr>
      </w:pPr>
      <w:r w:rsidRPr="0CF5B975">
        <w:rPr>
          <w:rFonts w:eastAsia="Arial"/>
        </w:rPr>
        <w:t>The Australian Government is developing a VET Workforce Blueprint which aims to ensure the long-term sustainability of the VET sector by supporting and growing a quality VET workforce. It will aim to identify effective strategies for VET workforce issues such as attraction, retention, career development and succession planning.</w:t>
      </w:r>
      <w:r w:rsidR="00DE39B8">
        <w:rPr>
          <w:rFonts w:eastAsia="Arial"/>
        </w:rPr>
        <w:t xml:space="preserve"> </w:t>
      </w:r>
    </w:p>
    <w:p w14:paraId="38495398" w14:textId="54C059FD" w:rsidR="00FC5948" w:rsidRPr="00FA5DF0" w:rsidRDefault="001475EB" w:rsidP="00A50F91">
      <w:pPr>
        <w:pStyle w:val="Heading3"/>
        <w:rPr>
          <w:rFonts w:asciiTheme="majorHAnsi" w:hAnsiTheme="majorHAnsi" w:cstheme="majorHAnsi"/>
        </w:rPr>
      </w:pPr>
      <w:bookmarkStart w:id="80" w:name="_Toc171937447"/>
      <w:r w:rsidRPr="00FA5DF0">
        <w:rPr>
          <w:rFonts w:asciiTheme="majorHAnsi" w:hAnsiTheme="majorHAnsi" w:cstheme="majorHAnsi"/>
        </w:rPr>
        <w:t xml:space="preserve">Delivery of </w:t>
      </w:r>
      <w:r w:rsidR="00FC5948" w:rsidRPr="00FA5DF0">
        <w:rPr>
          <w:rFonts w:asciiTheme="majorHAnsi" w:hAnsiTheme="majorHAnsi" w:cstheme="majorHAnsi"/>
        </w:rPr>
        <w:t xml:space="preserve">VET </w:t>
      </w:r>
      <w:r w:rsidRPr="00FA5DF0">
        <w:rPr>
          <w:rFonts w:asciiTheme="majorHAnsi" w:hAnsiTheme="majorHAnsi" w:cstheme="majorHAnsi"/>
        </w:rPr>
        <w:t>in regional and remote Australia</w:t>
      </w:r>
      <w:r w:rsidR="00FC5948" w:rsidRPr="00FA5DF0">
        <w:rPr>
          <w:rFonts w:asciiTheme="majorHAnsi" w:hAnsiTheme="majorHAnsi" w:cstheme="majorHAnsi"/>
        </w:rPr>
        <w:t xml:space="preserve"> </w:t>
      </w:r>
      <w:bookmarkEnd w:id="80"/>
    </w:p>
    <w:p w14:paraId="4DA5E7CE" w14:textId="538E62D8" w:rsidR="002C4623" w:rsidRDefault="00FC5948" w:rsidP="00FA5DF0">
      <w:r w:rsidRPr="00A50F91">
        <w:t xml:space="preserve">The nature of regional and remote VET delivery differs by </w:t>
      </w:r>
      <w:r w:rsidR="0026211A">
        <w:t>S</w:t>
      </w:r>
      <w:r w:rsidRPr="00A50F91">
        <w:t>tate</w:t>
      </w:r>
      <w:r w:rsidR="0026211A">
        <w:t xml:space="preserve"> and Territory</w:t>
      </w:r>
      <w:r w:rsidR="001475EB">
        <w:t>, r</w:t>
      </w:r>
      <w:r w:rsidRPr="00A50F91">
        <w:t xml:space="preserve">eflecting the </w:t>
      </w:r>
      <w:r w:rsidR="00641E0A">
        <w:t>remoteness</w:t>
      </w:r>
      <w:r w:rsidR="00765EAA">
        <w:t xml:space="preserve"> classification</w:t>
      </w:r>
      <w:r w:rsidR="00D7121E">
        <w:t xml:space="preserve"> and </w:t>
      </w:r>
      <w:r w:rsidR="002C4623">
        <w:t>how regions are classified, e.g. no parts of Tasmania a</w:t>
      </w:r>
      <w:r w:rsidR="009701FC">
        <w:t>nd the Northern Territory do not have any</w:t>
      </w:r>
      <w:r w:rsidR="002C4623">
        <w:t xml:space="preserve"> major cities</w:t>
      </w:r>
      <w:r w:rsidR="001475EB">
        <w:t>.</w:t>
      </w:r>
      <w:r w:rsidR="00E467A4">
        <w:t xml:space="preserve"> We have looked at State and Territory of delivery location together with the remoteness of the student, based on their address.</w:t>
      </w:r>
      <w:r w:rsidR="001475EB">
        <w:t xml:space="preserve"> </w:t>
      </w:r>
    </w:p>
    <w:p w14:paraId="3EE5F216" w14:textId="7FBABD0F" w:rsidR="00FA5DF0" w:rsidRPr="005C34D6" w:rsidRDefault="000156FF">
      <w:r>
        <w:t>Delivery of p</w:t>
      </w:r>
      <w:r w:rsidR="00FC5948" w:rsidRPr="00A50F91">
        <w:t xml:space="preserve">rograms </w:t>
      </w:r>
      <w:r w:rsidR="00E467A4">
        <w:t>to r</w:t>
      </w:r>
      <w:r w:rsidR="00FC5948" w:rsidRPr="00A50F91">
        <w:t xml:space="preserve">emote </w:t>
      </w:r>
      <w:r w:rsidR="00DD6D51">
        <w:t xml:space="preserve">and very remote </w:t>
      </w:r>
      <w:r w:rsidR="00E467A4">
        <w:t>students</w:t>
      </w:r>
      <w:r w:rsidR="00FC5948" w:rsidRPr="00A50F91">
        <w:t xml:space="preserve"> </w:t>
      </w:r>
      <w:r w:rsidR="00DB1F8F">
        <w:t>was</w:t>
      </w:r>
      <w:r w:rsidR="00FC5948" w:rsidRPr="00A50F91">
        <w:t xml:space="preserve"> </w:t>
      </w:r>
      <w:r w:rsidR="00CC5B08">
        <w:t xml:space="preserve">highest </w:t>
      </w:r>
      <w:r w:rsidR="00FC5948" w:rsidRPr="00A50F91">
        <w:t>in Western Australia and Queensland, with</w:t>
      </w:r>
      <w:r w:rsidR="002D5546">
        <w:t xml:space="preserve"> </w:t>
      </w:r>
      <w:r w:rsidR="00046B26">
        <w:t>around 39,900</w:t>
      </w:r>
      <w:r w:rsidR="00FC5948" w:rsidRPr="00A50F91">
        <w:t xml:space="preserve"> </w:t>
      </w:r>
      <w:r w:rsidR="002C4623">
        <w:t>program</w:t>
      </w:r>
      <w:r w:rsidR="006D10E8">
        <w:t xml:space="preserve"> enrolments</w:t>
      </w:r>
      <w:r w:rsidR="002D5546">
        <w:t xml:space="preserve"> </w:t>
      </w:r>
      <w:r w:rsidR="000E43D2">
        <w:t>across these two states</w:t>
      </w:r>
      <w:r w:rsidR="00653D5A">
        <w:t xml:space="preserve"> </w:t>
      </w:r>
      <w:r w:rsidR="002D5546">
        <w:t>(</w:t>
      </w:r>
      <w:r w:rsidR="0091089B">
        <w:t>or 65.</w:t>
      </w:r>
      <w:r w:rsidR="00341DD1">
        <w:t>7</w:t>
      </w:r>
      <w:r w:rsidR="002D5546">
        <w:t>%</w:t>
      </w:r>
      <w:r w:rsidR="002902D6">
        <w:t xml:space="preserve"> of all</w:t>
      </w:r>
      <w:r w:rsidR="0091089B">
        <w:t xml:space="preserve"> program</w:t>
      </w:r>
      <w:r w:rsidR="00352E52">
        <w:t>s</w:t>
      </w:r>
      <w:r w:rsidR="002902D6">
        <w:t xml:space="preserve"> </w:t>
      </w:r>
      <w:r w:rsidR="0091089B">
        <w:t>d</w:t>
      </w:r>
      <w:r w:rsidR="00D571D0">
        <w:t>elivered</w:t>
      </w:r>
      <w:r w:rsidR="0091089B">
        <w:t xml:space="preserve"> </w:t>
      </w:r>
      <w:r w:rsidR="000E43D2">
        <w:t>to</w:t>
      </w:r>
      <w:r w:rsidR="0091089B">
        <w:t xml:space="preserve"> remote and very remote </w:t>
      </w:r>
      <w:r w:rsidR="000E43D2">
        <w:t xml:space="preserve">students </w:t>
      </w:r>
      <w:r w:rsidR="0091089B">
        <w:t>Australia wide)</w:t>
      </w:r>
      <w:r w:rsidR="00641656">
        <w:t xml:space="preserve"> in 2022</w:t>
      </w:r>
      <w:r w:rsidR="0091089B">
        <w:t>.</w:t>
      </w:r>
      <w:r w:rsidR="00B23010">
        <w:t xml:space="preserve"> </w:t>
      </w:r>
      <w:r w:rsidR="00FC5948" w:rsidRPr="00A50F91">
        <w:t xml:space="preserve"> </w:t>
      </w:r>
      <w:r w:rsidR="005D49AB">
        <w:t>Not surprisingly, a</w:t>
      </w:r>
      <w:r w:rsidR="008E78B9">
        <w:t xml:space="preserve">ll </w:t>
      </w:r>
      <w:r w:rsidR="00FC5948" w:rsidRPr="00A50F91">
        <w:t>VET students enrolled in the Northern Territory in 2022 were outer regional (</w:t>
      </w:r>
      <w:r w:rsidR="00230279" w:rsidRPr="00A50F91">
        <w:t>5</w:t>
      </w:r>
      <w:r w:rsidR="00230279">
        <w:t>9</w:t>
      </w:r>
      <w:r w:rsidR="00FC5948" w:rsidRPr="00A50F91">
        <w:t>.</w:t>
      </w:r>
      <w:r w:rsidR="00230279">
        <w:t>1</w:t>
      </w:r>
      <w:r w:rsidR="00FC5948" w:rsidRPr="00A50F91">
        <w:t>%, 11,</w:t>
      </w:r>
      <w:r w:rsidR="00225885">
        <w:t>62</w:t>
      </w:r>
      <w:r w:rsidR="0014629C">
        <w:t>0</w:t>
      </w:r>
      <w:r w:rsidR="00FC5948" w:rsidRPr="00A50F91">
        <w:t xml:space="preserve"> students) </w:t>
      </w:r>
      <w:r w:rsidR="008E78B9">
        <w:t>or</w:t>
      </w:r>
      <w:r w:rsidR="008E78B9" w:rsidRPr="00A50F91">
        <w:t xml:space="preserve"> </w:t>
      </w:r>
      <w:r w:rsidR="00FC5948" w:rsidRPr="00A50F91">
        <w:t xml:space="preserve">remote </w:t>
      </w:r>
      <w:r w:rsidR="007D24E3">
        <w:t xml:space="preserve">and very remote </w:t>
      </w:r>
      <w:r w:rsidR="00FC5948" w:rsidRPr="00A50F91">
        <w:t>(40.9</w:t>
      </w:r>
      <w:r w:rsidR="00DE3BE2">
        <w:t>.</w:t>
      </w:r>
      <w:r w:rsidR="00FC5948" w:rsidRPr="00A50F91">
        <w:t>%, 8,0</w:t>
      </w:r>
      <w:r w:rsidR="00C7533D">
        <w:t>35</w:t>
      </w:r>
      <w:r w:rsidR="00FC5948" w:rsidRPr="00A50F91">
        <w:t xml:space="preserve">) (Figure </w:t>
      </w:r>
      <w:r w:rsidR="00FA5DF0">
        <w:t>40</w:t>
      </w:r>
      <w:r w:rsidR="00112E68">
        <w:t>)</w:t>
      </w:r>
      <w:r w:rsidR="00FC5948" w:rsidRPr="00A50F91">
        <w:t xml:space="preserve">. Similarly, Tasmania also had a high proportion </w:t>
      </w:r>
      <w:r w:rsidR="0014629C">
        <w:t xml:space="preserve">of students from </w:t>
      </w:r>
      <w:r w:rsidR="00FC5948" w:rsidRPr="00A50F91">
        <w:t xml:space="preserve">inner regional </w:t>
      </w:r>
      <w:r w:rsidR="00F413E9">
        <w:t xml:space="preserve">(62.5%) </w:t>
      </w:r>
      <w:r w:rsidR="00FC5948" w:rsidRPr="00A50F91">
        <w:t xml:space="preserve">and outer regional </w:t>
      </w:r>
      <w:r w:rsidR="006B7175">
        <w:t>areas</w:t>
      </w:r>
      <w:r w:rsidR="00F413E9">
        <w:t xml:space="preserve"> (</w:t>
      </w:r>
      <w:r w:rsidR="003B4563">
        <w:t>34.2%)</w:t>
      </w:r>
      <w:r w:rsidR="0014629C">
        <w:t xml:space="preserve">. </w:t>
      </w:r>
      <w:r w:rsidR="00657E2A">
        <w:t xml:space="preserve">It </w:t>
      </w:r>
      <w:r w:rsidR="00552C9F">
        <w:t>also</w:t>
      </w:r>
      <w:r w:rsidR="00657E2A">
        <w:t xml:space="preserve"> needs to be noted </w:t>
      </w:r>
      <w:r w:rsidR="00664919">
        <w:t>that where</w:t>
      </w:r>
      <w:r w:rsidR="00494D0E">
        <w:t xml:space="preserve"> the</w:t>
      </w:r>
      <w:r w:rsidR="00664919">
        <w:t xml:space="preserve"> training is delivered </w:t>
      </w:r>
      <w:r w:rsidR="003D749F">
        <w:t xml:space="preserve">may differ from where </w:t>
      </w:r>
      <w:r w:rsidR="00552C9F">
        <w:t xml:space="preserve">a </w:t>
      </w:r>
      <w:r w:rsidR="00EA16AF">
        <w:t>student live</w:t>
      </w:r>
      <w:r w:rsidR="00552C9F">
        <w:t>s</w:t>
      </w:r>
      <w:r w:rsidR="00EA16AF">
        <w:t>.</w:t>
      </w:r>
    </w:p>
    <w:p w14:paraId="73F222AF" w14:textId="77777777" w:rsidR="005C34D6" w:rsidRDefault="00CD3286" w:rsidP="005C34D6">
      <w:pPr>
        <w:pStyle w:val="Caption"/>
      </w:pPr>
      <w:r w:rsidRPr="00FA5DF0">
        <w:t>Figure</w:t>
      </w:r>
      <w:r w:rsidR="5F3D3436" w:rsidRPr="00FA5DF0">
        <w:t xml:space="preserve"> </w:t>
      </w:r>
      <w:r w:rsidR="00FA5DF0" w:rsidRPr="00FA5DF0">
        <w:t>40</w:t>
      </w:r>
      <w:r w:rsidR="5F3D3436" w:rsidRPr="00FA5DF0">
        <w:t xml:space="preserve">: VET </w:t>
      </w:r>
      <w:r w:rsidR="009228F4" w:rsidRPr="00FA5DF0">
        <w:t xml:space="preserve">program </w:t>
      </w:r>
      <w:r w:rsidR="5F3D3436" w:rsidRPr="00FA5DF0">
        <w:t>enrolments by remoteness</w:t>
      </w:r>
      <w:r w:rsidR="009228F4" w:rsidRPr="00FA5DF0">
        <w:t xml:space="preserve"> (student)</w:t>
      </w:r>
      <w:r w:rsidR="5F3D3436" w:rsidRPr="00FA5DF0">
        <w:t>, state and territory (delivery location), 2022</w:t>
      </w:r>
    </w:p>
    <w:p w14:paraId="54F4AF9F" w14:textId="2176808E" w:rsidR="2D3B77A0" w:rsidRPr="00FA5DF0" w:rsidRDefault="00B81881" w:rsidP="005C34D6">
      <w:pPr>
        <w:pStyle w:val="Source"/>
      </w:pPr>
      <w:r>
        <w:rPr>
          <w:noProof/>
        </w:rPr>
        <w:drawing>
          <wp:inline distT="0" distB="0" distL="0" distR="0" wp14:anchorId="5B98EB40" wp14:editId="556E21D3">
            <wp:extent cx="5731200" cy="3706957"/>
            <wp:effectExtent l="0" t="0" r="3175" b="8255"/>
            <wp:docPr id="1752122126" name="Chart 1" descr="This graph shows data on VET enrolments by remoteness categories (major cities, Inner Regional, Outer Regional, and Remote areas) by State and Territory., 2022. It displays two axes 1/ percent breakdown by remoteness category for each state and territory and 2/ enrolment number for each state and territory.">
              <a:extLst xmlns:a="http://schemas.openxmlformats.org/drawingml/2006/main">
                <a:ext uri="{FF2B5EF4-FFF2-40B4-BE49-F238E27FC236}">
                  <a16:creationId xmlns:a16="http://schemas.microsoft.com/office/drawing/2014/main" id="{DC3B47AD-F859-A8EC-5D51-2BB9503D3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2D3B77A0" w:rsidRPr="00FA5DF0">
        <w:t>Source: NCVER</w:t>
      </w:r>
      <w:r w:rsidR="00461E7F" w:rsidRPr="00FA5DF0">
        <w:t>,</w:t>
      </w:r>
      <w:r w:rsidR="2D3B77A0" w:rsidRPr="00FA5DF0">
        <w:t xml:space="preserve"> </w:t>
      </w:r>
      <w:r w:rsidR="2D3B77A0" w:rsidRPr="00FA5DF0">
        <w:rPr>
          <w:i/>
        </w:rPr>
        <w:t>Total VET Students and Courses,</w:t>
      </w:r>
      <w:r w:rsidR="2D3B77A0" w:rsidRPr="00FA5DF0">
        <w:t xml:space="preserve"> Program Enrolments, 2015</w:t>
      </w:r>
      <w:r w:rsidR="007D1B04">
        <w:rPr>
          <w:rFonts w:cs="Arial"/>
          <w:kern w:val="2"/>
          <w14:ligatures w14:val="standardContextual"/>
        </w:rPr>
        <w:t>–</w:t>
      </w:r>
      <w:r w:rsidR="2D3B77A0" w:rsidRPr="00FA5DF0">
        <w:t>2022</w:t>
      </w:r>
      <w:r w:rsidR="00461E7F" w:rsidRPr="00FA5DF0">
        <w:t>, VOCSTATS</w:t>
      </w:r>
    </w:p>
    <w:p w14:paraId="6BD08E20" w14:textId="3FAD446D" w:rsidR="00A60C8B" w:rsidRPr="00AC6CAE" w:rsidRDefault="5F3D3436" w:rsidP="00D27A3F">
      <w:pPr>
        <w:pStyle w:val="NoSpacing"/>
        <w:rPr>
          <w:iCs/>
          <w:sz w:val="18"/>
          <w:szCs w:val="18"/>
        </w:rPr>
      </w:pPr>
      <w:r w:rsidRPr="001B726D">
        <w:rPr>
          <w:rFonts w:eastAsia="Arial" w:cs="Arial"/>
          <w:iCs/>
          <w:sz w:val="18"/>
          <w:szCs w:val="18"/>
        </w:rPr>
        <w:t xml:space="preserve">*Remote consists of remote and very remote regions. State is based on delivery location; Remoteness is based on student </w:t>
      </w:r>
      <w:r w:rsidR="00C37BD5">
        <w:rPr>
          <w:rFonts w:eastAsia="Arial" w:cs="Arial"/>
          <w:iCs/>
          <w:sz w:val="18"/>
          <w:szCs w:val="18"/>
        </w:rPr>
        <w:t>address</w:t>
      </w:r>
      <w:r w:rsidRPr="001B726D">
        <w:rPr>
          <w:rFonts w:eastAsia="Arial" w:cs="Arial"/>
          <w:iCs/>
          <w:sz w:val="18"/>
          <w:szCs w:val="18"/>
        </w:rPr>
        <w:t>.</w:t>
      </w:r>
    </w:p>
    <w:p w14:paraId="2AD79BC2" w14:textId="785DB973" w:rsidR="00877BCC" w:rsidRPr="00FA5DF0" w:rsidRDefault="00877BCC" w:rsidP="00AC6CAE">
      <w:pPr>
        <w:pStyle w:val="Heading3"/>
        <w:rPr>
          <w:rFonts w:asciiTheme="majorHAnsi" w:hAnsiTheme="majorHAnsi" w:cstheme="majorHAnsi"/>
        </w:rPr>
      </w:pPr>
      <w:bookmarkStart w:id="81" w:name="_Toc171937448"/>
      <w:r w:rsidRPr="00FA5DF0">
        <w:rPr>
          <w:rFonts w:asciiTheme="majorHAnsi" w:hAnsiTheme="majorHAnsi" w:cstheme="majorHAnsi"/>
        </w:rPr>
        <w:t xml:space="preserve">Regional and remote students take up different VET options from those in </w:t>
      </w:r>
      <w:r w:rsidR="00E91CE3" w:rsidRPr="00FA5DF0">
        <w:rPr>
          <w:rFonts w:asciiTheme="majorHAnsi" w:hAnsiTheme="majorHAnsi" w:cstheme="majorHAnsi"/>
        </w:rPr>
        <w:t>major</w:t>
      </w:r>
      <w:r w:rsidRPr="00FA5DF0">
        <w:rPr>
          <w:rFonts w:asciiTheme="majorHAnsi" w:hAnsiTheme="majorHAnsi" w:cstheme="majorHAnsi"/>
        </w:rPr>
        <w:t xml:space="preserve"> cities</w:t>
      </w:r>
      <w:bookmarkEnd w:id="81"/>
    </w:p>
    <w:p w14:paraId="4D82EE37" w14:textId="16B922F9" w:rsidR="00815685" w:rsidRDefault="00877BCC" w:rsidP="00FA5DF0">
      <w:r w:rsidRPr="00877BCC">
        <w:t xml:space="preserve">VET students from regional and remote areas are more likely to undertake lower-level qualifications than those in </w:t>
      </w:r>
      <w:r w:rsidR="00796C16">
        <w:t>major</w:t>
      </w:r>
      <w:r w:rsidRPr="00877BCC">
        <w:t xml:space="preserve"> cities. </w:t>
      </w:r>
      <w:r w:rsidR="00DA4535">
        <w:t xml:space="preserve">For example, </w:t>
      </w:r>
      <w:r w:rsidR="007F679E">
        <w:t xml:space="preserve">students </w:t>
      </w:r>
      <w:r w:rsidR="00DD7E1C">
        <w:t>in remote and very remote areas</w:t>
      </w:r>
      <w:r w:rsidR="00AF00EC">
        <w:t xml:space="preserve"> are more likely to</w:t>
      </w:r>
      <w:r w:rsidR="004577E9">
        <w:t xml:space="preserve"> </w:t>
      </w:r>
      <w:r w:rsidR="00B349AF">
        <w:t xml:space="preserve">study </w:t>
      </w:r>
      <w:r w:rsidR="00C544B6">
        <w:t>qualifications</w:t>
      </w:r>
      <w:r w:rsidR="00AF00EC">
        <w:t xml:space="preserve"> </w:t>
      </w:r>
      <w:r w:rsidR="00C3771B">
        <w:t xml:space="preserve">at </w:t>
      </w:r>
      <w:r w:rsidR="00171657">
        <w:t xml:space="preserve">the </w:t>
      </w:r>
      <w:r w:rsidR="00C3771B">
        <w:t xml:space="preserve">Certificate </w:t>
      </w:r>
      <w:r w:rsidR="00171657">
        <w:t xml:space="preserve">level </w:t>
      </w:r>
      <w:r w:rsidR="002716C2">
        <w:t>II and below</w:t>
      </w:r>
      <w:r w:rsidR="005E3EE9">
        <w:t xml:space="preserve"> (</w:t>
      </w:r>
      <w:r w:rsidR="00CD1732">
        <w:t xml:space="preserve">40.8% of all enrolments compared to 29.5% </w:t>
      </w:r>
      <w:r w:rsidR="00DA4535">
        <w:t xml:space="preserve">in </w:t>
      </w:r>
      <w:r w:rsidR="002B23C0">
        <w:t>major cities</w:t>
      </w:r>
      <w:r w:rsidR="00CD1732">
        <w:t xml:space="preserve"> </w:t>
      </w:r>
      <w:r w:rsidR="00E8363C">
        <w:t>(Figure</w:t>
      </w:r>
      <w:r w:rsidR="00796C16">
        <w:t> </w:t>
      </w:r>
      <w:r w:rsidR="00FA5DF0">
        <w:t>41</w:t>
      </w:r>
      <w:r w:rsidRPr="00877BCC">
        <w:t xml:space="preserve">). </w:t>
      </w:r>
      <w:r w:rsidR="00FA5DF0">
        <w:t>As described early, stronger labour market outcomes are observed where people have completed higher level VET qualifications.</w:t>
      </w:r>
    </w:p>
    <w:p w14:paraId="2C7F22BE" w14:textId="5E740995" w:rsidR="00877BCC" w:rsidRDefault="00877BCC" w:rsidP="00FA5DF0">
      <w:r w:rsidRPr="00877BCC">
        <w:t xml:space="preserve">Students </w:t>
      </w:r>
      <w:r w:rsidR="00005EAF">
        <w:t xml:space="preserve">enrolled </w:t>
      </w:r>
      <w:r w:rsidR="00902B03">
        <w:t>from</w:t>
      </w:r>
      <w:r w:rsidRPr="00877BCC">
        <w:t xml:space="preserve"> </w:t>
      </w:r>
      <w:r w:rsidR="00F415B0">
        <w:t>major</w:t>
      </w:r>
      <w:r w:rsidRPr="00877BCC">
        <w:t xml:space="preserve"> cities </w:t>
      </w:r>
      <w:r w:rsidR="00851A7A">
        <w:t xml:space="preserve">were most likely </w:t>
      </w:r>
      <w:r w:rsidR="00B217C4">
        <w:t>to be</w:t>
      </w:r>
      <w:r w:rsidRPr="00877BCC">
        <w:t xml:space="preserve"> studying </w:t>
      </w:r>
      <w:r w:rsidR="00FA5DF0">
        <w:t xml:space="preserve">higher level </w:t>
      </w:r>
      <w:r w:rsidRPr="00877BCC">
        <w:t xml:space="preserve">VET qualifications </w:t>
      </w:r>
      <w:r w:rsidR="00F73238">
        <w:t xml:space="preserve">with </w:t>
      </w:r>
      <w:r w:rsidR="007557AD">
        <w:t>31.8% of enrolments being at the</w:t>
      </w:r>
      <w:r w:rsidR="008E4260">
        <w:t xml:space="preserve"> Certificate I</w:t>
      </w:r>
      <w:r w:rsidR="005C6F65">
        <w:t xml:space="preserve">V </w:t>
      </w:r>
      <w:r w:rsidR="007B057E">
        <w:t xml:space="preserve">level </w:t>
      </w:r>
      <w:r w:rsidR="005C6F65">
        <w:t>or above</w:t>
      </w:r>
      <w:r w:rsidR="00205531">
        <w:t xml:space="preserve">, which was more than 10 percentage points </w:t>
      </w:r>
      <w:r w:rsidR="007B057E">
        <w:t xml:space="preserve">higher </w:t>
      </w:r>
      <w:r w:rsidR="005903F9">
        <w:t xml:space="preserve">compared to </w:t>
      </w:r>
      <w:r w:rsidR="000B35CD">
        <w:t>the equivalent</w:t>
      </w:r>
      <w:r w:rsidR="005903F9">
        <w:t xml:space="preserve"> </w:t>
      </w:r>
      <w:r w:rsidR="00014E92">
        <w:t xml:space="preserve">proportion of </w:t>
      </w:r>
      <w:r w:rsidR="005903F9">
        <w:t>enrolments in r</w:t>
      </w:r>
      <w:r w:rsidR="005F3825">
        <w:t>emote and very remote areas (21.4%)</w:t>
      </w:r>
      <w:r w:rsidR="00DD01C1">
        <w:t>.</w:t>
      </w:r>
      <w:r w:rsidR="00CC4212">
        <w:t xml:space="preserve">  </w:t>
      </w:r>
    </w:p>
    <w:p w14:paraId="15D16AFB" w14:textId="09375649" w:rsidR="00B55A11" w:rsidRPr="002321FF" w:rsidRDefault="00123B0F" w:rsidP="00FA5DF0">
      <w:pPr>
        <w:pStyle w:val="Caption"/>
      </w:pPr>
      <w:r w:rsidRPr="00FA5DF0">
        <w:rPr>
          <w:rFonts w:asciiTheme="minorHAnsi" w:hAnsiTheme="minorHAnsi" w:cstheme="minorHAnsi"/>
          <w:szCs w:val="20"/>
        </w:rPr>
        <w:t xml:space="preserve">Figure </w:t>
      </w:r>
      <w:r w:rsidR="00FA5DF0" w:rsidRPr="00FA5DF0">
        <w:rPr>
          <w:rFonts w:asciiTheme="minorHAnsi" w:hAnsiTheme="minorHAnsi" w:cstheme="minorHAnsi"/>
          <w:szCs w:val="20"/>
        </w:rPr>
        <w:t>41</w:t>
      </w:r>
      <w:r w:rsidRPr="00FA5DF0">
        <w:rPr>
          <w:rFonts w:asciiTheme="minorHAnsi" w:hAnsiTheme="minorHAnsi" w:cstheme="minorHAnsi"/>
          <w:szCs w:val="20"/>
        </w:rPr>
        <w:t>: VET program enrolments by qualification level</w:t>
      </w:r>
      <w:r w:rsidR="00FB001E" w:rsidRPr="00FA5DF0">
        <w:rPr>
          <w:rFonts w:asciiTheme="minorHAnsi" w:hAnsiTheme="minorHAnsi" w:cstheme="minorHAnsi"/>
          <w:szCs w:val="20"/>
        </w:rPr>
        <w:t xml:space="preserve"> and remoteness</w:t>
      </w:r>
      <w:r w:rsidRPr="00FA5DF0">
        <w:rPr>
          <w:rFonts w:asciiTheme="minorHAnsi" w:hAnsiTheme="minorHAnsi" w:cstheme="minorHAnsi"/>
          <w:szCs w:val="20"/>
        </w:rPr>
        <w:t>, 2022</w:t>
      </w:r>
      <w:r w:rsidR="00446579">
        <w:rPr>
          <w:noProof/>
        </w:rPr>
        <w:drawing>
          <wp:inline distT="0" distB="0" distL="0" distR="0" wp14:anchorId="14D14740" wp14:editId="15BDE752">
            <wp:extent cx="5731510" cy="3404870"/>
            <wp:effectExtent l="0" t="0" r="2540" b="5080"/>
            <wp:docPr id="919404378" name="Chart 1" descr="This graph shows data VET program enrolments by qualification level for 2022 based on remoteness categories. People in major cities have proportionally higher VET qualifications (diploma and higher, through certificate 4 to 1 levels and short courses) compared to those in other remoteness areas, with those in remote areas having proportionally the lowest VET qualification.">
              <a:extLst xmlns:a="http://schemas.openxmlformats.org/drawingml/2006/main">
                <a:ext uri="{FF2B5EF4-FFF2-40B4-BE49-F238E27FC236}">
                  <a16:creationId xmlns:a16="http://schemas.microsoft.com/office/drawing/2014/main" id="{915CCEA3-C913-8029-4B96-CD2E327E5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31891473" w14:textId="4E898741" w:rsidR="3638DEC3" w:rsidRPr="00FA5DF0" w:rsidRDefault="3638DEC3" w:rsidP="005C34D6">
      <w:pPr>
        <w:pStyle w:val="Source"/>
      </w:pPr>
      <w:r w:rsidRPr="00FA5DF0">
        <w:t xml:space="preserve">Source: NCVER, </w:t>
      </w:r>
      <w:r w:rsidRPr="00901A26">
        <w:rPr>
          <w:i/>
          <w:iCs/>
        </w:rPr>
        <w:t>Total VET Students and Courses</w:t>
      </w:r>
      <w:r w:rsidRPr="00FA5DF0">
        <w:t>, Program Enrolments, 2015</w:t>
      </w:r>
      <w:r w:rsidR="007D1B04">
        <w:t>–</w:t>
      </w:r>
      <w:r w:rsidRPr="00FA5DF0">
        <w:t>2022</w:t>
      </w:r>
      <w:r w:rsidR="00901A26">
        <w:t>, VOCSTATS</w:t>
      </w:r>
    </w:p>
    <w:p w14:paraId="01ED1231" w14:textId="4502A35C" w:rsidR="004A1A85" w:rsidRPr="00F62B6D" w:rsidRDefault="5F3D3436" w:rsidP="005C34D6">
      <w:pPr>
        <w:pStyle w:val="Source"/>
      </w:pPr>
      <w:r w:rsidRPr="004A1A85">
        <w:rPr>
          <w:rFonts w:eastAsia="Arial" w:cs="Arial"/>
        </w:rPr>
        <w:t xml:space="preserve">*Remote consists of remote and very remote regions </w:t>
      </w:r>
      <w:r w:rsidR="005C34D6">
        <w:br/>
      </w:r>
      <w:r w:rsidRPr="004A1A85">
        <w:rPr>
          <w:rFonts w:eastAsia="Arial" w:cs="Arial"/>
        </w:rPr>
        <w:t>*Based on student remoteness region (ARIA+)</w:t>
      </w:r>
      <w:r w:rsidR="005C34D6">
        <w:br/>
      </w:r>
      <w:r w:rsidRPr="004A1A85">
        <w:rPr>
          <w:rFonts w:eastAsia="Arial" w:cs="Arial"/>
        </w:rPr>
        <w:t>*Australia includes other Australian territories or dependencies</w:t>
      </w:r>
      <w:r w:rsidR="00092EBA">
        <w:rPr>
          <w:rFonts w:eastAsia="Arial" w:cs="Arial"/>
        </w:rPr>
        <w:t xml:space="preserve"> and </w:t>
      </w:r>
      <w:r w:rsidRPr="004A1A85">
        <w:rPr>
          <w:rFonts w:eastAsia="Arial" w:cs="Arial"/>
        </w:rPr>
        <w:t>not known</w:t>
      </w:r>
      <w:r w:rsidR="00092EBA">
        <w:rPr>
          <w:rFonts w:eastAsia="Arial" w:cs="Arial"/>
        </w:rPr>
        <w:t>. ‘</w:t>
      </w:r>
      <w:r w:rsidR="00524B52">
        <w:rPr>
          <w:rFonts w:eastAsia="Arial" w:cs="Arial"/>
        </w:rPr>
        <w:t>offshore has been excluded’.</w:t>
      </w:r>
      <w:r w:rsidR="005C34D6">
        <w:br/>
      </w:r>
      <w:r w:rsidRPr="004A1A85">
        <w:t>*Student remoteness does not include offshore or not know</w:t>
      </w:r>
      <w:r w:rsidR="002F34D8">
        <w:t>n.</w:t>
      </w:r>
    </w:p>
    <w:p w14:paraId="7F825798" w14:textId="133048CA" w:rsidR="00D76809" w:rsidRDefault="00877BCC" w:rsidP="00FA5DF0">
      <w:r w:rsidRPr="00877BCC">
        <w:t xml:space="preserve">In 2022, </w:t>
      </w:r>
      <w:r w:rsidR="00ED1109">
        <w:t>the</w:t>
      </w:r>
      <w:r w:rsidR="00FE578B">
        <w:t xml:space="preserve"> </w:t>
      </w:r>
      <w:r w:rsidR="00D2078F">
        <w:t>top</w:t>
      </w:r>
      <w:r w:rsidR="00FE578B">
        <w:t xml:space="preserve"> </w:t>
      </w:r>
      <w:r w:rsidR="00AF74D5">
        <w:t>five</w:t>
      </w:r>
      <w:r w:rsidR="00FE578B">
        <w:t xml:space="preserve"> </w:t>
      </w:r>
      <w:r w:rsidR="00B17321">
        <w:t xml:space="preserve">fields of education for </w:t>
      </w:r>
      <w:r w:rsidR="00371C96">
        <w:t xml:space="preserve">VET </w:t>
      </w:r>
      <w:r w:rsidR="00B17321">
        <w:t xml:space="preserve">students from remote and very remote areas </w:t>
      </w:r>
      <w:r w:rsidR="00371C96">
        <w:t xml:space="preserve">were </w:t>
      </w:r>
      <w:r w:rsidR="009C4774">
        <w:t>Engineering and related technologies</w:t>
      </w:r>
      <w:r w:rsidR="00E8072A">
        <w:t xml:space="preserve"> (</w:t>
      </w:r>
      <w:r w:rsidR="003E01B4">
        <w:t>15,62</w:t>
      </w:r>
      <w:r w:rsidR="00F36FDC">
        <w:t>0</w:t>
      </w:r>
      <w:r w:rsidR="00E8072A">
        <w:t xml:space="preserve"> enrolments), </w:t>
      </w:r>
      <w:r w:rsidR="00BA3DCC">
        <w:t>Society and culture (</w:t>
      </w:r>
      <w:r w:rsidR="003E01B4">
        <w:t>8,84</w:t>
      </w:r>
      <w:r w:rsidR="00F36FDC">
        <w:t>5</w:t>
      </w:r>
      <w:r w:rsidR="003E01B4">
        <w:t xml:space="preserve"> enrolments)</w:t>
      </w:r>
      <w:r w:rsidR="00662B73">
        <w:t xml:space="preserve">, </w:t>
      </w:r>
      <w:r w:rsidR="00DE4EC5">
        <w:t>M</w:t>
      </w:r>
      <w:r w:rsidR="000F5252">
        <w:t>anagement and commerce (</w:t>
      </w:r>
      <w:r w:rsidR="000B16E9">
        <w:t>8,21</w:t>
      </w:r>
      <w:r w:rsidR="00F36FDC">
        <w:t>0</w:t>
      </w:r>
      <w:r w:rsidR="000B16E9">
        <w:t xml:space="preserve"> </w:t>
      </w:r>
      <w:r w:rsidR="00186DF6">
        <w:t>enrolments</w:t>
      </w:r>
      <w:r w:rsidR="000932A3">
        <w:t xml:space="preserve">) </w:t>
      </w:r>
      <w:r w:rsidR="000B16E9">
        <w:t xml:space="preserve">Education </w:t>
      </w:r>
      <w:r w:rsidR="00A41461">
        <w:t>(</w:t>
      </w:r>
      <w:r w:rsidR="000B16E9">
        <w:t>5,03</w:t>
      </w:r>
      <w:r w:rsidR="00F36FDC">
        <w:t>5</w:t>
      </w:r>
      <w:r w:rsidR="00A41461">
        <w:t xml:space="preserve"> enrolments</w:t>
      </w:r>
      <w:r w:rsidR="00605589">
        <w:t>)</w:t>
      </w:r>
      <w:r w:rsidR="00A41461">
        <w:t xml:space="preserve"> and </w:t>
      </w:r>
      <w:r w:rsidR="00A94110">
        <w:t xml:space="preserve">Agriculture, environment </w:t>
      </w:r>
      <w:r w:rsidR="006E465B">
        <w:t>and related studies</w:t>
      </w:r>
      <w:r w:rsidR="00A41461">
        <w:t xml:space="preserve"> </w:t>
      </w:r>
      <w:r w:rsidR="00372D8B">
        <w:t>(</w:t>
      </w:r>
      <w:r w:rsidR="006E465B">
        <w:t>4,24</w:t>
      </w:r>
      <w:r w:rsidR="00F36FDC">
        <w:t>0</w:t>
      </w:r>
      <w:r w:rsidR="00372D8B">
        <w:t xml:space="preserve"> enrolments</w:t>
      </w:r>
      <w:r w:rsidR="005A7381">
        <w:t>).</w:t>
      </w:r>
      <w:r w:rsidR="00605589">
        <w:t xml:space="preserve"> </w:t>
      </w:r>
      <w:r w:rsidR="00C43CAB">
        <w:t>For inner regional, outer regional, remote and very re</w:t>
      </w:r>
      <w:r w:rsidR="00B04D91">
        <w:t>mote</w:t>
      </w:r>
      <w:r w:rsidR="0014445F">
        <w:t xml:space="preserve"> </w:t>
      </w:r>
      <w:r w:rsidR="003B6906">
        <w:t xml:space="preserve">areas </w:t>
      </w:r>
      <w:r w:rsidR="00ED7738">
        <w:t xml:space="preserve">Engineering and </w:t>
      </w:r>
      <w:r w:rsidR="00965EC0">
        <w:t xml:space="preserve">related technologies was the </w:t>
      </w:r>
      <w:r w:rsidR="008A3901">
        <w:t xml:space="preserve">most popular field of study </w:t>
      </w:r>
      <w:r w:rsidR="005D5577">
        <w:t xml:space="preserve">accounting for </w:t>
      </w:r>
      <w:r w:rsidR="004677C5">
        <w:t xml:space="preserve">21.0%, </w:t>
      </w:r>
      <w:r w:rsidR="00FD7A70">
        <w:t xml:space="preserve">24.6% and </w:t>
      </w:r>
      <w:r w:rsidR="00527632">
        <w:t>27.4%</w:t>
      </w:r>
      <w:r w:rsidR="00C066E1">
        <w:t xml:space="preserve"> </w:t>
      </w:r>
      <w:r w:rsidR="006D6BC7">
        <w:t xml:space="preserve">of </w:t>
      </w:r>
      <w:r w:rsidR="00622240">
        <w:t xml:space="preserve">all </w:t>
      </w:r>
      <w:r w:rsidR="006D6BC7">
        <w:t xml:space="preserve">enrolments respectively compared to </w:t>
      </w:r>
      <w:r w:rsidR="00CD098B">
        <w:t>15.0% for major cities.</w:t>
      </w:r>
      <w:r w:rsidRPr="00877BCC">
        <w:t xml:space="preserve"> </w:t>
      </w:r>
    </w:p>
    <w:p w14:paraId="24648E85" w14:textId="465C636B" w:rsidR="00877BCC" w:rsidRPr="00877BCC" w:rsidRDefault="00136CE0" w:rsidP="00FA5DF0">
      <w:r>
        <w:t xml:space="preserve">The prominence of some fields of education in regional, remote and very remote areas likely reflects the importance of specific industries to regional economies. For </w:t>
      </w:r>
      <w:r w:rsidR="007360ED">
        <w:t>e</w:t>
      </w:r>
      <w:r>
        <w:t xml:space="preserve">xample, the higher-than-average concentration of enrolments in agricultural-related programs </w:t>
      </w:r>
      <w:r w:rsidR="009F177D">
        <w:t>(</w:t>
      </w:r>
      <w:r w:rsidR="003408AD">
        <w:t xml:space="preserve">7.4% </w:t>
      </w:r>
      <w:r w:rsidR="006F1CA5">
        <w:t xml:space="preserve">of all enrolments </w:t>
      </w:r>
      <w:r w:rsidR="008163EA">
        <w:t>by students from</w:t>
      </w:r>
      <w:r w:rsidR="00EB0CDC">
        <w:t xml:space="preserve"> remote and very remote areas </w:t>
      </w:r>
      <w:r w:rsidR="006F1CA5">
        <w:t xml:space="preserve">and </w:t>
      </w:r>
      <w:r w:rsidR="001C558E">
        <w:t xml:space="preserve">4.8% of all enrolments in outer regional areas </w:t>
      </w:r>
      <w:r w:rsidR="00963948">
        <w:t>compared to the national average of 2.6%)</w:t>
      </w:r>
      <w:r w:rsidR="008174A5">
        <w:t xml:space="preserve">, </w:t>
      </w:r>
      <w:r w:rsidR="008C37D8">
        <w:t>reflects that</w:t>
      </w:r>
      <w:r>
        <w:t xml:space="preserve"> 93% of all people employed full-time in the Agriculture, Forestry and Fishing industry working outside of greater capital cities.</w:t>
      </w:r>
      <w:r>
        <w:rPr>
          <w:rStyle w:val="FootnoteReference"/>
          <w:rFonts w:cs="Arial"/>
          <w:kern w:val="2"/>
          <w14:ligatures w14:val="standardContextual"/>
        </w:rPr>
        <w:footnoteReference w:id="81"/>
      </w:r>
      <w:r w:rsidR="006F4850">
        <w:t xml:space="preserve"> </w:t>
      </w:r>
      <w:r w:rsidR="00877BCC" w:rsidRPr="00877BCC">
        <w:t xml:space="preserve">Society and culture </w:t>
      </w:r>
      <w:r w:rsidR="00F34FFF">
        <w:t>was</w:t>
      </w:r>
      <w:r w:rsidR="00877BCC" w:rsidRPr="00877BCC">
        <w:t xml:space="preserve"> the most common field </w:t>
      </w:r>
      <w:r w:rsidR="00F375E0">
        <w:t>of study</w:t>
      </w:r>
      <w:r w:rsidR="00877BCC" w:rsidRPr="00877BCC">
        <w:t xml:space="preserve"> </w:t>
      </w:r>
      <w:r w:rsidR="008163EA">
        <w:t xml:space="preserve">for students from </w:t>
      </w:r>
      <w:r w:rsidR="00311449">
        <w:t>major</w:t>
      </w:r>
      <w:r w:rsidR="00877BCC" w:rsidRPr="00877BCC">
        <w:t xml:space="preserve"> cities (19.4% of </w:t>
      </w:r>
      <w:r w:rsidR="00702B7C">
        <w:t xml:space="preserve">all </w:t>
      </w:r>
      <w:r w:rsidR="00877BCC" w:rsidRPr="00877BCC">
        <w:t>program enrolments),</w:t>
      </w:r>
      <w:r w:rsidR="008B0038">
        <w:t xml:space="preserve"> and</w:t>
      </w:r>
      <w:r w:rsidR="00877BCC" w:rsidRPr="00877BCC">
        <w:t xml:space="preserve"> </w:t>
      </w:r>
      <w:r w:rsidR="004C33E3">
        <w:t xml:space="preserve">the </w:t>
      </w:r>
      <w:r w:rsidR="00C37204">
        <w:t>second most common</w:t>
      </w:r>
      <w:r w:rsidR="0019497B">
        <w:t xml:space="preserve"> </w:t>
      </w:r>
      <w:r w:rsidR="00877BCC" w:rsidRPr="00877BCC">
        <w:t xml:space="preserve">field </w:t>
      </w:r>
      <w:r w:rsidR="0019497B">
        <w:t xml:space="preserve">of study </w:t>
      </w:r>
      <w:r w:rsidR="00877BCC" w:rsidRPr="00877BCC">
        <w:t>in remote and very remote areas (15.5%</w:t>
      </w:r>
      <w:r w:rsidR="00600951" w:rsidRPr="00877BCC">
        <w:t>)</w:t>
      </w:r>
      <w:r w:rsidR="00CD0F45">
        <w:t>.</w:t>
      </w:r>
      <w:r w:rsidR="00600951" w:rsidRPr="00877BCC">
        <w:t xml:space="preserve"> </w:t>
      </w:r>
    </w:p>
    <w:p w14:paraId="4A79E930" w14:textId="100D45C6" w:rsidR="00DE47FC" w:rsidRDefault="00877BCC" w:rsidP="00FA5DF0">
      <w:r w:rsidRPr="00877BCC">
        <w:t xml:space="preserve">Reflecting the most common qualification nationally, the most common </w:t>
      </w:r>
      <w:r w:rsidR="00EF5B61">
        <w:t>program enrolment</w:t>
      </w:r>
      <w:r w:rsidRPr="00877BCC">
        <w:t xml:space="preserve"> in both inner and outer regional areas in 2022 was the Certificate III in Individual </w:t>
      </w:r>
      <w:r w:rsidR="00AC11A1">
        <w:t>S</w:t>
      </w:r>
      <w:r w:rsidRPr="00877BCC">
        <w:t>upport</w:t>
      </w:r>
      <w:r w:rsidR="009F2EFF">
        <w:t xml:space="preserve"> (Table </w:t>
      </w:r>
      <w:r w:rsidR="005E0175">
        <w:t>11</w:t>
      </w:r>
      <w:r w:rsidR="009F2EFF">
        <w:t>)</w:t>
      </w:r>
      <w:r w:rsidRPr="00877BCC">
        <w:t xml:space="preserve">. The Certificate III in Early </w:t>
      </w:r>
      <w:r w:rsidR="00AC11A1">
        <w:t>C</w:t>
      </w:r>
      <w:r w:rsidRPr="00877BCC">
        <w:t xml:space="preserve">hildhood </w:t>
      </w:r>
      <w:r w:rsidR="00AC11A1">
        <w:t>E</w:t>
      </w:r>
      <w:r w:rsidRPr="00877BCC">
        <w:t xml:space="preserve">ducation and </w:t>
      </w:r>
      <w:r w:rsidR="00AC11A1">
        <w:t>C</w:t>
      </w:r>
      <w:r w:rsidRPr="00877BCC">
        <w:t>are</w:t>
      </w:r>
      <w:r w:rsidR="00AC11A1">
        <w:t xml:space="preserve"> </w:t>
      </w:r>
      <w:r w:rsidRPr="00877BCC">
        <w:t>was most common in remote and very remote areas, the second most common in inner regional, and third most common in outer regional areas. Other common courses include</w:t>
      </w:r>
      <w:r w:rsidR="00FE708A">
        <w:t>d</w:t>
      </w:r>
      <w:r w:rsidRPr="00877BCC">
        <w:t xml:space="preserve"> the Certificate III in Carpentry</w:t>
      </w:r>
      <w:r w:rsidR="007B50C2">
        <w:t xml:space="preserve">, </w:t>
      </w:r>
      <w:r w:rsidR="005B76CA">
        <w:t>Certificate III in Business</w:t>
      </w:r>
      <w:r w:rsidR="007B50C2">
        <w:t xml:space="preserve"> </w:t>
      </w:r>
      <w:r w:rsidR="00DA3E93">
        <w:t xml:space="preserve">and </w:t>
      </w:r>
      <w:r w:rsidR="007B50C2" w:rsidRPr="00877BCC">
        <w:t xml:space="preserve">Certificate III </w:t>
      </w:r>
      <w:r w:rsidRPr="00877BCC">
        <w:t>Electrotechnology electrician.</w:t>
      </w:r>
    </w:p>
    <w:p w14:paraId="72DC2920" w14:textId="17F6439C" w:rsidR="009F2EFF" w:rsidRPr="00FA5DF0" w:rsidRDefault="009F2EFF" w:rsidP="00FA5DF0">
      <w:pPr>
        <w:pStyle w:val="Caption"/>
        <w:rPr>
          <w:rFonts w:asciiTheme="minorHAnsi" w:hAnsiTheme="minorHAnsi" w:cstheme="minorHAnsi"/>
          <w:szCs w:val="20"/>
        </w:rPr>
      </w:pPr>
      <w:r w:rsidRPr="00FA5DF0">
        <w:rPr>
          <w:rFonts w:asciiTheme="minorHAnsi" w:hAnsiTheme="minorHAnsi" w:cstheme="minorHAnsi"/>
          <w:szCs w:val="20"/>
        </w:rPr>
        <w:t xml:space="preserve">Table </w:t>
      </w:r>
      <w:r w:rsidR="008229BC" w:rsidRPr="00FA5DF0">
        <w:rPr>
          <w:rFonts w:asciiTheme="minorHAnsi" w:hAnsiTheme="minorHAnsi" w:cstheme="minorHAnsi"/>
          <w:szCs w:val="20"/>
        </w:rPr>
        <w:t>11</w:t>
      </w:r>
      <w:r w:rsidRPr="00FA5DF0">
        <w:rPr>
          <w:rFonts w:asciiTheme="minorHAnsi" w:hAnsiTheme="minorHAnsi" w:cstheme="minorHAnsi"/>
          <w:szCs w:val="20"/>
        </w:rPr>
        <w:t xml:space="preserve">: Top 10 qualification program enrolments </w:t>
      </w:r>
      <w:r w:rsidR="00A15E13" w:rsidRPr="00FA5DF0">
        <w:rPr>
          <w:rFonts w:asciiTheme="minorHAnsi" w:hAnsiTheme="minorHAnsi" w:cstheme="minorHAnsi"/>
          <w:szCs w:val="20"/>
        </w:rPr>
        <w:t xml:space="preserve">by </w:t>
      </w:r>
      <w:r w:rsidRPr="00FA5DF0">
        <w:rPr>
          <w:rFonts w:asciiTheme="minorHAnsi" w:hAnsiTheme="minorHAnsi" w:cstheme="minorHAnsi"/>
          <w:szCs w:val="20"/>
        </w:rPr>
        <w:t xml:space="preserve">remoteness area, 2022 </w:t>
      </w:r>
    </w:p>
    <w:tbl>
      <w:tblPr>
        <w:tblStyle w:val="TableGrid"/>
        <w:tblW w:w="0" w:type="auto"/>
        <w:tblLayout w:type="fixed"/>
        <w:tblLook w:val="04A0" w:firstRow="1" w:lastRow="0" w:firstColumn="1" w:lastColumn="0" w:noHBand="0" w:noVBand="1"/>
      </w:tblPr>
      <w:tblGrid>
        <w:gridCol w:w="5313"/>
        <w:gridCol w:w="948"/>
        <w:gridCol w:w="355"/>
        <w:gridCol w:w="1007"/>
        <w:gridCol w:w="294"/>
        <w:gridCol w:w="795"/>
        <w:gridCol w:w="303"/>
      </w:tblGrid>
      <w:tr w:rsidR="009F2EFF" w:rsidRPr="001A4DAF" w14:paraId="709BDA02" w14:textId="77777777" w:rsidTr="004B7000">
        <w:trPr>
          <w:trHeight w:val="255"/>
        </w:trPr>
        <w:tc>
          <w:tcPr>
            <w:tcW w:w="5313" w:type="dxa"/>
            <w:tcBorders>
              <w:top w:val="nil"/>
              <w:left w:val="nil"/>
              <w:bottom w:val="nil"/>
              <w:right w:val="nil"/>
            </w:tcBorders>
            <w:shd w:val="clear" w:color="auto" w:fill="2F005F"/>
            <w:tcMar>
              <w:left w:w="108" w:type="dxa"/>
              <w:right w:w="108" w:type="dxa"/>
            </w:tcMar>
            <w:vAlign w:val="center"/>
          </w:tcPr>
          <w:p w14:paraId="0322B64D" w14:textId="77777777" w:rsidR="009F2EFF" w:rsidRPr="007667A9" w:rsidRDefault="009F2EFF" w:rsidP="004B7000">
            <w:pPr>
              <w:rPr>
                <w:rFonts w:cs="Arial"/>
              </w:rPr>
            </w:pPr>
            <w:r w:rsidRPr="007667A9">
              <w:rPr>
                <w:rFonts w:eastAsia="Arial" w:cs="Arial"/>
                <w:color w:val="FFFFFF" w:themeColor="background1"/>
              </w:rPr>
              <w:t>Qualification</w:t>
            </w:r>
          </w:p>
        </w:tc>
        <w:tc>
          <w:tcPr>
            <w:tcW w:w="1303" w:type="dxa"/>
            <w:gridSpan w:val="2"/>
            <w:tcBorders>
              <w:top w:val="nil"/>
              <w:left w:val="nil"/>
              <w:bottom w:val="nil"/>
              <w:right w:val="nil"/>
            </w:tcBorders>
            <w:shd w:val="clear" w:color="auto" w:fill="2F005F"/>
            <w:tcMar>
              <w:left w:w="108" w:type="dxa"/>
              <w:right w:w="108" w:type="dxa"/>
            </w:tcMar>
            <w:vAlign w:val="center"/>
          </w:tcPr>
          <w:p w14:paraId="65B85D3F" w14:textId="77777777" w:rsidR="009F2EFF" w:rsidRPr="007667A9" w:rsidRDefault="009F2EFF" w:rsidP="005C34D6">
            <w:pPr>
              <w:jc w:val="center"/>
            </w:pPr>
            <w:r w:rsidRPr="007667A9">
              <w:t>Inner regional</w:t>
            </w:r>
          </w:p>
        </w:tc>
        <w:tc>
          <w:tcPr>
            <w:tcW w:w="1301" w:type="dxa"/>
            <w:gridSpan w:val="2"/>
            <w:tcBorders>
              <w:top w:val="nil"/>
              <w:left w:val="nil"/>
              <w:bottom w:val="nil"/>
              <w:right w:val="nil"/>
            </w:tcBorders>
            <w:shd w:val="clear" w:color="auto" w:fill="2F005F"/>
            <w:tcMar>
              <w:left w:w="108" w:type="dxa"/>
              <w:right w:w="108" w:type="dxa"/>
            </w:tcMar>
            <w:vAlign w:val="center"/>
          </w:tcPr>
          <w:p w14:paraId="6CDE1958" w14:textId="77777777" w:rsidR="009F2EFF" w:rsidRPr="007667A9" w:rsidRDefault="009F2EFF" w:rsidP="005C34D6">
            <w:pPr>
              <w:jc w:val="center"/>
            </w:pPr>
            <w:r w:rsidRPr="007667A9">
              <w:t>Outer regional</w:t>
            </w:r>
          </w:p>
        </w:tc>
        <w:tc>
          <w:tcPr>
            <w:tcW w:w="1098" w:type="dxa"/>
            <w:gridSpan w:val="2"/>
            <w:tcBorders>
              <w:top w:val="nil"/>
              <w:left w:val="nil"/>
              <w:bottom w:val="nil"/>
              <w:right w:val="nil"/>
            </w:tcBorders>
            <w:shd w:val="clear" w:color="auto" w:fill="2F005F"/>
            <w:tcMar>
              <w:left w:w="108" w:type="dxa"/>
              <w:right w:w="108" w:type="dxa"/>
            </w:tcMar>
            <w:vAlign w:val="center"/>
          </w:tcPr>
          <w:p w14:paraId="1F7F458C" w14:textId="77777777" w:rsidR="009F2EFF" w:rsidRPr="007667A9" w:rsidRDefault="009F2EFF" w:rsidP="005C34D6">
            <w:pPr>
              <w:jc w:val="center"/>
            </w:pPr>
            <w:r w:rsidRPr="007667A9">
              <w:t>Remote</w:t>
            </w:r>
          </w:p>
        </w:tc>
      </w:tr>
      <w:tr w:rsidR="009F2EFF" w:rsidRPr="001A4DAF" w14:paraId="6FADB9D8" w14:textId="77777777" w:rsidTr="004B7000">
        <w:trPr>
          <w:trHeight w:val="300"/>
        </w:trPr>
        <w:tc>
          <w:tcPr>
            <w:tcW w:w="5313" w:type="dxa"/>
            <w:tcBorders>
              <w:top w:val="nil"/>
              <w:left w:val="nil"/>
              <w:bottom w:val="nil"/>
              <w:right w:val="nil"/>
            </w:tcBorders>
            <w:tcMar>
              <w:left w:w="108" w:type="dxa"/>
              <w:right w:w="108" w:type="dxa"/>
            </w:tcMar>
            <w:vAlign w:val="center"/>
          </w:tcPr>
          <w:p w14:paraId="260769E0" w14:textId="77777777" w:rsidR="009F2EFF" w:rsidRPr="004B7000" w:rsidRDefault="009F2EFF" w:rsidP="006E7A8D">
            <w:r w:rsidRPr="004B7000">
              <w:t>Certificate III in Individual Support</w:t>
            </w:r>
          </w:p>
        </w:tc>
        <w:tc>
          <w:tcPr>
            <w:tcW w:w="948" w:type="dxa"/>
            <w:tcBorders>
              <w:top w:val="nil"/>
              <w:left w:val="nil"/>
              <w:bottom w:val="nil"/>
              <w:right w:val="nil"/>
            </w:tcBorders>
            <w:tcMar>
              <w:left w:w="108" w:type="dxa"/>
              <w:right w:w="108" w:type="dxa"/>
            </w:tcMar>
            <w:vAlign w:val="center"/>
          </w:tcPr>
          <w:p w14:paraId="057586A1" w14:textId="77777777" w:rsidR="009F2EFF" w:rsidRPr="004B7000" w:rsidRDefault="009F2EFF" w:rsidP="005C34D6">
            <w:pPr>
              <w:jc w:val="center"/>
            </w:pPr>
            <w:r w:rsidRPr="004B7000">
              <w:t>1</w:t>
            </w:r>
          </w:p>
        </w:tc>
        <w:tc>
          <w:tcPr>
            <w:tcW w:w="355" w:type="dxa"/>
            <w:tcBorders>
              <w:top w:val="nil"/>
              <w:left w:val="nil"/>
              <w:bottom w:val="nil"/>
              <w:right w:val="nil"/>
            </w:tcBorders>
            <w:tcMar>
              <w:left w:w="108" w:type="dxa"/>
              <w:right w:w="108" w:type="dxa"/>
            </w:tcMar>
            <w:vAlign w:val="center"/>
          </w:tcPr>
          <w:p w14:paraId="08BA7036"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tcMar>
              <w:left w:w="108" w:type="dxa"/>
              <w:right w:w="108" w:type="dxa"/>
            </w:tcMar>
            <w:vAlign w:val="center"/>
          </w:tcPr>
          <w:p w14:paraId="736F710D" w14:textId="77777777" w:rsidR="009F2EFF" w:rsidRPr="004B7000" w:rsidRDefault="009F2EFF" w:rsidP="005C34D6">
            <w:pPr>
              <w:jc w:val="center"/>
            </w:pPr>
            <w:r w:rsidRPr="004B7000">
              <w:t>1</w:t>
            </w:r>
          </w:p>
        </w:tc>
        <w:tc>
          <w:tcPr>
            <w:tcW w:w="294" w:type="dxa"/>
            <w:tcBorders>
              <w:top w:val="nil"/>
              <w:left w:val="nil"/>
              <w:bottom w:val="nil"/>
              <w:right w:val="nil"/>
            </w:tcBorders>
            <w:tcMar>
              <w:left w:w="108" w:type="dxa"/>
              <w:right w:w="108" w:type="dxa"/>
            </w:tcMar>
            <w:vAlign w:val="center"/>
          </w:tcPr>
          <w:p w14:paraId="1550EAB9"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tcMar>
              <w:left w:w="108" w:type="dxa"/>
              <w:right w:w="108" w:type="dxa"/>
            </w:tcMar>
            <w:vAlign w:val="center"/>
          </w:tcPr>
          <w:p w14:paraId="5C497D5E" w14:textId="77777777" w:rsidR="009F2EFF" w:rsidRPr="004B7000" w:rsidRDefault="009F2EFF" w:rsidP="005C34D6">
            <w:pPr>
              <w:jc w:val="center"/>
            </w:pPr>
            <w:r w:rsidRPr="004B7000">
              <w:t>4</w:t>
            </w:r>
          </w:p>
        </w:tc>
        <w:tc>
          <w:tcPr>
            <w:tcW w:w="303" w:type="dxa"/>
            <w:tcBorders>
              <w:top w:val="nil"/>
              <w:left w:val="nil"/>
              <w:bottom w:val="nil"/>
              <w:right w:val="nil"/>
            </w:tcBorders>
            <w:tcMar>
              <w:left w:w="108" w:type="dxa"/>
              <w:right w:w="108" w:type="dxa"/>
            </w:tcMar>
          </w:tcPr>
          <w:p w14:paraId="0A5B67E7" w14:textId="77777777" w:rsidR="009F2EFF" w:rsidRPr="001A4DAF" w:rsidRDefault="009F2EFF" w:rsidP="005C34D6">
            <w:pPr>
              <w:pStyle w:val="NoSpacing"/>
              <w:spacing w:after="100" w:line="264" w:lineRule="auto"/>
              <w:jc w:val="center"/>
              <w:rPr>
                <w:rFonts w:cs="Arial"/>
              </w:rPr>
            </w:pPr>
          </w:p>
        </w:tc>
      </w:tr>
      <w:tr w:rsidR="00A0598E" w:rsidRPr="001A4DAF" w14:paraId="077035BA" w14:textId="77777777" w:rsidTr="004B7000">
        <w:trPr>
          <w:trHeight w:val="302"/>
        </w:trPr>
        <w:tc>
          <w:tcPr>
            <w:tcW w:w="5313" w:type="dxa"/>
            <w:tcBorders>
              <w:top w:val="nil"/>
              <w:left w:val="nil"/>
              <w:bottom w:val="nil"/>
              <w:right w:val="nil"/>
            </w:tcBorders>
            <w:shd w:val="clear" w:color="auto" w:fill="E6E6E6"/>
            <w:tcMar>
              <w:left w:w="108" w:type="dxa"/>
              <w:right w:w="108" w:type="dxa"/>
            </w:tcMar>
            <w:vAlign w:val="center"/>
          </w:tcPr>
          <w:p w14:paraId="76BF84C2" w14:textId="77777777" w:rsidR="009F2EFF" w:rsidRPr="004B7000" w:rsidRDefault="009F2EFF" w:rsidP="006E7A8D">
            <w:r w:rsidRPr="004B7000">
              <w:t>Certificate III in Early Childhood Education and Care</w:t>
            </w:r>
          </w:p>
        </w:tc>
        <w:tc>
          <w:tcPr>
            <w:tcW w:w="948" w:type="dxa"/>
            <w:tcBorders>
              <w:top w:val="nil"/>
              <w:left w:val="nil"/>
              <w:bottom w:val="nil"/>
              <w:right w:val="nil"/>
            </w:tcBorders>
            <w:shd w:val="clear" w:color="auto" w:fill="E6E6E6"/>
            <w:tcMar>
              <w:left w:w="108" w:type="dxa"/>
              <w:right w:w="108" w:type="dxa"/>
            </w:tcMar>
            <w:vAlign w:val="center"/>
          </w:tcPr>
          <w:p w14:paraId="2C54F8E5" w14:textId="77777777" w:rsidR="009F2EFF" w:rsidRPr="004B7000" w:rsidRDefault="009F2EFF" w:rsidP="005C34D6">
            <w:pPr>
              <w:jc w:val="center"/>
            </w:pPr>
            <w:r w:rsidRPr="004B7000">
              <w:t>2</w:t>
            </w:r>
          </w:p>
        </w:tc>
        <w:tc>
          <w:tcPr>
            <w:tcW w:w="355" w:type="dxa"/>
            <w:tcBorders>
              <w:top w:val="nil"/>
              <w:left w:val="nil"/>
              <w:bottom w:val="nil"/>
              <w:right w:val="nil"/>
            </w:tcBorders>
            <w:shd w:val="clear" w:color="auto" w:fill="E6E6E6"/>
            <w:tcMar>
              <w:left w:w="108" w:type="dxa"/>
              <w:right w:w="108" w:type="dxa"/>
            </w:tcMar>
            <w:vAlign w:val="center"/>
          </w:tcPr>
          <w:p w14:paraId="52DD2AC1"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shd w:val="clear" w:color="auto" w:fill="E6E6E6"/>
            <w:tcMar>
              <w:left w:w="108" w:type="dxa"/>
              <w:right w:w="108" w:type="dxa"/>
            </w:tcMar>
            <w:vAlign w:val="center"/>
          </w:tcPr>
          <w:p w14:paraId="09BE057C" w14:textId="77777777" w:rsidR="009F2EFF" w:rsidRPr="004B7000" w:rsidRDefault="009F2EFF" w:rsidP="005C34D6">
            <w:pPr>
              <w:jc w:val="center"/>
            </w:pPr>
            <w:r w:rsidRPr="004B7000">
              <w:t>3</w:t>
            </w:r>
          </w:p>
        </w:tc>
        <w:tc>
          <w:tcPr>
            <w:tcW w:w="294" w:type="dxa"/>
            <w:tcBorders>
              <w:top w:val="nil"/>
              <w:left w:val="nil"/>
              <w:bottom w:val="nil"/>
              <w:right w:val="nil"/>
            </w:tcBorders>
            <w:shd w:val="clear" w:color="auto" w:fill="E6E6E6"/>
            <w:tcMar>
              <w:left w:w="108" w:type="dxa"/>
              <w:right w:w="108" w:type="dxa"/>
            </w:tcMar>
            <w:vAlign w:val="center"/>
          </w:tcPr>
          <w:p w14:paraId="59E51194"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shd w:val="clear" w:color="auto" w:fill="E6E6E6"/>
            <w:tcMar>
              <w:left w:w="108" w:type="dxa"/>
              <w:right w:w="108" w:type="dxa"/>
            </w:tcMar>
            <w:vAlign w:val="center"/>
          </w:tcPr>
          <w:p w14:paraId="43E0490F" w14:textId="77777777" w:rsidR="009F2EFF" w:rsidRPr="004B7000" w:rsidRDefault="009F2EFF" w:rsidP="005C34D6">
            <w:pPr>
              <w:jc w:val="center"/>
            </w:pPr>
            <w:r w:rsidRPr="004B7000">
              <w:t>1</w:t>
            </w:r>
          </w:p>
        </w:tc>
        <w:tc>
          <w:tcPr>
            <w:tcW w:w="303" w:type="dxa"/>
            <w:tcBorders>
              <w:top w:val="nil"/>
              <w:left w:val="nil"/>
              <w:bottom w:val="nil"/>
              <w:right w:val="nil"/>
            </w:tcBorders>
            <w:shd w:val="clear" w:color="auto" w:fill="E6E6E6"/>
            <w:tcMar>
              <w:left w:w="108" w:type="dxa"/>
              <w:right w:w="108" w:type="dxa"/>
            </w:tcMar>
          </w:tcPr>
          <w:p w14:paraId="0E5FACAE" w14:textId="77777777" w:rsidR="009F2EFF" w:rsidRPr="001A4DAF" w:rsidRDefault="009F2EFF" w:rsidP="005C34D6">
            <w:pPr>
              <w:pStyle w:val="NoSpacing"/>
              <w:spacing w:after="100" w:line="264" w:lineRule="auto"/>
              <w:jc w:val="center"/>
              <w:rPr>
                <w:rFonts w:cs="Arial"/>
              </w:rPr>
            </w:pPr>
          </w:p>
        </w:tc>
      </w:tr>
      <w:tr w:rsidR="009F2EFF" w:rsidRPr="001A4DAF" w14:paraId="5C51EA16" w14:textId="77777777" w:rsidTr="004B7000">
        <w:trPr>
          <w:trHeight w:val="302"/>
        </w:trPr>
        <w:tc>
          <w:tcPr>
            <w:tcW w:w="5313" w:type="dxa"/>
            <w:tcBorders>
              <w:top w:val="nil"/>
              <w:left w:val="nil"/>
              <w:bottom w:val="nil"/>
              <w:right w:val="nil"/>
            </w:tcBorders>
            <w:tcMar>
              <w:left w:w="108" w:type="dxa"/>
              <w:right w:w="108" w:type="dxa"/>
            </w:tcMar>
            <w:vAlign w:val="center"/>
          </w:tcPr>
          <w:p w14:paraId="76C9E1FB" w14:textId="77777777" w:rsidR="009F2EFF" w:rsidRPr="004B7000" w:rsidRDefault="009F2EFF" w:rsidP="006E7A8D">
            <w:r w:rsidRPr="004B7000">
              <w:t>Certificate III in Carpentry</w:t>
            </w:r>
          </w:p>
        </w:tc>
        <w:tc>
          <w:tcPr>
            <w:tcW w:w="948" w:type="dxa"/>
            <w:tcBorders>
              <w:top w:val="nil"/>
              <w:left w:val="nil"/>
              <w:bottom w:val="nil"/>
              <w:right w:val="nil"/>
            </w:tcBorders>
            <w:tcMar>
              <w:left w:w="108" w:type="dxa"/>
              <w:right w:w="108" w:type="dxa"/>
            </w:tcMar>
            <w:vAlign w:val="center"/>
          </w:tcPr>
          <w:p w14:paraId="39EF49FA" w14:textId="77777777" w:rsidR="009F2EFF" w:rsidRPr="004B7000" w:rsidRDefault="009F2EFF" w:rsidP="005C34D6">
            <w:pPr>
              <w:jc w:val="center"/>
            </w:pPr>
            <w:r w:rsidRPr="004B7000">
              <w:t>3</w:t>
            </w:r>
          </w:p>
        </w:tc>
        <w:tc>
          <w:tcPr>
            <w:tcW w:w="355" w:type="dxa"/>
            <w:tcBorders>
              <w:top w:val="nil"/>
              <w:left w:val="nil"/>
              <w:bottom w:val="nil"/>
              <w:right w:val="nil"/>
            </w:tcBorders>
            <w:tcMar>
              <w:left w:w="108" w:type="dxa"/>
              <w:right w:w="108" w:type="dxa"/>
            </w:tcMar>
            <w:vAlign w:val="center"/>
          </w:tcPr>
          <w:p w14:paraId="2BF5D5F6"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tcMar>
              <w:left w:w="108" w:type="dxa"/>
              <w:right w:w="108" w:type="dxa"/>
            </w:tcMar>
            <w:vAlign w:val="center"/>
          </w:tcPr>
          <w:p w14:paraId="111E058D" w14:textId="77777777" w:rsidR="009F2EFF" w:rsidRPr="004B7000" w:rsidRDefault="009F2EFF" w:rsidP="005C34D6">
            <w:pPr>
              <w:jc w:val="center"/>
            </w:pPr>
            <w:r w:rsidRPr="004B7000">
              <w:t>4</w:t>
            </w:r>
          </w:p>
        </w:tc>
        <w:tc>
          <w:tcPr>
            <w:tcW w:w="294" w:type="dxa"/>
            <w:tcBorders>
              <w:top w:val="nil"/>
              <w:left w:val="nil"/>
              <w:bottom w:val="nil"/>
              <w:right w:val="nil"/>
            </w:tcBorders>
            <w:tcMar>
              <w:left w:w="108" w:type="dxa"/>
              <w:right w:w="108" w:type="dxa"/>
            </w:tcMar>
            <w:vAlign w:val="center"/>
          </w:tcPr>
          <w:p w14:paraId="47C7BB21"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tcMar>
              <w:left w:w="108" w:type="dxa"/>
              <w:right w:w="108" w:type="dxa"/>
            </w:tcMar>
            <w:vAlign w:val="center"/>
          </w:tcPr>
          <w:p w14:paraId="5462B0B6" w14:textId="77777777" w:rsidR="009F2EFF" w:rsidRPr="004B7000" w:rsidRDefault="009F2EFF" w:rsidP="005C34D6">
            <w:pPr>
              <w:jc w:val="center"/>
            </w:pPr>
            <w:r w:rsidRPr="004B7000">
              <w:t>8</w:t>
            </w:r>
          </w:p>
        </w:tc>
        <w:tc>
          <w:tcPr>
            <w:tcW w:w="303" w:type="dxa"/>
            <w:tcBorders>
              <w:top w:val="nil"/>
              <w:left w:val="nil"/>
              <w:bottom w:val="nil"/>
              <w:right w:val="nil"/>
            </w:tcBorders>
            <w:tcMar>
              <w:left w:w="108" w:type="dxa"/>
              <w:right w:w="108" w:type="dxa"/>
            </w:tcMar>
          </w:tcPr>
          <w:p w14:paraId="69221A25" w14:textId="77777777" w:rsidR="009F2EFF" w:rsidRPr="001A4DAF" w:rsidRDefault="009F2EFF" w:rsidP="005C34D6">
            <w:pPr>
              <w:pStyle w:val="NoSpacing"/>
              <w:spacing w:after="100" w:line="264" w:lineRule="auto"/>
              <w:jc w:val="center"/>
              <w:rPr>
                <w:rFonts w:cs="Arial"/>
              </w:rPr>
            </w:pPr>
          </w:p>
        </w:tc>
      </w:tr>
      <w:tr w:rsidR="00A0598E" w:rsidRPr="001A4DAF" w14:paraId="7E4537F5" w14:textId="77777777" w:rsidTr="004B7000">
        <w:trPr>
          <w:trHeight w:val="302"/>
        </w:trPr>
        <w:tc>
          <w:tcPr>
            <w:tcW w:w="5313" w:type="dxa"/>
            <w:tcBorders>
              <w:top w:val="nil"/>
              <w:left w:val="nil"/>
              <w:bottom w:val="nil"/>
              <w:right w:val="nil"/>
            </w:tcBorders>
            <w:shd w:val="clear" w:color="auto" w:fill="E6E6E6"/>
            <w:tcMar>
              <w:left w:w="108" w:type="dxa"/>
              <w:right w:w="108" w:type="dxa"/>
            </w:tcMar>
            <w:vAlign w:val="center"/>
          </w:tcPr>
          <w:p w14:paraId="4D8E365E" w14:textId="77777777" w:rsidR="009F2EFF" w:rsidRPr="004B7000" w:rsidRDefault="009F2EFF" w:rsidP="006E7A8D">
            <w:r w:rsidRPr="004B7000">
              <w:t>Certificate III in Business</w:t>
            </w:r>
          </w:p>
        </w:tc>
        <w:tc>
          <w:tcPr>
            <w:tcW w:w="948" w:type="dxa"/>
            <w:tcBorders>
              <w:top w:val="nil"/>
              <w:left w:val="nil"/>
              <w:bottom w:val="nil"/>
              <w:right w:val="nil"/>
            </w:tcBorders>
            <w:shd w:val="clear" w:color="auto" w:fill="E6E6E6"/>
            <w:tcMar>
              <w:left w:w="108" w:type="dxa"/>
              <w:right w:w="108" w:type="dxa"/>
            </w:tcMar>
            <w:vAlign w:val="center"/>
          </w:tcPr>
          <w:p w14:paraId="63C88EF6" w14:textId="77777777" w:rsidR="009F2EFF" w:rsidRPr="004B7000" w:rsidRDefault="009F2EFF" w:rsidP="005C34D6">
            <w:pPr>
              <w:jc w:val="center"/>
            </w:pPr>
            <w:r w:rsidRPr="004B7000">
              <w:t>4</w:t>
            </w:r>
          </w:p>
        </w:tc>
        <w:tc>
          <w:tcPr>
            <w:tcW w:w="355" w:type="dxa"/>
            <w:tcBorders>
              <w:top w:val="nil"/>
              <w:left w:val="nil"/>
              <w:bottom w:val="nil"/>
              <w:right w:val="nil"/>
            </w:tcBorders>
            <w:shd w:val="clear" w:color="auto" w:fill="E6E6E6"/>
            <w:tcMar>
              <w:left w:w="108" w:type="dxa"/>
              <w:right w:w="108" w:type="dxa"/>
            </w:tcMar>
            <w:vAlign w:val="center"/>
          </w:tcPr>
          <w:p w14:paraId="202152E7"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shd w:val="clear" w:color="auto" w:fill="E6E6E6"/>
            <w:tcMar>
              <w:left w:w="108" w:type="dxa"/>
              <w:right w:w="108" w:type="dxa"/>
            </w:tcMar>
            <w:vAlign w:val="center"/>
          </w:tcPr>
          <w:p w14:paraId="39763219" w14:textId="77777777" w:rsidR="009F2EFF" w:rsidRPr="004B7000" w:rsidRDefault="009F2EFF" w:rsidP="005C34D6">
            <w:pPr>
              <w:jc w:val="center"/>
            </w:pPr>
            <w:r w:rsidRPr="004B7000">
              <w:t>2</w:t>
            </w:r>
          </w:p>
        </w:tc>
        <w:tc>
          <w:tcPr>
            <w:tcW w:w="294" w:type="dxa"/>
            <w:tcBorders>
              <w:top w:val="nil"/>
              <w:left w:val="nil"/>
              <w:bottom w:val="nil"/>
              <w:right w:val="nil"/>
            </w:tcBorders>
            <w:shd w:val="clear" w:color="auto" w:fill="E6E6E6"/>
            <w:tcMar>
              <w:left w:w="108" w:type="dxa"/>
              <w:right w:w="108" w:type="dxa"/>
            </w:tcMar>
            <w:vAlign w:val="center"/>
          </w:tcPr>
          <w:p w14:paraId="066CBC2E"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shd w:val="clear" w:color="auto" w:fill="E6E6E6"/>
            <w:tcMar>
              <w:left w:w="108" w:type="dxa"/>
              <w:right w:w="108" w:type="dxa"/>
            </w:tcMar>
            <w:vAlign w:val="center"/>
          </w:tcPr>
          <w:p w14:paraId="147BF50C" w14:textId="77777777" w:rsidR="009F2EFF" w:rsidRPr="004B7000" w:rsidRDefault="009F2EFF" w:rsidP="005C34D6">
            <w:pPr>
              <w:jc w:val="center"/>
            </w:pPr>
            <w:r w:rsidRPr="004B7000">
              <w:t>2</w:t>
            </w:r>
          </w:p>
        </w:tc>
        <w:tc>
          <w:tcPr>
            <w:tcW w:w="303" w:type="dxa"/>
            <w:tcBorders>
              <w:top w:val="nil"/>
              <w:left w:val="nil"/>
              <w:bottom w:val="nil"/>
              <w:right w:val="nil"/>
            </w:tcBorders>
            <w:shd w:val="clear" w:color="auto" w:fill="E6E6E6"/>
            <w:tcMar>
              <w:left w:w="108" w:type="dxa"/>
              <w:right w:w="108" w:type="dxa"/>
            </w:tcMar>
          </w:tcPr>
          <w:p w14:paraId="72749A02" w14:textId="77777777" w:rsidR="009F2EFF" w:rsidRPr="001A4DAF" w:rsidRDefault="009F2EFF" w:rsidP="005C34D6">
            <w:pPr>
              <w:pStyle w:val="NoSpacing"/>
              <w:spacing w:after="100" w:line="264" w:lineRule="auto"/>
              <w:jc w:val="center"/>
              <w:rPr>
                <w:rFonts w:cs="Arial"/>
              </w:rPr>
            </w:pPr>
          </w:p>
        </w:tc>
      </w:tr>
      <w:tr w:rsidR="009F2EFF" w:rsidRPr="001A4DAF" w14:paraId="2EE2C70F" w14:textId="77777777" w:rsidTr="004B7000">
        <w:trPr>
          <w:trHeight w:val="302"/>
        </w:trPr>
        <w:tc>
          <w:tcPr>
            <w:tcW w:w="5313" w:type="dxa"/>
            <w:tcBorders>
              <w:top w:val="nil"/>
              <w:left w:val="nil"/>
              <w:bottom w:val="nil"/>
              <w:right w:val="nil"/>
            </w:tcBorders>
            <w:tcMar>
              <w:left w:w="108" w:type="dxa"/>
              <w:right w:w="108" w:type="dxa"/>
            </w:tcMar>
            <w:vAlign w:val="center"/>
          </w:tcPr>
          <w:p w14:paraId="4080AE4F" w14:textId="77777777" w:rsidR="009F2EFF" w:rsidRPr="004B7000" w:rsidRDefault="009F2EFF" w:rsidP="006E7A8D">
            <w:r w:rsidRPr="004B7000">
              <w:t>Certificate III in Electrotechnology Electrician</w:t>
            </w:r>
          </w:p>
        </w:tc>
        <w:tc>
          <w:tcPr>
            <w:tcW w:w="948" w:type="dxa"/>
            <w:tcBorders>
              <w:top w:val="nil"/>
              <w:left w:val="nil"/>
              <w:bottom w:val="nil"/>
              <w:right w:val="nil"/>
            </w:tcBorders>
            <w:tcMar>
              <w:left w:w="108" w:type="dxa"/>
              <w:right w:w="108" w:type="dxa"/>
            </w:tcMar>
            <w:vAlign w:val="center"/>
          </w:tcPr>
          <w:p w14:paraId="23ABF3BA" w14:textId="77777777" w:rsidR="009F2EFF" w:rsidRPr="004B7000" w:rsidRDefault="009F2EFF" w:rsidP="005C34D6">
            <w:pPr>
              <w:jc w:val="center"/>
            </w:pPr>
            <w:r w:rsidRPr="004B7000">
              <w:t>5</w:t>
            </w:r>
          </w:p>
        </w:tc>
        <w:tc>
          <w:tcPr>
            <w:tcW w:w="355" w:type="dxa"/>
            <w:tcBorders>
              <w:top w:val="nil"/>
              <w:left w:val="nil"/>
              <w:bottom w:val="nil"/>
              <w:right w:val="nil"/>
            </w:tcBorders>
            <w:tcMar>
              <w:left w:w="108" w:type="dxa"/>
              <w:right w:w="108" w:type="dxa"/>
            </w:tcMar>
            <w:vAlign w:val="center"/>
          </w:tcPr>
          <w:p w14:paraId="16B1F70C"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tcMar>
              <w:left w:w="108" w:type="dxa"/>
              <w:right w:w="108" w:type="dxa"/>
            </w:tcMar>
            <w:vAlign w:val="center"/>
          </w:tcPr>
          <w:p w14:paraId="445F3DFB" w14:textId="77777777" w:rsidR="009F2EFF" w:rsidRPr="004B7000" w:rsidRDefault="009F2EFF" w:rsidP="005C34D6">
            <w:pPr>
              <w:jc w:val="center"/>
            </w:pPr>
            <w:r w:rsidRPr="004B7000">
              <w:t>5</w:t>
            </w:r>
          </w:p>
        </w:tc>
        <w:tc>
          <w:tcPr>
            <w:tcW w:w="294" w:type="dxa"/>
            <w:tcBorders>
              <w:top w:val="nil"/>
              <w:left w:val="nil"/>
              <w:bottom w:val="nil"/>
              <w:right w:val="nil"/>
            </w:tcBorders>
            <w:tcMar>
              <w:left w:w="108" w:type="dxa"/>
              <w:right w:w="108" w:type="dxa"/>
            </w:tcMar>
            <w:vAlign w:val="center"/>
          </w:tcPr>
          <w:p w14:paraId="14D9AFFC"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tcMar>
              <w:left w:w="108" w:type="dxa"/>
              <w:right w:w="108" w:type="dxa"/>
            </w:tcMar>
            <w:vAlign w:val="center"/>
          </w:tcPr>
          <w:p w14:paraId="7E411C4D" w14:textId="77777777" w:rsidR="009F2EFF" w:rsidRPr="004B7000" w:rsidRDefault="009F2EFF" w:rsidP="005C34D6">
            <w:pPr>
              <w:jc w:val="center"/>
            </w:pPr>
            <w:r w:rsidRPr="004B7000">
              <w:t>5</w:t>
            </w:r>
          </w:p>
        </w:tc>
        <w:tc>
          <w:tcPr>
            <w:tcW w:w="303" w:type="dxa"/>
            <w:tcBorders>
              <w:top w:val="nil"/>
              <w:left w:val="nil"/>
              <w:bottom w:val="nil"/>
              <w:right w:val="nil"/>
            </w:tcBorders>
            <w:tcMar>
              <w:left w:w="108" w:type="dxa"/>
              <w:right w:w="108" w:type="dxa"/>
            </w:tcMar>
          </w:tcPr>
          <w:p w14:paraId="22E7BA4C" w14:textId="77777777" w:rsidR="009F2EFF" w:rsidRPr="001A4DAF" w:rsidRDefault="009F2EFF" w:rsidP="005C34D6">
            <w:pPr>
              <w:pStyle w:val="NoSpacing"/>
              <w:spacing w:after="100" w:line="264" w:lineRule="auto"/>
              <w:jc w:val="center"/>
              <w:rPr>
                <w:rFonts w:cs="Arial"/>
              </w:rPr>
            </w:pPr>
          </w:p>
        </w:tc>
      </w:tr>
      <w:tr w:rsidR="00A0598E" w:rsidRPr="001A4DAF" w14:paraId="2D0EBA65" w14:textId="77777777" w:rsidTr="004B7000">
        <w:trPr>
          <w:trHeight w:val="302"/>
        </w:trPr>
        <w:tc>
          <w:tcPr>
            <w:tcW w:w="5313" w:type="dxa"/>
            <w:tcBorders>
              <w:top w:val="nil"/>
              <w:left w:val="nil"/>
              <w:bottom w:val="nil"/>
              <w:right w:val="nil"/>
            </w:tcBorders>
            <w:shd w:val="clear" w:color="auto" w:fill="E6E6E6"/>
            <w:tcMar>
              <w:left w:w="108" w:type="dxa"/>
              <w:right w:w="108" w:type="dxa"/>
            </w:tcMar>
            <w:vAlign w:val="center"/>
          </w:tcPr>
          <w:p w14:paraId="4CFB4EEF" w14:textId="77777777" w:rsidR="009F2EFF" w:rsidRPr="004B7000" w:rsidRDefault="009F2EFF" w:rsidP="006E7A8D">
            <w:r w:rsidRPr="004B7000">
              <w:t>Certificate IV in Training and Assessment</w:t>
            </w:r>
          </w:p>
        </w:tc>
        <w:tc>
          <w:tcPr>
            <w:tcW w:w="948" w:type="dxa"/>
            <w:tcBorders>
              <w:top w:val="nil"/>
              <w:left w:val="nil"/>
              <w:bottom w:val="nil"/>
              <w:right w:val="nil"/>
            </w:tcBorders>
            <w:shd w:val="clear" w:color="auto" w:fill="E6E6E6"/>
            <w:tcMar>
              <w:left w:w="108" w:type="dxa"/>
              <w:right w:w="108" w:type="dxa"/>
            </w:tcMar>
            <w:vAlign w:val="center"/>
          </w:tcPr>
          <w:p w14:paraId="60100169" w14:textId="77777777" w:rsidR="009F2EFF" w:rsidRPr="004B7000" w:rsidRDefault="009F2EFF" w:rsidP="005C34D6">
            <w:pPr>
              <w:jc w:val="center"/>
            </w:pPr>
            <w:r w:rsidRPr="004B7000">
              <w:t>6</w:t>
            </w:r>
          </w:p>
        </w:tc>
        <w:tc>
          <w:tcPr>
            <w:tcW w:w="355" w:type="dxa"/>
            <w:tcBorders>
              <w:top w:val="nil"/>
              <w:left w:val="nil"/>
              <w:bottom w:val="nil"/>
              <w:right w:val="nil"/>
            </w:tcBorders>
            <w:shd w:val="clear" w:color="auto" w:fill="E6E6E6"/>
            <w:tcMar>
              <w:left w:w="108" w:type="dxa"/>
              <w:right w:w="108" w:type="dxa"/>
            </w:tcMar>
            <w:vAlign w:val="center"/>
          </w:tcPr>
          <w:p w14:paraId="61130A22"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shd w:val="clear" w:color="auto" w:fill="E6E6E6"/>
            <w:tcMar>
              <w:left w:w="108" w:type="dxa"/>
              <w:right w:w="108" w:type="dxa"/>
            </w:tcMar>
            <w:vAlign w:val="center"/>
          </w:tcPr>
          <w:p w14:paraId="3278B742" w14:textId="77777777" w:rsidR="009F2EFF" w:rsidRPr="004B7000" w:rsidRDefault="009F2EFF" w:rsidP="005C34D6">
            <w:pPr>
              <w:jc w:val="center"/>
            </w:pPr>
            <w:r w:rsidRPr="004B7000">
              <w:t>7</w:t>
            </w:r>
          </w:p>
        </w:tc>
        <w:tc>
          <w:tcPr>
            <w:tcW w:w="294" w:type="dxa"/>
            <w:tcBorders>
              <w:top w:val="nil"/>
              <w:left w:val="nil"/>
              <w:bottom w:val="nil"/>
              <w:right w:val="nil"/>
            </w:tcBorders>
            <w:shd w:val="clear" w:color="auto" w:fill="E6E6E6"/>
            <w:tcMar>
              <w:left w:w="108" w:type="dxa"/>
              <w:right w:w="108" w:type="dxa"/>
            </w:tcMar>
            <w:vAlign w:val="center"/>
          </w:tcPr>
          <w:p w14:paraId="5C1B30F2"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shd w:val="clear" w:color="auto" w:fill="E6E6E6"/>
            <w:tcMar>
              <w:left w:w="108" w:type="dxa"/>
              <w:right w:w="108" w:type="dxa"/>
            </w:tcMar>
            <w:vAlign w:val="center"/>
          </w:tcPr>
          <w:p w14:paraId="1A31A92E" w14:textId="77777777" w:rsidR="009F2EFF" w:rsidRPr="004B7000" w:rsidRDefault="009F2EFF" w:rsidP="005C34D6">
            <w:pPr>
              <w:jc w:val="center"/>
            </w:pPr>
            <w:r w:rsidRPr="004B7000">
              <w:t>6</w:t>
            </w:r>
          </w:p>
        </w:tc>
        <w:tc>
          <w:tcPr>
            <w:tcW w:w="303" w:type="dxa"/>
            <w:tcBorders>
              <w:top w:val="nil"/>
              <w:left w:val="nil"/>
              <w:bottom w:val="nil"/>
              <w:right w:val="nil"/>
            </w:tcBorders>
            <w:shd w:val="clear" w:color="auto" w:fill="E6E6E6"/>
            <w:tcMar>
              <w:left w:w="108" w:type="dxa"/>
              <w:right w:w="108" w:type="dxa"/>
            </w:tcMar>
          </w:tcPr>
          <w:p w14:paraId="7E340773" w14:textId="77777777" w:rsidR="009F2EFF" w:rsidRPr="001A4DAF" w:rsidRDefault="009F2EFF" w:rsidP="005C34D6">
            <w:pPr>
              <w:pStyle w:val="NoSpacing"/>
              <w:spacing w:after="100" w:line="264" w:lineRule="auto"/>
              <w:jc w:val="center"/>
              <w:rPr>
                <w:rFonts w:cs="Arial"/>
              </w:rPr>
            </w:pPr>
          </w:p>
        </w:tc>
      </w:tr>
      <w:tr w:rsidR="009F2EFF" w:rsidRPr="001A4DAF" w14:paraId="1C9B4EFD" w14:textId="77777777" w:rsidTr="004B7000">
        <w:trPr>
          <w:trHeight w:val="302"/>
        </w:trPr>
        <w:tc>
          <w:tcPr>
            <w:tcW w:w="5313" w:type="dxa"/>
            <w:tcBorders>
              <w:top w:val="nil"/>
              <w:left w:val="nil"/>
              <w:bottom w:val="nil"/>
              <w:right w:val="nil"/>
            </w:tcBorders>
            <w:tcMar>
              <w:left w:w="108" w:type="dxa"/>
              <w:right w:w="108" w:type="dxa"/>
            </w:tcMar>
            <w:vAlign w:val="center"/>
          </w:tcPr>
          <w:p w14:paraId="291172A9" w14:textId="77777777" w:rsidR="009F2EFF" w:rsidRPr="004B7000" w:rsidRDefault="009F2EFF" w:rsidP="006E7A8D">
            <w:r w:rsidRPr="004B7000">
              <w:t>Certificate II in Hospitality</w:t>
            </w:r>
          </w:p>
        </w:tc>
        <w:tc>
          <w:tcPr>
            <w:tcW w:w="948" w:type="dxa"/>
            <w:tcBorders>
              <w:top w:val="nil"/>
              <w:left w:val="nil"/>
              <w:bottom w:val="nil"/>
              <w:right w:val="nil"/>
            </w:tcBorders>
            <w:tcMar>
              <w:left w:w="108" w:type="dxa"/>
              <w:right w:w="108" w:type="dxa"/>
            </w:tcMar>
            <w:vAlign w:val="center"/>
          </w:tcPr>
          <w:p w14:paraId="1D687931" w14:textId="77777777" w:rsidR="009F2EFF" w:rsidRPr="004B7000" w:rsidRDefault="009F2EFF" w:rsidP="005C34D6">
            <w:pPr>
              <w:jc w:val="center"/>
            </w:pPr>
            <w:r w:rsidRPr="004B7000">
              <w:t>7</w:t>
            </w:r>
          </w:p>
        </w:tc>
        <w:tc>
          <w:tcPr>
            <w:tcW w:w="355" w:type="dxa"/>
            <w:tcBorders>
              <w:top w:val="nil"/>
              <w:left w:val="nil"/>
              <w:bottom w:val="nil"/>
              <w:right w:val="nil"/>
            </w:tcBorders>
            <w:tcMar>
              <w:left w:w="108" w:type="dxa"/>
              <w:right w:w="108" w:type="dxa"/>
            </w:tcMar>
            <w:vAlign w:val="center"/>
          </w:tcPr>
          <w:p w14:paraId="4BFDFE54"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tcMar>
              <w:left w:w="108" w:type="dxa"/>
              <w:right w:w="108" w:type="dxa"/>
            </w:tcMar>
            <w:vAlign w:val="center"/>
          </w:tcPr>
          <w:p w14:paraId="6A12B8D3" w14:textId="77777777" w:rsidR="009F2EFF" w:rsidRPr="004B7000" w:rsidRDefault="009F2EFF" w:rsidP="005C34D6">
            <w:pPr>
              <w:jc w:val="center"/>
            </w:pPr>
            <w:r w:rsidRPr="004B7000">
              <w:t>10</w:t>
            </w:r>
          </w:p>
        </w:tc>
        <w:tc>
          <w:tcPr>
            <w:tcW w:w="294" w:type="dxa"/>
            <w:tcBorders>
              <w:top w:val="nil"/>
              <w:left w:val="nil"/>
              <w:bottom w:val="nil"/>
              <w:right w:val="nil"/>
            </w:tcBorders>
            <w:tcMar>
              <w:left w:w="108" w:type="dxa"/>
              <w:right w:w="108" w:type="dxa"/>
            </w:tcMar>
            <w:vAlign w:val="center"/>
          </w:tcPr>
          <w:p w14:paraId="6B496E76"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tcMar>
              <w:left w:w="108" w:type="dxa"/>
              <w:right w:w="108" w:type="dxa"/>
            </w:tcMar>
            <w:vAlign w:val="center"/>
          </w:tcPr>
          <w:p w14:paraId="7B1F8FB6" w14:textId="77777777" w:rsidR="009F2EFF" w:rsidRPr="004B7000" w:rsidRDefault="009F2EFF" w:rsidP="005C34D6">
            <w:pPr>
              <w:jc w:val="center"/>
            </w:pPr>
            <w:r w:rsidRPr="004B7000">
              <w:t>16</w:t>
            </w:r>
          </w:p>
        </w:tc>
        <w:tc>
          <w:tcPr>
            <w:tcW w:w="303" w:type="dxa"/>
            <w:tcBorders>
              <w:top w:val="nil"/>
              <w:left w:val="nil"/>
              <w:bottom w:val="nil"/>
              <w:right w:val="nil"/>
            </w:tcBorders>
            <w:tcMar>
              <w:left w:w="108" w:type="dxa"/>
              <w:right w:w="108" w:type="dxa"/>
            </w:tcMar>
          </w:tcPr>
          <w:p w14:paraId="04D93A39" w14:textId="77777777" w:rsidR="009F2EFF" w:rsidRPr="001A4DAF" w:rsidRDefault="009F2EFF" w:rsidP="005C34D6">
            <w:pPr>
              <w:pStyle w:val="NoSpacing"/>
              <w:spacing w:after="100" w:line="264" w:lineRule="auto"/>
              <w:jc w:val="center"/>
              <w:rPr>
                <w:rFonts w:cs="Arial"/>
              </w:rPr>
            </w:pPr>
          </w:p>
        </w:tc>
      </w:tr>
      <w:tr w:rsidR="00A0598E" w:rsidRPr="001A4DAF" w14:paraId="02E87D39" w14:textId="77777777" w:rsidTr="004B7000">
        <w:trPr>
          <w:trHeight w:val="302"/>
        </w:trPr>
        <w:tc>
          <w:tcPr>
            <w:tcW w:w="5313" w:type="dxa"/>
            <w:tcBorders>
              <w:top w:val="nil"/>
              <w:left w:val="nil"/>
              <w:bottom w:val="nil"/>
              <w:right w:val="nil"/>
            </w:tcBorders>
            <w:shd w:val="clear" w:color="auto" w:fill="E6E6E6"/>
            <w:tcMar>
              <w:left w:w="108" w:type="dxa"/>
              <w:right w:w="108" w:type="dxa"/>
            </w:tcMar>
            <w:vAlign w:val="center"/>
          </w:tcPr>
          <w:p w14:paraId="0D31EED2" w14:textId="77777777" w:rsidR="009F2EFF" w:rsidRPr="004B7000" w:rsidRDefault="009F2EFF" w:rsidP="006E7A8D">
            <w:r w:rsidRPr="004B7000">
              <w:t>Certificate III in Fitness</w:t>
            </w:r>
          </w:p>
        </w:tc>
        <w:tc>
          <w:tcPr>
            <w:tcW w:w="948" w:type="dxa"/>
            <w:tcBorders>
              <w:top w:val="nil"/>
              <w:left w:val="nil"/>
              <w:bottom w:val="nil"/>
              <w:right w:val="nil"/>
            </w:tcBorders>
            <w:shd w:val="clear" w:color="auto" w:fill="E6E6E6"/>
            <w:tcMar>
              <w:left w:w="108" w:type="dxa"/>
              <w:right w:w="108" w:type="dxa"/>
            </w:tcMar>
            <w:vAlign w:val="center"/>
          </w:tcPr>
          <w:p w14:paraId="4FA39686" w14:textId="77777777" w:rsidR="009F2EFF" w:rsidRPr="004B7000" w:rsidRDefault="009F2EFF" w:rsidP="005C34D6">
            <w:pPr>
              <w:jc w:val="center"/>
            </w:pPr>
            <w:r w:rsidRPr="004B7000">
              <w:t>8</w:t>
            </w:r>
          </w:p>
        </w:tc>
        <w:tc>
          <w:tcPr>
            <w:tcW w:w="355" w:type="dxa"/>
            <w:tcBorders>
              <w:top w:val="nil"/>
              <w:left w:val="nil"/>
              <w:bottom w:val="nil"/>
              <w:right w:val="nil"/>
            </w:tcBorders>
            <w:shd w:val="clear" w:color="auto" w:fill="E6E6E6"/>
            <w:tcMar>
              <w:left w:w="108" w:type="dxa"/>
              <w:right w:w="108" w:type="dxa"/>
            </w:tcMar>
            <w:vAlign w:val="center"/>
          </w:tcPr>
          <w:p w14:paraId="51D28146"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shd w:val="clear" w:color="auto" w:fill="E6E6E6"/>
            <w:tcMar>
              <w:left w:w="108" w:type="dxa"/>
              <w:right w:w="108" w:type="dxa"/>
            </w:tcMar>
            <w:vAlign w:val="center"/>
          </w:tcPr>
          <w:p w14:paraId="13B6382B" w14:textId="77777777" w:rsidR="009F2EFF" w:rsidRPr="004B7000" w:rsidRDefault="009F2EFF" w:rsidP="005C34D6">
            <w:pPr>
              <w:jc w:val="center"/>
            </w:pPr>
            <w:r w:rsidRPr="004B7000">
              <w:t>9</w:t>
            </w:r>
          </w:p>
        </w:tc>
        <w:tc>
          <w:tcPr>
            <w:tcW w:w="294" w:type="dxa"/>
            <w:tcBorders>
              <w:top w:val="nil"/>
              <w:left w:val="nil"/>
              <w:bottom w:val="nil"/>
              <w:right w:val="nil"/>
            </w:tcBorders>
            <w:shd w:val="clear" w:color="auto" w:fill="E6E6E6"/>
            <w:tcMar>
              <w:left w:w="108" w:type="dxa"/>
              <w:right w:w="108" w:type="dxa"/>
            </w:tcMar>
            <w:vAlign w:val="center"/>
          </w:tcPr>
          <w:p w14:paraId="50958603"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shd w:val="clear" w:color="auto" w:fill="E6E6E6"/>
            <w:tcMar>
              <w:left w:w="108" w:type="dxa"/>
              <w:right w:w="108" w:type="dxa"/>
            </w:tcMar>
            <w:vAlign w:val="center"/>
          </w:tcPr>
          <w:p w14:paraId="13430A5E" w14:textId="77777777" w:rsidR="009F2EFF" w:rsidRPr="004B7000" w:rsidRDefault="009F2EFF" w:rsidP="005C34D6">
            <w:pPr>
              <w:jc w:val="center"/>
            </w:pPr>
            <w:r w:rsidRPr="004B7000">
              <w:t>13</w:t>
            </w:r>
          </w:p>
        </w:tc>
        <w:tc>
          <w:tcPr>
            <w:tcW w:w="303" w:type="dxa"/>
            <w:tcBorders>
              <w:top w:val="nil"/>
              <w:left w:val="nil"/>
              <w:bottom w:val="nil"/>
              <w:right w:val="nil"/>
            </w:tcBorders>
            <w:shd w:val="clear" w:color="auto" w:fill="E6E6E6"/>
            <w:tcMar>
              <w:left w:w="108" w:type="dxa"/>
              <w:right w:w="108" w:type="dxa"/>
            </w:tcMar>
          </w:tcPr>
          <w:p w14:paraId="0DF1737F" w14:textId="77777777" w:rsidR="009F2EFF" w:rsidRPr="001A4DAF" w:rsidRDefault="009F2EFF" w:rsidP="005C34D6">
            <w:pPr>
              <w:pStyle w:val="NoSpacing"/>
              <w:spacing w:after="100" w:line="264" w:lineRule="auto"/>
              <w:jc w:val="center"/>
              <w:rPr>
                <w:rFonts w:cs="Arial"/>
              </w:rPr>
            </w:pPr>
          </w:p>
        </w:tc>
      </w:tr>
      <w:tr w:rsidR="009F2EFF" w:rsidRPr="001A4DAF" w14:paraId="548FFBFF" w14:textId="77777777" w:rsidTr="004B7000">
        <w:trPr>
          <w:trHeight w:val="302"/>
        </w:trPr>
        <w:tc>
          <w:tcPr>
            <w:tcW w:w="5313" w:type="dxa"/>
            <w:tcBorders>
              <w:top w:val="nil"/>
              <w:left w:val="nil"/>
              <w:bottom w:val="nil"/>
              <w:right w:val="nil"/>
            </w:tcBorders>
            <w:tcMar>
              <w:left w:w="108" w:type="dxa"/>
              <w:right w:w="108" w:type="dxa"/>
            </w:tcMar>
            <w:vAlign w:val="center"/>
          </w:tcPr>
          <w:p w14:paraId="2C189C05" w14:textId="77777777" w:rsidR="009F2EFF" w:rsidRPr="004B7000" w:rsidRDefault="009F2EFF" w:rsidP="006E7A8D">
            <w:r w:rsidRPr="004B7000">
              <w:t>Diploma of Early Childhood Education and Care</w:t>
            </w:r>
          </w:p>
        </w:tc>
        <w:tc>
          <w:tcPr>
            <w:tcW w:w="948" w:type="dxa"/>
            <w:tcBorders>
              <w:top w:val="nil"/>
              <w:left w:val="nil"/>
              <w:bottom w:val="nil"/>
              <w:right w:val="nil"/>
            </w:tcBorders>
            <w:tcMar>
              <w:left w:w="108" w:type="dxa"/>
              <w:right w:w="108" w:type="dxa"/>
            </w:tcMar>
            <w:vAlign w:val="center"/>
          </w:tcPr>
          <w:p w14:paraId="47263B05" w14:textId="77777777" w:rsidR="009F2EFF" w:rsidRPr="004B7000" w:rsidRDefault="009F2EFF" w:rsidP="005C34D6">
            <w:pPr>
              <w:jc w:val="center"/>
            </w:pPr>
            <w:r w:rsidRPr="004B7000">
              <w:t>9</w:t>
            </w:r>
          </w:p>
        </w:tc>
        <w:tc>
          <w:tcPr>
            <w:tcW w:w="355" w:type="dxa"/>
            <w:tcBorders>
              <w:top w:val="nil"/>
              <w:left w:val="nil"/>
              <w:bottom w:val="nil"/>
              <w:right w:val="nil"/>
            </w:tcBorders>
            <w:tcMar>
              <w:left w:w="108" w:type="dxa"/>
              <w:right w:w="108" w:type="dxa"/>
            </w:tcMar>
            <w:vAlign w:val="center"/>
          </w:tcPr>
          <w:p w14:paraId="20B2F913"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tcMar>
              <w:left w:w="108" w:type="dxa"/>
              <w:right w:w="108" w:type="dxa"/>
            </w:tcMar>
            <w:vAlign w:val="center"/>
          </w:tcPr>
          <w:p w14:paraId="0D0A019B" w14:textId="77777777" w:rsidR="009F2EFF" w:rsidRPr="004B7000" w:rsidRDefault="009F2EFF" w:rsidP="005C34D6">
            <w:pPr>
              <w:jc w:val="center"/>
            </w:pPr>
            <w:r w:rsidRPr="004B7000">
              <w:t>13</w:t>
            </w:r>
          </w:p>
        </w:tc>
        <w:tc>
          <w:tcPr>
            <w:tcW w:w="294" w:type="dxa"/>
            <w:tcBorders>
              <w:top w:val="nil"/>
              <w:left w:val="nil"/>
              <w:bottom w:val="nil"/>
              <w:right w:val="nil"/>
            </w:tcBorders>
            <w:tcMar>
              <w:left w:w="108" w:type="dxa"/>
              <w:right w:w="108" w:type="dxa"/>
            </w:tcMar>
            <w:vAlign w:val="center"/>
          </w:tcPr>
          <w:p w14:paraId="53EC5785"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tcMar>
              <w:left w:w="108" w:type="dxa"/>
              <w:right w:w="108" w:type="dxa"/>
            </w:tcMar>
            <w:vAlign w:val="center"/>
          </w:tcPr>
          <w:p w14:paraId="2CE67CB5" w14:textId="77777777" w:rsidR="009F2EFF" w:rsidRPr="004B7000" w:rsidRDefault="009F2EFF" w:rsidP="005C34D6">
            <w:pPr>
              <w:jc w:val="center"/>
            </w:pPr>
            <w:r w:rsidRPr="004B7000">
              <w:t>15</w:t>
            </w:r>
          </w:p>
        </w:tc>
        <w:tc>
          <w:tcPr>
            <w:tcW w:w="303" w:type="dxa"/>
            <w:tcBorders>
              <w:top w:val="nil"/>
              <w:left w:val="nil"/>
              <w:bottom w:val="nil"/>
              <w:right w:val="nil"/>
            </w:tcBorders>
            <w:tcMar>
              <w:left w:w="108" w:type="dxa"/>
              <w:right w:w="108" w:type="dxa"/>
            </w:tcMar>
          </w:tcPr>
          <w:p w14:paraId="214AFB1B" w14:textId="77777777" w:rsidR="009F2EFF" w:rsidRPr="001A4DAF" w:rsidRDefault="009F2EFF" w:rsidP="005C34D6">
            <w:pPr>
              <w:pStyle w:val="NoSpacing"/>
              <w:spacing w:after="100" w:line="264" w:lineRule="auto"/>
              <w:jc w:val="center"/>
              <w:rPr>
                <w:rFonts w:cs="Arial"/>
              </w:rPr>
            </w:pPr>
          </w:p>
        </w:tc>
      </w:tr>
      <w:tr w:rsidR="00A0598E" w:rsidRPr="001A4DAF" w14:paraId="26667D57" w14:textId="77777777" w:rsidTr="004B7000">
        <w:trPr>
          <w:trHeight w:val="302"/>
        </w:trPr>
        <w:tc>
          <w:tcPr>
            <w:tcW w:w="5313" w:type="dxa"/>
            <w:tcBorders>
              <w:top w:val="nil"/>
              <w:left w:val="nil"/>
              <w:bottom w:val="nil"/>
              <w:right w:val="nil"/>
            </w:tcBorders>
            <w:shd w:val="clear" w:color="auto" w:fill="E6E6E6"/>
            <w:tcMar>
              <w:left w:w="108" w:type="dxa"/>
              <w:right w:w="108" w:type="dxa"/>
            </w:tcMar>
            <w:vAlign w:val="center"/>
          </w:tcPr>
          <w:p w14:paraId="32C34087" w14:textId="77777777" w:rsidR="009F2EFF" w:rsidRPr="004B7000" w:rsidRDefault="009F2EFF" w:rsidP="006E7A8D">
            <w:r w:rsidRPr="004B7000">
              <w:t>Certificate III in Civil Construction Plant Operations</w:t>
            </w:r>
          </w:p>
        </w:tc>
        <w:tc>
          <w:tcPr>
            <w:tcW w:w="948" w:type="dxa"/>
            <w:tcBorders>
              <w:top w:val="nil"/>
              <w:left w:val="nil"/>
              <w:bottom w:val="nil"/>
              <w:right w:val="nil"/>
            </w:tcBorders>
            <w:shd w:val="clear" w:color="auto" w:fill="E6E6E6"/>
            <w:tcMar>
              <w:left w:w="108" w:type="dxa"/>
              <w:right w:w="108" w:type="dxa"/>
            </w:tcMar>
            <w:vAlign w:val="center"/>
          </w:tcPr>
          <w:p w14:paraId="078F3B2F" w14:textId="77777777" w:rsidR="009F2EFF" w:rsidRPr="004B7000" w:rsidRDefault="009F2EFF" w:rsidP="005C34D6">
            <w:pPr>
              <w:jc w:val="center"/>
            </w:pPr>
            <w:r w:rsidRPr="004B7000">
              <w:t>10</w:t>
            </w:r>
          </w:p>
        </w:tc>
        <w:tc>
          <w:tcPr>
            <w:tcW w:w="355" w:type="dxa"/>
            <w:tcBorders>
              <w:top w:val="nil"/>
              <w:left w:val="nil"/>
              <w:bottom w:val="nil"/>
              <w:right w:val="nil"/>
            </w:tcBorders>
            <w:shd w:val="clear" w:color="auto" w:fill="E6E6E6"/>
            <w:tcMar>
              <w:left w:w="108" w:type="dxa"/>
              <w:right w:w="108" w:type="dxa"/>
            </w:tcMar>
            <w:vAlign w:val="center"/>
          </w:tcPr>
          <w:p w14:paraId="1CDE4022"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shd w:val="clear" w:color="auto" w:fill="E6E6E6"/>
            <w:tcMar>
              <w:left w:w="108" w:type="dxa"/>
              <w:right w:w="108" w:type="dxa"/>
            </w:tcMar>
            <w:vAlign w:val="center"/>
          </w:tcPr>
          <w:p w14:paraId="154F2BD3" w14:textId="77777777" w:rsidR="009F2EFF" w:rsidRPr="004B7000" w:rsidRDefault="009F2EFF" w:rsidP="005C34D6">
            <w:pPr>
              <w:jc w:val="center"/>
            </w:pPr>
            <w:r w:rsidRPr="004B7000">
              <w:t>8</w:t>
            </w:r>
          </w:p>
        </w:tc>
        <w:tc>
          <w:tcPr>
            <w:tcW w:w="294" w:type="dxa"/>
            <w:tcBorders>
              <w:top w:val="nil"/>
              <w:left w:val="nil"/>
              <w:bottom w:val="nil"/>
              <w:right w:val="nil"/>
            </w:tcBorders>
            <w:shd w:val="clear" w:color="auto" w:fill="E6E6E6"/>
            <w:tcMar>
              <w:left w:w="108" w:type="dxa"/>
              <w:right w:w="108" w:type="dxa"/>
            </w:tcMar>
            <w:vAlign w:val="center"/>
          </w:tcPr>
          <w:p w14:paraId="1950FE78"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shd w:val="clear" w:color="auto" w:fill="E6E6E6"/>
            <w:tcMar>
              <w:left w:w="108" w:type="dxa"/>
              <w:right w:w="108" w:type="dxa"/>
            </w:tcMar>
            <w:vAlign w:val="center"/>
          </w:tcPr>
          <w:p w14:paraId="533EF9A4" w14:textId="77777777" w:rsidR="009F2EFF" w:rsidRPr="004B7000" w:rsidRDefault="009F2EFF" w:rsidP="005C34D6">
            <w:pPr>
              <w:jc w:val="center"/>
            </w:pPr>
            <w:r w:rsidRPr="004B7000">
              <w:t>3</w:t>
            </w:r>
          </w:p>
        </w:tc>
        <w:tc>
          <w:tcPr>
            <w:tcW w:w="303" w:type="dxa"/>
            <w:tcBorders>
              <w:top w:val="nil"/>
              <w:left w:val="nil"/>
              <w:bottom w:val="nil"/>
              <w:right w:val="nil"/>
            </w:tcBorders>
            <w:shd w:val="clear" w:color="auto" w:fill="E6E6E6"/>
            <w:tcMar>
              <w:left w:w="108" w:type="dxa"/>
              <w:right w:w="108" w:type="dxa"/>
            </w:tcMar>
          </w:tcPr>
          <w:p w14:paraId="31FBDD53" w14:textId="77777777" w:rsidR="009F2EFF" w:rsidRPr="001A4DAF" w:rsidRDefault="009F2EFF" w:rsidP="005C34D6">
            <w:pPr>
              <w:pStyle w:val="NoSpacing"/>
              <w:spacing w:after="100" w:line="264" w:lineRule="auto"/>
              <w:jc w:val="center"/>
              <w:rPr>
                <w:rFonts w:cs="Arial"/>
              </w:rPr>
            </w:pPr>
          </w:p>
        </w:tc>
      </w:tr>
      <w:tr w:rsidR="009F2EFF" w:rsidRPr="001A4DAF" w14:paraId="5AE7F1E7" w14:textId="77777777" w:rsidTr="004B7000">
        <w:trPr>
          <w:trHeight w:val="302"/>
        </w:trPr>
        <w:tc>
          <w:tcPr>
            <w:tcW w:w="9015" w:type="dxa"/>
            <w:gridSpan w:val="7"/>
            <w:tcBorders>
              <w:top w:val="nil"/>
              <w:left w:val="nil"/>
              <w:bottom w:val="nil"/>
              <w:right w:val="nil"/>
            </w:tcBorders>
            <w:tcMar>
              <w:left w:w="108" w:type="dxa"/>
              <w:right w:w="108" w:type="dxa"/>
            </w:tcMar>
            <w:vAlign w:val="center"/>
          </w:tcPr>
          <w:p w14:paraId="44E33152" w14:textId="30766303" w:rsidR="009F2EFF" w:rsidRPr="005C34D6" w:rsidRDefault="009F2EFF" w:rsidP="005C34D6">
            <w:pPr>
              <w:jc w:val="center"/>
              <w:rPr>
                <w:b/>
                <w:bCs/>
              </w:rPr>
            </w:pPr>
            <w:r w:rsidRPr="005C34D6">
              <w:rPr>
                <w:b/>
                <w:bCs/>
              </w:rPr>
              <w:t>Qualification in the top 10 for outer regional and remote regions</w:t>
            </w:r>
          </w:p>
        </w:tc>
      </w:tr>
      <w:tr w:rsidR="00A0598E" w:rsidRPr="001A4DAF" w14:paraId="18B60B9D" w14:textId="77777777" w:rsidTr="004B7000">
        <w:trPr>
          <w:trHeight w:val="302"/>
        </w:trPr>
        <w:tc>
          <w:tcPr>
            <w:tcW w:w="5313" w:type="dxa"/>
            <w:tcBorders>
              <w:top w:val="nil"/>
              <w:left w:val="nil"/>
              <w:bottom w:val="nil"/>
              <w:right w:val="nil"/>
            </w:tcBorders>
            <w:shd w:val="clear" w:color="auto" w:fill="E6E6E6"/>
            <w:tcMar>
              <w:left w:w="108" w:type="dxa"/>
              <w:right w:w="108" w:type="dxa"/>
            </w:tcMar>
            <w:vAlign w:val="center"/>
          </w:tcPr>
          <w:p w14:paraId="0F37FFF7" w14:textId="77777777" w:rsidR="009F2EFF" w:rsidRPr="004B7000" w:rsidRDefault="009F2EFF" w:rsidP="006E7A8D">
            <w:r w:rsidRPr="004B7000">
              <w:t>Certificate II in Skills for Work and Vocational Pathways</w:t>
            </w:r>
          </w:p>
        </w:tc>
        <w:tc>
          <w:tcPr>
            <w:tcW w:w="948" w:type="dxa"/>
            <w:tcBorders>
              <w:top w:val="nil"/>
              <w:left w:val="nil"/>
              <w:bottom w:val="nil"/>
              <w:right w:val="nil"/>
            </w:tcBorders>
            <w:shd w:val="clear" w:color="auto" w:fill="E6E6E6"/>
            <w:tcMar>
              <w:left w:w="108" w:type="dxa"/>
              <w:right w:w="108" w:type="dxa"/>
            </w:tcMar>
            <w:vAlign w:val="center"/>
          </w:tcPr>
          <w:p w14:paraId="7263606C" w14:textId="77777777" w:rsidR="009F2EFF" w:rsidRPr="004B7000" w:rsidRDefault="009F2EFF" w:rsidP="005C34D6">
            <w:pPr>
              <w:jc w:val="center"/>
            </w:pPr>
            <w:r w:rsidRPr="004B7000">
              <w:t>12</w:t>
            </w:r>
          </w:p>
        </w:tc>
        <w:tc>
          <w:tcPr>
            <w:tcW w:w="355" w:type="dxa"/>
            <w:tcBorders>
              <w:top w:val="nil"/>
              <w:left w:val="nil"/>
              <w:bottom w:val="nil"/>
              <w:right w:val="nil"/>
            </w:tcBorders>
            <w:shd w:val="clear" w:color="auto" w:fill="E6E6E6"/>
            <w:tcMar>
              <w:left w:w="108" w:type="dxa"/>
              <w:right w:w="108" w:type="dxa"/>
            </w:tcMar>
            <w:vAlign w:val="center"/>
          </w:tcPr>
          <w:p w14:paraId="69770A31"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shd w:val="clear" w:color="auto" w:fill="E6E6E6"/>
            <w:tcMar>
              <w:left w:w="108" w:type="dxa"/>
              <w:right w:w="108" w:type="dxa"/>
            </w:tcMar>
            <w:vAlign w:val="center"/>
          </w:tcPr>
          <w:p w14:paraId="16CED67D" w14:textId="77777777" w:rsidR="009F2EFF" w:rsidRPr="004B7000" w:rsidRDefault="009F2EFF" w:rsidP="005C34D6">
            <w:pPr>
              <w:jc w:val="center"/>
            </w:pPr>
            <w:r w:rsidRPr="004B7000">
              <w:t>6</w:t>
            </w:r>
          </w:p>
        </w:tc>
        <w:tc>
          <w:tcPr>
            <w:tcW w:w="294" w:type="dxa"/>
            <w:tcBorders>
              <w:top w:val="nil"/>
              <w:left w:val="nil"/>
              <w:bottom w:val="nil"/>
              <w:right w:val="nil"/>
            </w:tcBorders>
            <w:shd w:val="clear" w:color="auto" w:fill="E6E6E6"/>
            <w:tcMar>
              <w:left w:w="108" w:type="dxa"/>
              <w:right w:w="108" w:type="dxa"/>
            </w:tcMar>
            <w:vAlign w:val="center"/>
          </w:tcPr>
          <w:p w14:paraId="18074757"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shd w:val="clear" w:color="auto" w:fill="E6E6E6"/>
            <w:tcMar>
              <w:left w:w="108" w:type="dxa"/>
              <w:right w:w="108" w:type="dxa"/>
            </w:tcMar>
            <w:vAlign w:val="center"/>
          </w:tcPr>
          <w:p w14:paraId="6A48847B" w14:textId="77777777" w:rsidR="009F2EFF" w:rsidRPr="004B7000" w:rsidRDefault="009F2EFF" w:rsidP="005C34D6">
            <w:pPr>
              <w:jc w:val="center"/>
            </w:pPr>
            <w:r w:rsidRPr="004B7000">
              <w:t>7</w:t>
            </w:r>
          </w:p>
        </w:tc>
        <w:tc>
          <w:tcPr>
            <w:tcW w:w="303" w:type="dxa"/>
            <w:tcBorders>
              <w:top w:val="nil"/>
              <w:left w:val="nil"/>
              <w:bottom w:val="nil"/>
              <w:right w:val="nil"/>
            </w:tcBorders>
            <w:shd w:val="clear" w:color="auto" w:fill="E6E6E6"/>
            <w:tcMar>
              <w:left w:w="108" w:type="dxa"/>
              <w:right w:w="108" w:type="dxa"/>
            </w:tcMar>
          </w:tcPr>
          <w:p w14:paraId="7B0F6581" w14:textId="77777777" w:rsidR="009F2EFF" w:rsidRPr="001A4DAF" w:rsidRDefault="009F2EFF" w:rsidP="005C34D6">
            <w:pPr>
              <w:pStyle w:val="NoSpacing"/>
              <w:spacing w:after="100" w:line="264" w:lineRule="auto"/>
              <w:jc w:val="center"/>
              <w:rPr>
                <w:rFonts w:cs="Arial"/>
              </w:rPr>
            </w:pPr>
          </w:p>
        </w:tc>
      </w:tr>
      <w:tr w:rsidR="009F2EFF" w:rsidRPr="001A4DAF" w14:paraId="0E760715" w14:textId="77777777" w:rsidTr="004B7000">
        <w:trPr>
          <w:trHeight w:val="302"/>
        </w:trPr>
        <w:tc>
          <w:tcPr>
            <w:tcW w:w="5313" w:type="dxa"/>
            <w:tcBorders>
              <w:top w:val="nil"/>
              <w:left w:val="nil"/>
              <w:bottom w:val="nil"/>
              <w:right w:val="nil"/>
            </w:tcBorders>
            <w:tcMar>
              <w:left w:w="108" w:type="dxa"/>
              <w:right w:w="108" w:type="dxa"/>
            </w:tcMar>
            <w:vAlign w:val="center"/>
          </w:tcPr>
          <w:p w14:paraId="1AE8425B" w14:textId="77777777" w:rsidR="009F2EFF" w:rsidRPr="004B7000" w:rsidRDefault="009F2EFF" w:rsidP="006E7A8D">
            <w:r w:rsidRPr="004B7000">
              <w:t>Certificate III in Engineering - Mechanical Trade</w:t>
            </w:r>
          </w:p>
        </w:tc>
        <w:tc>
          <w:tcPr>
            <w:tcW w:w="948" w:type="dxa"/>
            <w:tcBorders>
              <w:top w:val="nil"/>
              <w:left w:val="nil"/>
              <w:bottom w:val="nil"/>
              <w:right w:val="nil"/>
            </w:tcBorders>
            <w:tcMar>
              <w:left w:w="108" w:type="dxa"/>
              <w:right w:w="108" w:type="dxa"/>
            </w:tcMar>
            <w:vAlign w:val="center"/>
          </w:tcPr>
          <w:p w14:paraId="5B465900" w14:textId="77777777" w:rsidR="009F2EFF" w:rsidRPr="004B7000" w:rsidRDefault="009F2EFF" w:rsidP="005C34D6">
            <w:pPr>
              <w:jc w:val="center"/>
            </w:pPr>
            <w:r w:rsidRPr="004B7000">
              <w:t>32</w:t>
            </w:r>
          </w:p>
        </w:tc>
        <w:tc>
          <w:tcPr>
            <w:tcW w:w="355" w:type="dxa"/>
            <w:tcBorders>
              <w:top w:val="nil"/>
              <w:left w:val="nil"/>
              <w:bottom w:val="nil"/>
              <w:right w:val="nil"/>
            </w:tcBorders>
            <w:tcMar>
              <w:left w:w="108" w:type="dxa"/>
              <w:right w:w="108" w:type="dxa"/>
            </w:tcMar>
            <w:vAlign w:val="center"/>
          </w:tcPr>
          <w:p w14:paraId="34D13AD4"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nil"/>
              <w:right w:val="nil"/>
            </w:tcBorders>
            <w:tcMar>
              <w:left w:w="108" w:type="dxa"/>
              <w:right w:w="108" w:type="dxa"/>
            </w:tcMar>
            <w:vAlign w:val="center"/>
          </w:tcPr>
          <w:p w14:paraId="59CAAB15" w14:textId="77777777" w:rsidR="009F2EFF" w:rsidRPr="004B7000" w:rsidRDefault="009F2EFF" w:rsidP="005C34D6">
            <w:pPr>
              <w:jc w:val="center"/>
            </w:pPr>
            <w:r w:rsidRPr="004B7000">
              <w:t>20</w:t>
            </w:r>
          </w:p>
        </w:tc>
        <w:tc>
          <w:tcPr>
            <w:tcW w:w="294" w:type="dxa"/>
            <w:tcBorders>
              <w:top w:val="nil"/>
              <w:left w:val="nil"/>
              <w:bottom w:val="nil"/>
              <w:right w:val="nil"/>
            </w:tcBorders>
            <w:tcMar>
              <w:left w:w="108" w:type="dxa"/>
              <w:right w:w="108" w:type="dxa"/>
            </w:tcMar>
            <w:vAlign w:val="center"/>
          </w:tcPr>
          <w:p w14:paraId="4F123D30"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nil"/>
              <w:right w:val="nil"/>
            </w:tcBorders>
            <w:tcMar>
              <w:left w:w="108" w:type="dxa"/>
              <w:right w:w="108" w:type="dxa"/>
            </w:tcMar>
            <w:vAlign w:val="center"/>
          </w:tcPr>
          <w:p w14:paraId="09C23E3F" w14:textId="77777777" w:rsidR="009F2EFF" w:rsidRPr="004B7000" w:rsidRDefault="009F2EFF" w:rsidP="005C34D6">
            <w:pPr>
              <w:jc w:val="center"/>
            </w:pPr>
            <w:r w:rsidRPr="004B7000">
              <w:t>9</w:t>
            </w:r>
          </w:p>
        </w:tc>
        <w:tc>
          <w:tcPr>
            <w:tcW w:w="303" w:type="dxa"/>
            <w:tcBorders>
              <w:top w:val="nil"/>
              <w:left w:val="nil"/>
              <w:bottom w:val="nil"/>
              <w:right w:val="nil"/>
            </w:tcBorders>
            <w:tcMar>
              <w:left w:w="108" w:type="dxa"/>
              <w:right w:w="108" w:type="dxa"/>
            </w:tcMar>
          </w:tcPr>
          <w:p w14:paraId="7BDAA843" w14:textId="77777777" w:rsidR="009F2EFF" w:rsidRPr="001A4DAF" w:rsidRDefault="009F2EFF" w:rsidP="005C34D6">
            <w:pPr>
              <w:pStyle w:val="NoSpacing"/>
              <w:spacing w:after="100" w:line="264" w:lineRule="auto"/>
              <w:jc w:val="center"/>
              <w:rPr>
                <w:rFonts w:cs="Arial"/>
              </w:rPr>
            </w:pPr>
          </w:p>
        </w:tc>
      </w:tr>
      <w:tr w:rsidR="00A0598E" w:rsidRPr="001A4DAF" w14:paraId="2E20CFDC" w14:textId="77777777" w:rsidTr="004B7000">
        <w:trPr>
          <w:trHeight w:val="302"/>
        </w:trPr>
        <w:tc>
          <w:tcPr>
            <w:tcW w:w="5313" w:type="dxa"/>
            <w:tcBorders>
              <w:top w:val="nil"/>
              <w:left w:val="nil"/>
              <w:bottom w:val="single" w:sz="8" w:space="0" w:color="4B0885" w:themeColor="text2"/>
              <w:right w:val="nil"/>
            </w:tcBorders>
            <w:shd w:val="clear" w:color="auto" w:fill="E6E6E6"/>
            <w:tcMar>
              <w:left w:w="108" w:type="dxa"/>
              <w:right w:w="108" w:type="dxa"/>
            </w:tcMar>
            <w:vAlign w:val="center"/>
          </w:tcPr>
          <w:p w14:paraId="60FA641A" w14:textId="77777777" w:rsidR="009F2EFF" w:rsidRPr="004B7000" w:rsidRDefault="009F2EFF" w:rsidP="006E7A8D">
            <w:r w:rsidRPr="004B7000">
              <w:t>Certificate III in Agriculture</w:t>
            </w:r>
          </w:p>
        </w:tc>
        <w:tc>
          <w:tcPr>
            <w:tcW w:w="948" w:type="dxa"/>
            <w:tcBorders>
              <w:top w:val="nil"/>
              <w:left w:val="nil"/>
              <w:bottom w:val="single" w:sz="8" w:space="0" w:color="4B0885" w:themeColor="text2"/>
              <w:right w:val="nil"/>
            </w:tcBorders>
            <w:shd w:val="clear" w:color="auto" w:fill="E6E6E6"/>
            <w:tcMar>
              <w:left w:w="108" w:type="dxa"/>
              <w:right w:w="108" w:type="dxa"/>
            </w:tcMar>
            <w:vAlign w:val="center"/>
          </w:tcPr>
          <w:p w14:paraId="00DF317C" w14:textId="77777777" w:rsidR="009F2EFF" w:rsidRPr="004B7000" w:rsidRDefault="009F2EFF" w:rsidP="005C34D6">
            <w:pPr>
              <w:jc w:val="center"/>
            </w:pPr>
            <w:r w:rsidRPr="004B7000">
              <w:t>80</w:t>
            </w:r>
          </w:p>
        </w:tc>
        <w:tc>
          <w:tcPr>
            <w:tcW w:w="355" w:type="dxa"/>
            <w:tcBorders>
              <w:top w:val="nil"/>
              <w:left w:val="nil"/>
              <w:bottom w:val="single" w:sz="8" w:space="0" w:color="4B0885" w:themeColor="text2"/>
              <w:right w:val="nil"/>
            </w:tcBorders>
            <w:shd w:val="clear" w:color="auto" w:fill="E6E6E6"/>
            <w:tcMar>
              <w:left w:w="108" w:type="dxa"/>
              <w:right w:w="108" w:type="dxa"/>
            </w:tcMar>
            <w:vAlign w:val="center"/>
          </w:tcPr>
          <w:p w14:paraId="0D7A1514" w14:textId="77777777" w:rsidR="009F2EFF" w:rsidRPr="004B7000" w:rsidRDefault="009F2EFF" w:rsidP="005C34D6">
            <w:pPr>
              <w:pStyle w:val="NoSpacing"/>
              <w:spacing w:after="100" w:line="264" w:lineRule="auto"/>
              <w:jc w:val="center"/>
              <w:rPr>
                <w:rFonts w:cs="Arial"/>
                <w:sz w:val="20"/>
                <w:szCs w:val="20"/>
              </w:rPr>
            </w:pPr>
          </w:p>
        </w:tc>
        <w:tc>
          <w:tcPr>
            <w:tcW w:w="1007" w:type="dxa"/>
            <w:tcBorders>
              <w:top w:val="nil"/>
              <w:left w:val="nil"/>
              <w:bottom w:val="single" w:sz="8" w:space="0" w:color="4B0885" w:themeColor="text2"/>
              <w:right w:val="nil"/>
            </w:tcBorders>
            <w:shd w:val="clear" w:color="auto" w:fill="E6E6E6"/>
            <w:tcMar>
              <w:left w:w="108" w:type="dxa"/>
              <w:right w:w="108" w:type="dxa"/>
            </w:tcMar>
            <w:vAlign w:val="center"/>
          </w:tcPr>
          <w:p w14:paraId="1F874822" w14:textId="77777777" w:rsidR="009F2EFF" w:rsidRPr="004B7000" w:rsidRDefault="009F2EFF" w:rsidP="005C34D6">
            <w:pPr>
              <w:jc w:val="center"/>
            </w:pPr>
            <w:r w:rsidRPr="004B7000">
              <w:t>37</w:t>
            </w:r>
          </w:p>
        </w:tc>
        <w:tc>
          <w:tcPr>
            <w:tcW w:w="294" w:type="dxa"/>
            <w:tcBorders>
              <w:top w:val="nil"/>
              <w:left w:val="nil"/>
              <w:bottom w:val="single" w:sz="8" w:space="0" w:color="4B0885" w:themeColor="text2"/>
              <w:right w:val="nil"/>
            </w:tcBorders>
            <w:shd w:val="clear" w:color="auto" w:fill="E6E6E6"/>
            <w:tcMar>
              <w:left w:w="108" w:type="dxa"/>
              <w:right w:w="108" w:type="dxa"/>
            </w:tcMar>
            <w:vAlign w:val="center"/>
          </w:tcPr>
          <w:p w14:paraId="23E6F13F" w14:textId="77777777" w:rsidR="009F2EFF" w:rsidRPr="004B7000" w:rsidRDefault="009F2EFF" w:rsidP="005C34D6">
            <w:pPr>
              <w:pStyle w:val="NoSpacing"/>
              <w:spacing w:after="100" w:line="264" w:lineRule="auto"/>
              <w:jc w:val="center"/>
              <w:rPr>
                <w:rFonts w:cs="Arial"/>
                <w:sz w:val="20"/>
                <w:szCs w:val="20"/>
              </w:rPr>
            </w:pPr>
          </w:p>
        </w:tc>
        <w:tc>
          <w:tcPr>
            <w:tcW w:w="795" w:type="dxa"/>
            <w:tcBorders>
              <w:top w:val="nil"/>
              <w:left w:val="nil"/>
              <w:bottom w:val="single" w:sz="8" w:space="0" w:color="4B0885" w:themeColor="text2"/>
              <w:right w:val="nil"/>
            </w:tcBorders>
            <w:shd w:val="clear" w:color="auto" w:fill="E6E6E6"/>
            <w:tcMar>
              <w:left w:w="108" w:type="dxa"/>
              <w:right w:w="108" w:type="dxa"/>
            </w:tcMar>
            <w:vAlign w:val="center"/>
          </w:tcPr>
          <w:p w14:paraId="6DC1B226" w14:textId="77777777" w:rsidR="009F2EFF" w:rsidRPr="004B7000" w:rsidRDefault="009F2EFF" w:rsidP="005C34D6">
            <w:pPr>
              <w:jc w:val="center"/>
            </w:pPr>
            <w:r w:rsidRPr="004B7000">
              <w:t>10</w:t>
            </w:r>
          </w:p>
        </w:tc>
        <w:tc>
          <w:tcPr>
            <w:tcW w:w="303" w:type="dxa"/>
            <w:tcBorders>
              <w:top w:val="nil"/>
              <w:left w:val="nil"/>
              <w:bottom w:val="single" w:sz="8" w:space="0" w:color="4B0885" w:themeColor="text2"/>
              <w:right w:val="nil"/>
            </w:tcBorders>
            <w:shd w:val="clear" w:color="auto" w:fill="E6E6E6"/>
            <w:tcMar>
              <w:left w:w="108" w:type="dxa"/>
              <w:right w:w="108" w:type="dxa"/>
            </w:tcMar>
          </w:tcPr>
          <w:p w14:paraId="3ADC3D1A" w14:textId="77777777" w:rsidR="009F2EFF" w:rsidRPr="001A4DAF" w:rsidRDefault="009F2EFF" w:rsidP="005C34D6">
            <w:pPr>
              <w:pStyle w:val="NoSpacing"/>
              <w:spacing w:after="100" w:line="264" w:lineRule="auto"/>
              <w:jc w:val="center"/>
              <w:rPr>
                <w:rFonts w:cs="Arial"/>
              </w:rPr>
            </w:pPr>
          </w:p>
        </w:tc>
      </w:tr>
    </w:tbl>
    <w:p w14:paraId="3BD2F45A" w14:textId="1AA125C4" w:rsidR="009F2EFF" w:rsidRPr="00FA5DF0" w:rsidRDefault="009F2EFF" w:rsidP="00FA5DF0">
      <w:pPr>
        <w:pStyle w:val="Source"/>
        <w:rPr>
          <w:rFonts w:asciiTheme="minorHAnsi" w:hAnsiTheme="minorHAnsi" w:cstheme="minorHAnsi"/>
        </w:rPr>
      </w:pPr>
      <w:r w:rsidRPr="00FA5DF0">
        <w:rPr>
          <w:rFonts w:asciiTheme="minorHAnsi" w:hAnsiTheme="minorHAnsi" w:cstheme="minorHAnsi"/>
        </w:rPr>
        <w:t>Source: NCVER</w:t>
      </w:r>
      <w:r w:rsidR="00F626F5" w:rsidRPr="00FA5DF0">
        <w:rPr>
          <w:rFonts w:asciiTheme="minorHAnsi" w:hAnsiTheme="minorHAnsi" w:cstheme="minorHAnsi"/>
        </w:rPr>
        <w:t xml:space="preserve">, </w:t>
      </w:r>
      <w:r w:rsidRPr="00FA5DF0">
        <w:rPr>
          <w:rFonts w:asciiTheme="minorHAnsi" w:hAnsiTheme="minorHAnsi" w:cstheme="minorHAnsi"/>
          <w:i/>
          <w:iCs/>
        </w:rPr>
        <w:t>Total VET Students and Courses</w:t>
      </w:r>
      <w:r w:rsidRPr="00FA5DF0">
        <w:rPr>
          <w:rFonts w:asciiTheme="minorHAnsi" w:hAnsiTheme="minorHAnsi" w:cstheme="minorHAnsi"/>
        </w:rPr>
        <w:t>, Program Enrolments, 2022, VOCSTATS</w:t>
      </w:r>
    </w:p>
    <w:p w14:paraId="5204591F" w14:textId="3EBF87F2" w:rsidR="009F2EFF" w:rsidRPr="00F62B6D" w:rsidRDefault="009F2EFF" w:rsidP="005C34D6">
      <w:pPr>
        <w:pStyle w:val="Source"/>
      </w:pPr>
      <w:r w:rsidRPr="00616C8F">
        <w:t>*Training package qualifications only</w:t>
      </w:r>
      <w:r w:rsidR="005C34D6">
        <w:br/>
      </w:r>
      <w:r w:rsidRPr="00616C8F">
        <w:t>*Excludes offshore and not known</w:t>
      </w:r>
    </w:p>
    <w:p w14:paraId="673BADB4" w14:textId="54CF36D7" w:rsidR="000B275D" w:rsidRDefault="003D4611" w:rsidP="00FA5DF0">
      <w:r>
        <w:t>Private providers were the</w:t>
      </w:r>
      <w:r w:rsidR="00877BCC" w:rsidRPr="00877BCC">
        <w:t xml:space="preserve"> most common provider type for VET program enrolments in 2022 with over half of all enrolments across all remoteness areas</w:t>
      </w:r>
      <w:r w:rsidR="00646ED7">
        <w:t>.</w:t>
      </w:r>
      <w:r w:rsidR="009F2EFF">
        <w:t xml:space="preserve"> </w:t>
      </w:r>
      <w:r w:rsidR="006A37B0">
        <w:t>TAFEs were the next most common</w:t>
      </w:r>
      <w:r w:rsidR="00A02E00">
        <w:t xml:space="preserve"> provider type</w:t>
      </w:r>
      <w:r w:rsidR="006120AD">
        <w:t xml:space="preserve">, with over 30 per cent of </w:t>
      </w:r>
      <w:r w:rsidR="00E30604">
        <w:t>all enrolments</w:t>
      </w:r>
      <w:r w:rsidR="00A02E00">
        <w:t xml:space="preserve"> across all remoteness areas</w:t>
      </w:r>
      <w:r w:rsidR="006A37B0">
        <w:t xml:space="preserve"> </w:t>
      </w:r>
      <w:r w:rsidR="00E30604">
        <w:t xml:space="preserve">(Figure </w:t>
      </w:r>
      <w:r w:rsidR="00FA5DF0">
        <w:t>42</w:t>
      </w:r>
      <w:r w:rsidR="00E30604">
        <w:t>)</w:t>
      </w:r>
      <w:r w:rsidR="00E30604" w:rsidRPr="00877BCC">
        <w:t>.</w:t>
      </w:r>
      <w:r w:rsidR="00E30604">
        <w:t xml:space="preserve"> </w:t>
      </w:r>
    </w:p>
    <w:p w14:paraId="0646CCDC" w14:textId="77777777" w:rsidR="005C34D6" w:rsidRDefault="009F2EFF" w:rsidP="00FA5DF0">
      <w:pPr>
        <w:pStyle w:val="Caption"/>
        <w:rPr>
          <w:rFonts w:asciiTheme="minorHAnsi" w:hAnsiTheme="minorHAnsi" w:cstheme="minorHAnsi"/>
          <w:szCs w:val="20"/>
        </w:rPr>
      </w:pPr>
      <w:r w:rsidRPr="00FA5DF0">
        <w:rPr>
          <w:rFonts w:asciiTheme="minorHAnsi" w:hAnsiTheme="minorHAnsi" w:cstheme="minorHAnsi"/>
          <w:szCs w:val="20"/>
        </w:rPr>
        <w:t xml:space="preserve">Figure </w:t>
      </w:r>
      <w:r w:rsidR="00FA5DF0" w:rsidRPr="00FA5DF0">
        <w:rPr>
          <w:rFonts w:asciiTheme="minorHAnsi" w:hAnsiTheme="minorHAnsi" w:cstheme="minorHAnsi"/>
          <w:szCs w:val="20"/>
        </w:rPr>
        <w:t>42</w:t>
      </w:r>
      <w:r w:rsidRPr="00FA5DF0">
        <w:rPr>
          <w:rFonts w:asciiTheme="minorHAnsi" w:hAnsiTheme="minorHAnsi" w:cstheme="minorHAnsi"/>
          <w:szCs w:val="20"/>
        </w:rPr>
        <w:t xml:space="preserve">: VET program enrolments, by remoteness and provider type, </w:t>
      </w:r>
      <w:r w:rsidR="008B0038" w:rsidRPr="00FA5DF0">
        <w:rPr>
          <w:rFonts w:asciiTheme="minorHAnsi" w:hAnsiTheme="minorHAnsi" w:cstheme="minorHAnsi"/>
          <w:szCs w:val="20"/>
        </w:rPr>
        <w:t>2022</w:t>
      </w:r>
    </w:p>
    <w:p w14:paraId="05BF7A37" w14:textId="2C77AD79" w:rsidR="001E7B4D" w:rsidRPr="004B7000" w:rsidRDefault="00F01144" w:rsidP="00FA5DF0">
      <w:pPr>
        <w:pStyle w:val="Caption"/>
      </w:pPr>
      <w:r>
        <w:rPr>
          <w:noProof/>
        </w:rPr>
        <w:drawing>
          <wp:inline distT="0" distB="0" distL="0" distR="0" wp14:anchorId="49FC9D96" wp14:editId="6D6C6F21">
            <wp:extent cx="5716905" cy="3302000"/>
            <wp:effectExtent l="0" t="0" r="0" b="0"/>
            <wp:docPr id="8155926" name="Chart 1" descr="This graph shows VET program enrolments by remoteness areas and provider type.  Across all areas, more than half of all providers are private training providers with TAFE institutes accounting for over 30% of all provider types across major cities, regional and remote areas.">
              <a:extLst xmlns:a="http://schemas.openxmlformats.org/drawingml/2006/main">
                <a:ext uri="{FF2B5EF4-FFF2-40B4-BE49-F238E27FC236}">
                  <a16:creationId xmlns:a16="http://schemas.microsoft.com/office/drawing/2014/main" id="{0A5EBEE9-9A48-76D8-455E-5A1EDBBB5D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2E53DCE0" w14:textId="33255530" w:rsidR="006B558F" w:rsidRPr="00FA5DF0" w:rsidRDefault="00DC3129" w:rsidP="00FA5DF0">
      <w:pPr>
        <w:pStyle w:val="Source"/>
        <w:rPr>
          <w:rFonts w:asciiTheme="minorHAnsi" w:hAnsiTheme="minorHAnsi" w:cstheme="minorHAnsi"/>
        </w:rPr>
      </w:pPr>
      <w:r w:rsidRPr="00FA5DF0">
        <w:rPr>
          <w:rFonts w:asciiTheme="minorHAnsi" w:hAnsiTheme="minorHAnsi" w:cstheme="minorHAnsi"/>
        </w:rPr>
        <w:t xml:space="preserve">Source: </w:t>
      </w:r>
      <w:r w:rsidR="00505B4D" w:rsidRPr="00FA5DF0">
        <w:rPr>
          <w:rFonts w:asciiTheme="minorHAnsi" w:hAnsiTheme="minorHAnsi" w:cstheme="minorHAnsi"/>
        </w:rPr>
        <w:t xml:space="preserve">NCVER, </w:t>
      </w:r>
      <w:r w:rsidR="00505B4D" w:rsidRPr="00FA5DF0">
        <w:rPr>
          <w:rFonts w:asciiTheme="minorHAnsi" w:hAnsiTheme="minorHAnsi" w:cstheme="minorHAnsi"/>
          <w:i/>
          <w:iCs/>
        </w:rPr>
        <w:t>Total VET Students and Course</w:t>
      </w:r>
      <w:r w:rsidR="00B01A1C">
        <w:rPr>
          <w:rFonts w:asciiTheme="minorHAnsi" w:hAnsiTheme="minorHAnsi" w:cstheme="minorHAnsi"/>
          <w:i/>
          <w:iCs/>
        </w:rPr>
        <w:t>s</w:t>
      </w:r>
      <w:r w:rsidR="00505B4D" w:rsidRPr="00FA5DF0">
        <w:rPr>
          <w:rFonts w:asciiTheme="minorHAnsi" w:hAnsiTheme="minorHAnsi" w:cstheme="minorHAnsi"/>
        </w:rPr>
        <w:t>, Program Enrolments, 2022, VOCSTATS</w:t>
      </w:r>
    </w:p>
    <w:p w14:paraId="28718872" w14:textId="26B02156" w:rsidR="005074A4" w:rsidRPr="00AA62F0" w:rsidRDefault="00F706F6" w:rsidP="00976C43">
      <w:r>
        <w:t>The majority of</w:t>
      </w:r>
      <w:r w:rsidR="0073364F">
        <w:t xml:space="preserve"> VET </w:t>
      </w:r>
      <w:r w:rsidR="00F36C8D">
        <w:t>enrolments in 2022 were in government funded programs</w:t>
      </w:r>
      <w:r w:rsidR="0073364F">
        <w:t xml:space="preserve"> (Table</w:t>
      </w:r>
      <w:r w:rsidR="00981852">
        <w:t> 12</w:t>
      </w:r>
      <w:r w:rsidR="0073364F">
        <w:t>)</w:t>
      </w:r>
      <w:r w:rsidR="000F6F5A">
        <w:t>,</w:t>
      </w:r>
      <w:r w:rsidR="0073364F">
        <w:t xml:space="preserve"> </w:t>
      </w:r>
      <w:r w:rsidR="00A632A9">
        <w:t>with the</w:t>
      </w:r>
      <w:r w:rsidR="001F2FD4">
        <w:t xml:space="preserve"> proportion </w:t>
      </w:r>
      <w:r w:rsidR="00622B42">
        <w:t xml:space="preserve">of </w:t>
      </w:r>
      <w:r w:rsidR="00621FCA">
        <w:t>courses delivered</w:t>
      </w:r>
      <w:r w:rsidR="001F2FD4">
        <w:t xml:space="preserve"> generally lower in </w:t>
      </w:r>
      <w:r w:rsidR="00F940A3">
        <w:t xml:space="preserve">major </w:t>
      </w:r>
      <w:r w:rsidR="00B66CF3">
        <w:t>cit</w:t>
      </w:r>
      <w:r w:rsidR="00D1721B">
        <w:t>ies</w:t>
      </w:r>
      <w:r w:rsidR="001F2FD4">
        <w:t xml:space="preserve"> and inner regional areas </w:t>
      </w:r>
      <w:r w:rsidR="00FA5BA5">
        <w:t>(</w:t>
      </w:r>
      <w:r w:rsidR="001F2FD4">
        <w:t>with the exception of inner regional NSW</w:t>
      </w:r>
      <w:r w:rsidR="005074A4">
        <w:t xml:space="preserve"> having the highest proportion in NSW and remote Queensland having the lowest proportion in Queensland</w:t>
      </w:r>
      <w:r w:rsidR="00FA5BA5">
        <w:t>)</w:t>
      </w:r>
      <w:r w:rsidR="005074A4">
        <w:t xml:space="preserve">. </w:t>
      </w:r>
      <w:r w:rsidR="000B404E">
        <w:t>Close to</w:t>
      </w:r>
      <w:r w:rsidR="005074A4">
        <w:t xml:space="preserve"> three-quarters of </w:t>
      </w:r>
      <w:r w:rsidR="00794398">
        <w:t>all</w:t>
      </w:r>
      <w:r w:rsidR="005074A4">
        <w:t xml:space="preserve"> Northern Territory </w:t>
      </w:r>
      <w:r w:rsidR="00794398">
        <w:t xml:space="preserve">VET students were enrolled in </w:t>
      </w:r>
      <w:r w:rsidR="005074A4">
        <w:t>government fund</w:t>
      </w:r>
      <w:r w:rsidR="00794398">
        <w:t>ed programs</w:t>
      </w:r>
      <w:r w:rsidR="005074A4">
        <w:t xml:space="preserve"> in 2022.</w:t>
      </w:r>
      <w:r w:rsidR="00943337">
        <w:t xml:space="preserve"> State and territory governments determine which courses within their jurisdiction are eligible for government funding, and as indicated earlier, the National Skills Agreement outlines the shared stewardship role of governments in delivery of VET in Australia. Industry stakeholders have noted that employers often have to pay full fees for specialised private training providers to deliver industry specific training, due to limited availability of subsides training. This is exacerbated by thin markets making delivery</w:t>
      </w:r>
      <w:r w:rsidR="270E7DC3">
        <w:t xml:space="preserve"> in</w:t>
      </w:r>
      <w:r w:rsidR="00943337">
        <w:t xml:space="preserve"> regional and remote areas difficult, with employers needing to send workers outside of the local area for training. </w:t>
      </w:r>
      <w:r w:rsidR="005074A4">
        <w:t xml:space="preserve"> </w:t>
      </w:r>
    </w:p>
    <w:p w14:paraId="6AF2CE8F" w14:textId="0964481E" w:rsidR="00A00DA0" w:rsidRPr="00943337" w:rsidRDefault="00A00DA0" w:rsidP="00943337">
      <w:pPr>
        <w:pStyle w:val="Caption"/>
        <w:rPr>
          <w:rFonts w:asciiTheme="minorHAnsi" w:hAnsiTheme="minorHAnsi" w:cstheme="minorHAnsi"/>
          <w:szCs w:val="20"/>
        </w:rPr>
      </w:pPr>
      <w:r w:rsidRPr="00943337">
        <w:rPr>
          <w:rFonts w:asciiTheme="minorHAnsi" w:hAnsiTheme="minorHAnsi" w:cstheme="minorHAnsi"/>
          <w:szCs w:val="20"/>
        </w:rPr>
        <w:t xml:space="preserve">Table </w:t>
      </w:r>
      <w:r w:rsidR="008229BC" w:rsidRPr="00943337">
        <w:rPr>
          <w:rFonts w:asciiTheme="minorHAnsi" w:hAnsiTheme="minorHAnsi" w:cstheme="minorHAnsi"/>
          <w:szCs w:val="20"/>
        </w:rPr>
        <w:t>12</w:t>
      </w:r>
      <w:r w:rsidRPr="00943337">
        <w:rPr>
          <w:rFonts w:asciiTheme="minorHAnsi" w:hAnsiTheme="minorHAnsi" w:cstheme="minorHAnsi"/>
          <w:szCs w:val="20"/>
        </w:rPr>
        <w:t xml:space="preserve">: VET program enrolments </w:t>
      </w:r>
      <w:r w:rsidR="0071597E" w:rsidRPr="00943337">
        <w:rPr>
          <w:rFonts w:asciiTheme="minorHAnsi" w:hAnsiTheme="minorHAnsi" w:cstheme="minorHAnsi"/>
          <w:szCs w:val="20"/>
        </w:rPr>
        <w:t>%</w:t>
      </w:r>
      <w:r w:rsidR="00BA7A1A" w:rsidRPr="00943337">
        <w:rPr>
          <w:rFonts w:asciiTheme="minorHAnsi" w:hAnsiTheme="minorHAnsi" w:cstheme="minorHAnsi"/>
          <w:szCs w:val="20"/>
        </w:rPr>
        <w:t xml:space="preserve"> government funded</w:t>
      </w:r>
      <w:r w:rsidR="00CB08A5" w:rsidRPr="00943337">
        <w:rPr>
          <w:rFonts w:asciiTheme="minorHAnsi" w:hAnsiTheme="minorHAnsi" w:cstheme="minorHAnsi"/>
          <w:szCs w:val="20"/>
        </w:rPr>
        <w:t>,</w:t>
      </w:r>
      <w:r w:rsidR="00A15E13" w:rsidRPr="00943337">
        <w:rPr>
          <w:rFonts w:asciiTheme="minorHAnsi" w:hAnsiTheme="minorHAnsi" w:cstheme="minorHAnsi"/>
          <w:szCs w:val="20"/>
        </w:rPr>
        <w:t xml:space="preserve"> state/territory and remoteness, 2022</w:t>
      </w:r>
    </w:p>
    <w:tbl>
      <w:tblPr>
        <w:tblStyle w:val="TableGrid"/>
        <w:tblW w:w="9243" w:type="dxa"/>
        <w:tblLayout w:type="fixed"/>
        <w:tblLook w:val="04A0" w:firstRow="1" w:lastRow="0" w:firstColumn="1" w:lastColumn="0" w:noHBand="0" w:noVBand="1"/>
      </w:tblPr>
      <w:tblGrid>
        <w:gridCol w:w="2856"/>
        <w:gridCol w:w="1625"/>
        <w:gridCol w:w="1614"/>
        <w:gridCol w:w="66"/>
        <w:gridCol w:w="1475"/>
        <w:gridCol w:w="66"/>
        <w:gridCol w:w="1541"/>
      </w:tblGrid>
      <w:tr w:rsidR="00A07E2D" w:rsidRPr="00AE353D" w14:paraId="288A4BFB" w14:textId="77777777" w:rsidTr="00B01A1C">
        <w:trPr>
          <w:trHeight w:val="283"/>
        </w:trPr>
        <w:tc>
          <w:tcPr>
            <w:tcW w:w="2856" w:type="dxa"/>
            <w:tcBorders>
              <w:top w:val="nil"/>
              <w:left w:val="nil"/>
              <w:bottom w:val="nil"/>
              <w:right w:val="nil"/>
            </w:tcBorders>
            <w:shd w:val="clear" w:color="auto" w:fill="2F005F"/>
            <w:tcMar>
              <w:left w:w="108" w:type="dxa"/>
              <w:right w:w="108" w:type="dxa"/>
            </w:tcMar>
            <w:vAlign w:val="center"/>
          </w:tcPr>
          <w:p w14:paraId="7FEB2221" w14:textId="66B1F581" w:rsidR="00BA7A1A" w:rsidRPr="00AE353D" w:rsidRDefault="00BA7A1A" w:rsidP="00EF0893">
            <w:pPr>
              <w:rPr>
                <w:rFonts w:asciiTheme="minorHAnsi" w:hAnsiTheme="minorHAnsi" w:cstheme="minorHAnsi"/>
              </w:rPr>
            </w:pPr>
            <w:r w:rsidRPr="00AE353D">
              <w:rPr>
                <w:rFonts w:asciiTheme="minorHAnsi" w:eastAsia="Arial" w:hAnsiTheme="minorHAnsi" w:cstheme="minorHAnsi"/>
                <w:color w:val="FFFFFF" w:themeColor="background1"/>
              </w:rPr>
              <w:t>State/territory</w:t>
            </w:r>
          </w:p>
        </w:tc>
        <w:tc>
          <w:tcPr>
            <w:tcW w:w="1625" w:type="dxa"/>
            <w:tcBorders>
              <w:top w:val="nil"/>
              <w:left w:val="nil"/>
              <w:bottom w:val="nil"/>
              <w:right w:val="nil"/>
            </w:tcBorders>
            <w:shd w:val="clear" w:color="auto" w:fill="2F005F"/>
            <w:vAlign w:val="center"/>
          </w:tcPr>
          <w:p w14:paraId="661D4921" w14:textId="562375E3" w:rsidR="00BA7A1A" w:rsidRPr="00AE353D" w:rsidRDefault="00BA3970" w:rsidP="005C34D6">
            <w:pPr>
              <w:jc w:val="center"/>
            </w:pPr>
            <w:r>
              <w:t>Major</w:t>
            </w:r>
            <w:r w:rsidR="00803C6C" w:rsidRPr="00AE353D">
              <w:t xml:space="preserve"> cities</w:t>
            </w:r>
          </w:p>
        </w:tc>
        <w:tc>
          <w:tcPr>
            <w:tcW w:w="1680" w:type="dxa"/>
            <w:gridSpan w:val="2"/>
            <w:tcBorders>
              <w:top w:val="nil"/>
              <w:left w:val="nil"/>
              <w:bottom w:val="nil"/>
              <w:right w:val="nil"/>
            </w:tcBorders>
            <w:shd w:val="clear" w:color="auto" w:fill="2F005F"/>
            <w:tcMar>
              <w:left w:w="108" w:type="dxa"/>
              <w:right w:w="108" w:type="dxa"/>
            </w:tcMar>
            <w:vAlign w:val="center"/>
          </w:tcPr>
          <w:p w14:paraId="7A8958A0" w14:textId="327C5031" w:rsidR="00BA7A1A" w:rsidRPr="00AE353D" w:rsidRDefault="00BA7A1A" w:rsidP="005C34D6">
            <w:pPr>
              <w:jc w:val="center"/>
            </w:pPr>
            <w:r w:rsidRPr="00AE353D">
              <w:t>Inner regional</w:t>
            </w:r>
          </w:p>
        </w:tc>
        <w:tc>
          <w:tcPr>
            <w:tcW w:w="1541" w:type="dxa"/>
            <w:gridSpan w:val="2"/>
            <w:tcBorders>
              <w:top w:val="nil"/>
              <w:left w:val="nil"/>
              <w:bottom w:val="nil"/>
              <w:right w:val="nil"/>
            </w:tcBorders>
            <w:shd w:val="clear" w:color="auto" w:fill="2F005F"/>
            <w:vAlign w:val="center"/>
          </w:tcPr>
          <w:p w14:paraId="1A253BEE" w14:textId="30BABC10" w:rsidR="00080DD4" w:rsidRPr="00AE353D" w:rsidRDefault="00080DD4" w:rsidP="005C34D6">
            <w:pPr>
              <w:jc w:val="center"/>
            </w:pPr>
            <w:r w:rsidRPr="00AE353D">
              <w:t>Outer regional</w:t>
            </w:r>
          </w:p>
        </w:tc>
        <w:tc>
          <w:tcPr>
            <w:tcW w:w="1541" w:type="dxa"/>
            <w:tcBorders>
              <w:top w:val="nil"/>
              <w:left w:val="nil"/>
              <w:bottom w:val="nil"/>
              <w:right w:val="nil"/>
            </w:tcBorders>
            <w:shd w:val="clear" w:color="auto" w:fill="2F005F"/>
            <w:vAlign w:val="center"/>
          </w:tcPr>
          <w:p w14:paraId="747262D5" w14:textId="7B7D3251" w:rsidR="00080DD4" w:rsidRPr="00AE353D" w:rsidRDefault="00080DD4" w:rsidP="003D070F">
            <w:r w:rsidRPr="00AE353D">
              <w:t>Remote</w:t>
            </w:r>
            <w:r w:rsidR="00943337">
              <w:t xml:space="preserve"> and very remote</w:t>
            </w:r>
          </w:p>
        </w:tc>
      </w:tr>
      <w:tr w:rsidR="00BA7A1A" w14:paraId="57D128F9" w14:textId="77777777" w:rsidTr="00B01A1C">
        <w:trPr>
          <w:trHeight w:val="332"/>
        </w:trPr>
        <w:tc>
          <w:tcPr>
            <w:tcW w:w="2856" w:type="dxa"/>
            <w:tcBorders>
              <w:top w:val="nil"/>
              <w:left w:val="nil"/>
              <w:bottom w:val="nil"/>
              <w:right w:val="nil"/>
            </w:tcBorders>
            <w:tcMar>
              <w:left w:w="108" w:type="dxa"/>
              <w:right w:w="108" w:type="dxa"/>
            </w:tcMar>
            <w:vAlign w:val="center"/>
          </w:tcPr>
          <w:p w14:paraId="5C91B20D" w14:textId="23191090" w:rsidR="00BA7A1A" w:rsidRPr="00EF0893" w:rsidRDefault="00BA7A1A" w:rsidP="006E7A8D">
            <w:r w:rsidRPr="00EF0893">
              <w:t>New South Wales</w:t>
            </w:r>
          </w:p>
        </w:tc>
        <w:tc>
          <w:tcPr>
            <w:tcW w:w="1625" w:type="dxa"/>
            <w:tcBorders>
              <w:top w:val="nil"/>
              <w:left w:val="nil"/>
              <w:bottom w:val="nil"/>
              <w:right w:val="nil"/>
            </w:tcBorders>
            <w:vAlign w:val="center"/>
          </w:tcPr>
          <w:p w14:paraId="40F4027D" w14:textId="6622E4D3" w:rsidR="00BA7A1A" w:rsidRPr="00EF0893" w:rsidRDefault="00324649" w:rsidP="005C34D6">
            <w:pPr>
              <w:jc w:val="center"/>
            </w:pPr>
            <w:r w:rsidRPr="00EF0893">
              <w:t>68</w:t>
            </w:r>
            <w:r w:rsidR="00807D4E" w:rsidRPr="00EF0893">
              <w:t>.2</w:t>
            </w:r>
          </w:p>
        </w:tc>
        <w:tc>
          <w:tcPr>
            <w:tcW w:w="1614" w:type="dxa"/>
            <w:tcBorders>
              <w:top w:val="nil"/>
              <w:left w:val="nil"/>
              <w:bottom w:val="nil"/>
              <w:right w:val="nil"/>
            </w:tcBorders>
            <w:tcMar>
              <w:left w:w="108" w:type="dxa"/>
              <w:right w:w="108" w:type="dxa"/>
            </w:tcMar>
            <w:vAlign w:val="center"/>
          </w:tcPr>
          <w:p w14:paraId="5C687CB4" w14:textId="42997418" w:rsidR="00BA7A1A" w:rsidRPr="00EF0893" w:rsidRDefault="004115E2" w:rsidP="005C34D6">
            <w:pPr>
              <w:jc w:val="center"/>
            </w:pPr>
            <w:r w:rsidRPr="00EF0893">
              <w:t>74.2</w:t>
            </w:r>
          </w:p>
        </w:tc>
        <w:tc>
          <w:tcPr>
            <w:tcW w:w="1541" w:type="dxa"/>
            <w:gridSpan w:val="2"/>
            <w:tcBorders>
              <w:top w:val="nil"/>
              <w:left w:val="nil"/>
              <w:bottom w:val="nil"/>
              <w:right w:val="nil"/>
            </w:tcBorders>
            <w:vAlign w:val="center"/>
          </w:tcPr>
          <w:p w14:paraId="133A549F" w14:textId="30474DC4" w:rsidR="00080DD4" w:rsidRPr="00EF0893" w:rsidRDefault="00080DD4" w:rsidP="005C34D6">
            <w:pPr>
              <w:jc w:val="center"/>
            </w:pPr>
            <w:r w:rsidRPr="00EF0893">
              <w:t>69.9</w:t>
            </w:r>
          </w:p>
        </w:tc>
        <w:tc>
          <w:tcPr>
            <w:tcW w:w="1607" w:type="dxa"/>
            <w:gridSpan w:val="2"/>
            <w:tcBorders>
              <w:top w:val="nil"/>
              <w:left w:val="nil"/>
              <w:bottom w:val="nil"/>
              <w:right w:val="nil"/>
            </w:tcBorders>
            <w:vAlign w:val="center"/>
          </w:tcPr>
          <w:p w14:paraId="38EB0756" w14:textId="7033F4D8" w:rsidR="00080DD4" w:rsidRPr="00EF0893" w:rsidRDefault="00FF097A" w:rsidP="005C34D6">
            <w:pPr>
              <w:jc w:val="center"/>
            </w:pPr>
            <w:r w:rsidRPr="00EF0893">
              <w:t>60.0</w:t>
            </w:r>
          </w:p>
        </w:tc>
      </w:tr>
      <w:tr w:rsidR="00461C18" w14:paraId="017F9CB9" w14:textId="77777777" w:rsidTr="00B01A1C">
        <w:trPr>
          <w:trHeight w:val="335"/>
        </w:trPr>
        <w:tc>
          <w:tcPr>
            <w:tcW w:w="2856" w:type="dxa"/>
            <w:tcBorders>
              <w:top w:val="nil"/>
              <w:left w:val="nil"/>
              <w:bottom w:val="nil"/>
              <w:right w:val="nil"/>
            </w:tcBorders>
            <w:shd w:val="clear" w:color="auto" w:fill="E6E6E6"/>
            <w:tcMar>
              <w:left w:w="108" w:type="dxa"/>
              <w:right w:w="108" w:type="dxa"/>
            </w:tcMar>
            <w:vAlign w:val="center"/>
          </w:tcPr>
          <w:p w14:paraId="0E1DBAFE" w14:textId="66BDDC2F" w:rsidR="00BA7A1A" w:rsidRPr="00EF0893" w:rsidRDefault="00BA7A1A" w:rsidP="006E7A8D">
            <w:r w:rsidRPr="00EF0893">
              <w:t>Victoria</w:t>
            </w:r>
          </w:p>
        </w:tc>
        <w:tc>
          <w:tcPr>
            <w:tcW w:w="1625" w:type="dxa"/>
            <w:tcBorders>
              <w:top w:val="nil"/>
              <w:left w:val="nil"/>
              <w:bottom w:val="nil"/>
              <w:right w:val="nil"/>
            </w:tcBorders>
            <w:shd w:val="clear" w:color="auto" w:fill="E6E6E6"/>
            <w:vAlign w:val="center"/>
          </w:tcPr>
          <w:p w14:paraId="18D4A03E" w14:textId="468BE9BA" w:rsidR="00BA7A1A" w:rsidRPr="00EF0893" w:rsidRDefault="00807D4E" w:rsidP="005C34D6">
            <w:pPr>
              <w:jc w:val="center"/>
            </w:pPr>
            <w:r w:rsidRPr="00EF0893">
              <w:t>59.1</w:t>
            </w:r>
          </w:p>
        </w:tc>
        <w:tc>
          <w:tcPr>
            <w:tcW w:w="1614" w:type="dxa"/>
            <w:tcBorders>
              <w:top w:val="nil"/>
              <w:left w:val="nil"/>
              <w:bottom w:val="nil"/>
              <w:right w:val="nil"/>
            </w:tcBorders>
            <w:shd w:val="clear" w:color="auto" w:fill="E6E6E6"/>
            <w:tcMar>
              <w:left w:w="108" w:type="dxa"/>
              <w:right w:w="108" w:type="dxa"/>
            </w:tcMar>
            <w:vAlign w:val="center"/>
          </w:tcPr>
          <w:p w14:paraId="259B5048" w14:textId="5E013760" w:rsidR="00BA7A1A" w:rsidRPr="00EF0893" w:rsidRDefault="004115E2" w:rsidP="005C34D6">
            <w:pPr>
              <w:jc w:val="center"/>
            </w:pPr>
            <w:r w:rsidRPr="00EF0893">
              <w:t>59.6</w:t>
            </w:r>
          </w:p>
        </w:tc>
        <w:tc>
          <w:tcPr>
            <w:tcW w:w="1541" w:type="dxa"/>
            <w:gridSpan w:val="2"/>
            <w:tcBorders>
              <w:top w:val="nil"/>
              <w:left w:val="nil"/>
              <w:bottom w:val="nil"/>
              <w:right w:val="nil"/>
            </w:tcBorders>
            <w:shd w:val="clear" w:color="auto" w:fill="E6E6E6"/>
            <w:vAlign w:val="center"/>
          </w:tcPr>
          <w:p w14:paraId="77701BDD" w14:textId="3A7F36D7" w:rsidR="00080DD4" w:rsidRPr="00EF0893" w:rsidRDefault="00080DD4" w:rsidP="005C34D6">
            <w:pPr>
              <w:jc w:val="center"/>
            </w:pPr>
            <w:r w:rsidRPr="00EF0893">
              <w:t>50.8</w:t>
            </w:r>
          </w:p>
        </w:tc>
        <w:tc>
          <w:tcPr>
            <w:tcW w:w="1607" w:type="dxa"/>
            <w:gridSpan w:val="2"/>
            <w:tcBorders>
              <w:top w:val="nil"/>
              <w:left w:val="nil"/>
              <w:bottom w:val="nil"/>
              <w:right w:val="nil"/>
            </w:tcBorders>
            <w:shd w:val="clear" w:color="auto" w:fill="E6E6E6"/>
            <w:vAlign w:val="center"/>
          </w:tcPr>
          <w:p w14:paraId="223D62B4" w14:textId="78E036E6" w:rsidR="00080DD4" w:rsidRPr="00EF0893" w:rsidRDefault="004E7FD3" w:rsidP="005C34D6">
            <w:pPr>
              <w:jc w:val="center"/>
            </w:pPr>
            <w:r w:rsidRPr="00EF0893">
              <w:t>N/A</w:t>
            </w:r>
          </w:p>
        </w:tc>
      </w:tr>
      <w:tr w:rsidR="00BA7A1A" w14:paraId="5150BC34" w14:textId="77777777" w:rsidTr="00B01A1C">
        <w:trPr>
          <w:trHeight w:val="335"/>
        </w:trPr>
        <w:tc>
          <w:tcPr>
            <w:tcW w:w="2856" w:type="dxa"/>
            <w:tcBorders>
              <w:top w:val="nil"/>
              <w:left w:val="nil"/>
              <w:bottom w:val="nil"/>
              <w:right w:val="nil"/>
            </w:tcBorders>
            <w:tcMar>
              <w:left w:w="108" w:type="dxa"/>
              <w:right w:w="108" w:type="dxa"/>
            </w:tcMar>
            <w:vAlign w:val="center"/>
          </w:tcPr>
          <w:p w14:paraId="17AC26C6" w14:textId="5352B27F" w:rsidR="00BA7A1A" w:rsidRPr="00EF0893" w:rsidRDefault="00FF1AA0" w:rsidP="006E7A8D">
            <w:r w:rsidRPr="00EF0893">
              <w:t>Queensland</w:t>
            </w:r>
          </w:p>
        </w:tc>
        <w:tc>
          <w:tcPr>
            <w:tcW w:w="1625" w:type="dxa"/>
            <w:tcBorders>
              <w:top w:val="nil"/>
              <w:left w:val="nil"/>
              <w:bottom w:val="nil"/>
              <w:right w:val="nil"/>
            </w:tcBorders>
            <w:vAlign w:val="center"/>
          </w:tcPr>
          <w:p w14:paraId="3BC3210C" w14:textId="5EF32660" w:rsidR="00BA7A1A" w:rsidRPr="00EF0893" w:rsidRDefault="00807D4E" w:rsidP="005C34D6">
            <w:pPr>
              <w:jc w:val="center"/>
            </w:pPr>
            <w:r w:rsidRPr="00EF0893">
              <w:t>51.2</w:t>
            </w:r>
          </w:p>
        </w:tc>
        <w:tc>
          <w:tcPr>
            <w:tcW w:w="1614" w:type="dxa"/>
            <w:tcBorders>
              <w:top w:val="nil"/>
              <w:left w:val="nil"/>
              <w:bottom w:val="nil"/>
              <w:right w:val="nil"/>
            </w:tcBorders>
            <w:tcMar>
              <w:left w:w="108" w:type="dxa"/>
              <w:right w:w="108" w:type="dxa"/>
            </w:tcMar>
            <w:vAlign w:val="center"/>
          </w:tcPr>
          <w:p w14:paraId="42582AEF" w14:textId="4212F9F1" w:rsidR="00BA7A1A" w:rsidRPr="00EF0893" w:rsidRDefault="004115E2" w:rsidP="005C34D6">
            <w:pPr>
              <w:jc w:val="center"/>
            </w:pPr>
            <w:r w:rsidRPr="00EF0893">
              <w:t>51.2</w:t>
            </w:r>
          </w:p>
        </w:tc>
        <w:tc>
          <w:tcPr>
            <w:tcW w:w="1541" w:type="dxa"/>
            <w:gridSpan w:val="2"/>
            <w:tcBorders>
              <w:top w:val="nil"/>
              <w:left w:val="nil"/>
              <w:bottom w:val="nil"/>
              <w:right w:val="nil"/>
            </w:tcBorders>
            <w:vAlign w:val="center"/>
          </w:tcPr>
          <w:p w14:paraId="2BB57D2A" w14:textId="3D679964" w:rsidR="00080DD4" w:rsidRPr="00EF0893" w:rsidRDefault="00080DD4" w:rsidP="005C34D6">
            <w:pPr>
              <w:jc w:val="center"/>
            </w:pPr>
            <w:r w:rsidRPr="00EF0893">
              <w:t>54.8</w:t>
            </w:r>
          </w:p>
        </w:tc>
        <w:tc>
          <w:tcPr>
            <w:tcW w:w="1607" w:type="dxa"/>
            <w:gridSpan w:val="2"/>
            <w:tcBorders>
              <w:top w:val="nil"/>
              <w:left w:val="nil"/>
              <w:bottom w:val="nil"/>
              <w:right w:val="nil"/>
            </w:tcBorders>
            <w:vAlign w:val="center"/>
          </w:tcPr>
          <w:p w14:paraId="21A2DC98" w14:textId="653D1462" w:rsidR="00080DD4" w:rsidRPr="00EF0893" w:rsidRDefault="008639EC" w:rsidP="005C34D6">
            <w:pPr>
              <w:jc w:val="center"/>
            </w:pPr>
            <w:r w:rsidRPr="00EF0893">
              <w:t>48.1</w:t>
            </w:r>
          </w:p>
        </w:tc>
      </w:tr>
      <w:tr w:rsidR="00461C18" w14:paraId="4807E641" w14:textId="77777777" w:rsidTr="00B01A1C">
        <w:trPr>
          <w:trHeight w:val="335"/>
        </w:trPr>
        <w:tc>
          <w:tcPr>
            <w:tcW w:w="2856" w:type="dxa"/>
            <w:tcBorders>
              <w:top w:val="nil"/>
              <w:left w:val="nil"/>
              <w:bottom w:val="nil"/>
              <w:right w:val="nil"/>
            </w:tcBorders>
            <w:shd w:val="clear" w:color="auto" w:fill="E6E6E6"/>
            <w:tcMar>
              <w:left w:w="108" w:type="dxa"/>
              <w:right w:w="108" w:type="dxa"/>
            </w:tcMar>
            <w:vAlign w:val="center"/>
          </w:tcPr>
          <w:p w14:paraId="2150ED83" w14:textId="0CAAADDF" w:rsidR="00BA7A1A" w:rsidRPr="00EF0893" w:rsidRDefault="00FF1AA0" w:rsidP="006E7A8D">
            <w:r w:rsidRPr="00EF0893">
              <w:t>South Australia</w:t>
            </w:r>
          </w:p>
        </w:tc>
        <w:tc>
          <w:tcPr>
            <w:tcW w:w="1625" w:type="dxa"/>
            <w:tcBorders>
              <w:top w:val="nil"/>
              <w:left w:val="nil"/>
              <w:bottom w:val="nil"/>
              <w:right w:val="nil"/>
            </w:tcBorders>
            <w:shd w:val="clear" w:color="auto" w:fill="E6E6E6"/>
            <w:vAlign w:val="center"/>
          </w:tcPr>
          <w:p w14:paraId="1D2CB36A" w14:textId="76BDDADC" w:rsidR="00BA7A1A" w:rsidRPr="00EF0893" w:rsidRDefault="00807D4E" w:rsidP="005C34D6">
            <w:pPr>
              <w:jc w:val="center"/>
            </w:pPr>
            <w:r w:rsidRPr="00EF0893">
              <w:t>65.6</w:t>
            </w:r>
          </w:p>
        </w:tc>
        <w:tc>
          <w:tcPr>
            <w:tcW w:w="1614" w:type="dxa"/>
            <w:tcBorders>
              <w:top w:val="nil"/>
              <w:left w:val="nil"/>
              <w:bottom w:val="nil"/>
              <w:right w:val="nil"/>
            </w:tcBorders>
            <w:shd w:val="clear" w:color="auto" w:fill="E6E6E6"/>
            <w:tcMar>
              <w:left w:w="108" w:type="dxa"/>
              <w:right w:w="108" w:type="dxa"/>
            </w:tcMar>
            <w:vAlign w:val="center"/>
          </w:tcPr>
          <w:p w14:paraId="38B46D2B" w14:textId="2245071F" w:rsidR="00BA7A1A" w:rsidRPr="00EF0893" w:rsidRDefault="008853F7" w:rsidP="005C34D6">
            <w:pPr>
              <w:jc w:val="center"/>
            </w:pPr>
            <w:r w:rsidRPr="00EF0893">
              <w:t>69.6</w:t>
            </w:r>
          </w:p>
        </w:tc>
        <w:tc>
          <w:tcPr>
            <w:tcW w:w="1541" w:type="dxa"/>
            <w:gridSpan w:val="2"/>
            <w:tcBorders>
              <w:top w:val="nil"/>
              <w:left w:val="nil"/>
              <w:bottom w:val="nil"/>
              <w:right w:val="nil"/>
            </w:tcBorders>
            <w:shd w:val="clear" w:color="auto" w:fill="E6E6E6"/>
            <w:vAlign w:val="center"/>
          </w:tcPr>
          <w:p w14:paraId="5D5A9121" w14:textId="4A746F83" w:rsidR="00080DD4" w:rsidRPr="00EF0893" w:rsidRDefault="00080DD4" w:rsidP="005C34D6">
            <w:pPr>
              <w:jc w:val="center"/>
            </w:pPr>
            <w:r w:rsidRPr="00EF0893">
              <w:t>72.1</w:t>
            </w:r>
          </w:p>
        </w:tc>
        <w:tc>
          <w:tcPr>
            <w:tcW w:w="1607" w:type="dxa"/>
            <w:gridSpan w:val="2"/>
            <w:tcBorders>
              <w:top w:val="nil"/>
              <w:left w:val="nil"/>
              <w:bottom w:val="nil"/>
              <w:right w:val="nil"/>
            </w:tcBorders>
            <w:shd w:val="clear" w:color="auto" w:fill="E6E6E6"/>
            <w:vAlign w:val="center"/>
          </w:tcPr>
          <w:p w14:paraId="4EC318BA" w14:textId="7F769874" w:rsidR="00080DD4" w:rsidRPr="00EF0893" w:rsidRDefault="008639EC" w:rsidP="005C34D6">
            <w:pPr>
              <w:jc w:val="center"/>
            </w:pPr>
            <w:r w:rsidRPr="00EF0893">
              <w:t>71.5</w:t>
            </w:r>
          </w:p>
        </w:tc>
      </w:tr>
      <w:tr w:rsidR="00BA7A1A" w14:paraId="6940F700" w14:textId="77777777" w:rsidTr="00B01A1C">
        <w:trPr>
          <w:trHeight w:val="335"/>
        </w:trPr>
        <w:tc>
          <w:tcPr>
            <w:tcW w:w="2856" w:type="dxa"/>
            <w:tcBorders>
              <w:top w:val="nil"/>
              <w:left w:val="nil"/>
              <w:bottom w:val="nil"/>
              <w:right w:val="nil"/>
            </w:tcBorders>
            <w:tcMar>
              <w:left w:w="108" w:type="dxa"/>
              <w:right w:w="108" w:type="dxa"/>
            </w:tcMar>
            <w:vAlign w:val="center"/>
          </w:tcPr>
          <w:p w14:paraId="72193017" w14:textId="09DCE88B" w:rsidR="00BA7A1A" w:rsidRPr="00EF0893" w:rsidRDefault="00FF1AA0" w:rsidP="006E7A8D">
            <w:r w:rsidRPr="00EF0893">
              <w:t>Western Australia</w:t>
            </w:r>
          </w:p>
        </w:tc>
        <w:tc>
          <w:tcPr>
            <w:tcW w:w="1625" w:type="dxa"/>
            <w:tcBorders>
              <w:top w:val="nil"/>
              <w:left w:val="nil"/>
              <w:bottom w:val="nil"/>
              <w:right w:val="nil"/>
            </w:tcBorders>
            <w:vAlign w:val="center"/>
          </w:tcPr>
          <w:p w14:paraId="6D43FD97" w14:textId="30FB0678" w:rsidR="00BA7A1A" w:rsidRPr="00EF0893" w:rsidRDefault="0092760C" w:rsidP="005C34D6">
            <w:pPr>
              <w:jc w:val="center"/>
            </w:pPr>
            <w:r w:rsidRPr="00EF0893">
              <w:t>59.8</w:t>
            </w:r>
          </w:p>
        </w:tc>
        <w:tc>
          <w:tcPr>
            <w:tcW w:w="1614" w:type="dxa"/>
            <w:tcBorders>
              <w:top w:val="nil"/>
              <w:left w:val="nil"/>
              <w:bottom w:val="nil"/>
              <w:right w:val="nil"/>
            </w:tcBorders>
            <w:tcMar>
              <w:left w:w="108" w:type="dxa"/>
              <w:right w:w="108" w:type="dxa"/>
            </w:tcMar>
            <w:vAlign w:val="center"/>
          </w:tcPr>
          <w:p w14:paraId="4B56D273" w14:textId="088FD273" w:rsidR="00BA7A1A" w:rsidRPr="00EF0893" w:rsidRDefault="00E14933" w:rsidP="005C34D6">
            <w:pPr>
              <w:jc w:val="center"/>
            </w:pPr>
            <w:r w:rsidRPr="00EF0893">
              <w:t>57.2</w:t>
            </w:r>
          </w:p>
        </w:tc>
        <w:tc>
          <w:tcPr>
            <w:tcW w:w="1541" w:type="dxa"/>
            <w:gridSpan w:val="2"/>
            <w:tcBorders>
              <w:top w:val="nil"/>
              <w:left w:val="nil"/>
              <w:bottom w:val="nil"/>
              <w:right w:val="nil"/>
            </w:tcBorders>
            <w:vAlign w:val="center"/>
          </w:tcPr>
          <w:p w14:paraId="3B116394" w14:textId="6FE6DACA" w:rsidR="00080DD4" w:rsidRPr="00EF0893" w:rsidRDefault="00080DD4" w:rsidP="005C34D6">
            <w:pPr>
              <w:jc w:val="center"/>
            </w:pPr>
            <w:r w:rsidRPr="00EF0893">
              <w:t>66.1</w:t>
            </w:r>
          </w:p>
        </w:tc>
        <w:tc>
          <w:tcPr>
            <w:tcW w:w="1607" w:type="dxa"/>
            <w:gridSpan w:val="2"/>
            <w:tcBorders>
              <w:top w:val="nil"/>
              <w:left w:val="nil"/>
              <w:bottom w:val="nil"/>
              <w:right w:val="nil"/>
            </w:tcBorders>
            <w:vAlign w:val="center"/>
          </w:tcPr>
          <w:p w14:paraId="628C5561" w14:textId="6C68DAC2" w:rsidR="00080DD4" w:rsidRPr="00EF0893" w:rsidRDefault="008639EC" w:rsidP="005C34D6">
            <w:pPr>
              <w:jc w:val="center"/>
            </w:pPr>
            <w:r w:rsidRPr="00EF0893">
              <w:t>73.6</w:t>
            </w:r>
          </w:p>
        </w:tc>
      </w:tr>
      <w:tr w:rsidR="00461C18" w14:paraId="4E9EE4D0" w14:textId="77777777" w:rsidTr="00B01A1C">
        <w:trPr>
          <w:trHeight w:val="335"/>
        </w:trPr>
        <w:tc>
          <w:tcPr>
            <w:tcW w:w="2856" w:type="dxa"/>
            <w:tcBorders>
              <w:top w:val="nil"/>
              <w:left w:val="nil"/>
              <w:bottom w:val="nil"/>
              <w:right w:val="nil"/>
            </w:tcBorders>
            <w:shd w:val="clear" w:color="auto" w:fill="E6E6E6"/>
            <w:tcMar>
              <w:left w:w="108" w:type="dxa"/>
              <w:right w:w="108" w:type="dxa"/>
            </w:tcMar>
            <w:vAlign w:val="center"/>
          </w:tcPr>
          <w:p w14:paraId="7C50A9AA" w14:textId="46345D6B" w:rsidR="00BA7A1A" w:rsidRPr="00EF0893" w:rsidRDefault="00FF1AA0" w:rsidP="006E7A8D">
            <w:r w:rsidRPr="00EF0893">
              <w:t>Tasmania</w:t>
            </w:r>
          </w:p>
        </w:tc>
        <w:tc>
          <w:tcPr>
            <w:tcW w:w="1625" w:type="dxa"/>
            <w:tcBorders>
              <w:top w:val="nil"/>
              <w:left w:val="nil"/>
              <w:bottom w:val="nil"/>
              <w:right w:val="nil"/>
            </w:tcBorders>
            <w:shd w:val="clear" w:color="auto" w:fill="E6E6E6"/>
            <w:vAlign w:val="center"/>
          </w:tcPr>
          <w:p w14:paraId="6DCDB35B" w14:textId="2D75BCD0" w:rsidR="00BA7A1A" w:rsidRPr="00EF0893" w:rsidRDefault="004E7FD3" w:rsidP="005C34D6">
            <w:pPr>
              <w:jc w:val="center"/>
            </w:pPr>
            <w:r w:rsidRPr="00EF0893">
              <w:t>N/A</w:t>
            </w:r>
          </w:p>
        </w:tc>
        <w:tc>
          <w:tcPr>
            <w:tcW w:w="1614" w:type="dxa"/>
            <w:tcBorders>
              <w:top w:val="nil"/>
              <w:left w:val="nil"/>
              <w:bottom w:val="nil"/>
              <w:right w:val="nil"/>
            </w:tcBorders>
            <w:shd w:val="clear" w:color="auto" w:fill="E6E6E6"/>
            <w:tcMar>
              <w:left w:w="108" w:type="dxa"/>
              <w:right w:w="108" w:type="dxa"/>
            </w:tcMar>
            <w:vAlign w:val="center"/>
          </w:tcPr>
          <w:p w14:paraId="3D89E9D3" w14:textId="3F5970D4" w:rsidR="00BA7A1A" w:rsidRPr="00EF0893" w:rsidRDefault="00CC5A6B" w:rsidP="005C34D6">
            <w:pPr>
              <w:jc w:val="center"/>
            </w:pPr>
            <w:r w:rsidRPr="00EF0893">
              <w:t>76.3</w:t>
            </w:r>
          </w:p>
        </w:tc>
        <w:tc>
          <w:tcPr>
            <w:tcW w:w="1541" w:type="dxa"/>
            <w:gridSpan w:val="2"/>
            <w:tcBorders>
              <w:top w:val="nil"/>
              <w:left w:val="nil"/>
              <w:bottom w:val="nil"/>
              <w:right w:val="nil"/>
            </w:tcBorders>
            <w:shd w:val="clear" w:color="auto" w:fill="E6E6E6"/>
            <w:vAlign w:val="center"/>
          </w:tcPr>
          <w:p w14:paraId="7FC787B4" w14:textId="06646E4C" w:rsidR="00080DD4" w:rsidRPr="00EF0893" w:rsidRDefault="00080DD4" w:rsidP="005C34D6">
            <w:pPr>
              <w:jc w:val="center"/>
            </w:pPr>
            <w:r w:rsidRPr="00EF0893">
              <w:t>75.4</w:t>
            </w:r>
          </w:p>
        </w:tc>
        <w:tc>
          <w:tcPr>
            <w:tcW w:w="1607" w:type="dxa"/>
            <w:gridSpan w:val="2"/>
            <w:tcBorders>
              <w:top w:val="nil"/>
              <w:left w:val="nil"/>
              <w:bottom w:val="nil"/>
              <w:right w:val="nil"/>
            </w:tcBorders>
            <w:shd w:val="clear" w:color="auto" w:fill="E6E6E6"/>
            <w:vAlign w:val="center"/>
          </w:tcPr>
          <w:p w14:paraId="08595206" w14:textId="243670D8" w:rsidR="00080DD4" w:rsidRPr="00EF0893" w:rsidRDefault="008639EC" w:rsidP="005C34D6">
            <w:pPr>
              <w:jc w:val="center"/>
            </w:pPr>
            <w:r w:rsidRPr="00EF0893">
              <w:t>71.5</w:t>
            </w:r>
          </w:p>
        </w:tc>
      </w:tr>
      <w:tr w:rsidR="00BA7A1A" w14:paraId="4DA1BFA0" w14:textId="77777777" w:rsidTr="00B01A1C">
        <w:trPr>
          <w:trHeight w:val="335"/>
        </w:trPr>
        <w:tc>
          <w:tcPr>
            <w:tcW w:w="2856" w:type="dxa"/>
            <w:tcBorders>
              <w:top w:val="nil"/>
              <w:left w:val="nil"/>
              <w:bottom w:val="nil"/>
              <w:right w:val="nil"/>
            </w:tcBorders>
            <w:tcMar>
              <w:left w:w="108" w:type="dxa"/>
              <w:right w:w="108" w:type="dxa"/>
            </w:tcMar>
            <w:vAlign w:val="center"/>
          </w:tcPr>
          <w:p w14:paraId="40BCE17E" w14:textId="1C6C8259" w:rsidR="00BA7A1A" w:rsidRPr="00EF0893" w:rsidRDefault="00FF1AA0" w:rsidP="006E7A8D">
            <w:r w:rsidRPr="00EF0893">
              <w:t>Northern Territory</w:t>
            </w:r>
          </w:p>
        </w:tc>
        <w:tc>
          <w:tcPr>
            <w:tcW w:w="1625" w:type="dxa"/>
            <w:tcBorders>
              <w:top w:val="nil"/>
              <w:left w:val="nil"/>
              <w:bottom w:val="nil"/>
              <w:right w:val="nil"/>
            </w:tcBorders>
            <w:vAlign w:val="center"/>
          </w:tcPr>
          <w:p w14:paraId="02AC6A7E" w14:textId="2740ACF4" w:rsidR="00BA7A1A" w:rsidRPr="00EF0893" w:rsidRDefault="004E7FD3" w:rsidP="005C34D6">
            <w:pPr>
              <w:jc w:val="center"/>
            </w:pPr>
            <w:r w:rsidRPr="00EF0893">
              <w:t>N/A</w:t>
            </w:r>
          </w:p>
        </w:tc>
        <w:tc>
          <w:tcPr>
            <w:tcW w:w="1614" w:type="dxa"/>
            <w:tcBorders>
              <w:top w:val="nil"/>
              <w:left w:val="nil"/>
              <w:bottom w:val="nil"/>
              <w:right w:val="nil"/>
            </w:tcBorders>
            <w:tcMar>
              <w:left w:w="108" w:type="dxa"/>
              <w:right w:w="108" w:type="dxa"/>
            </w:tcMar>
            <w:vAlign w:val="center"/>
          </w:tcPr>
          <w:p w14:paraId="29238820" w14:textId="0A99CEE6" w:rsidR="00BA7A1A" w:rsidRPr="00EF0893" w:rsidRDefault="004E7FD3" w:rsidP="005C34D6">
            <w:pPr>
              <w:jc w:val="center"/>
            </w:pPr>
            <w:r w:rsidRPr="00EF0893">
              <w:t>N/A</w:t>
            </w:r>
          </w:p>
        </w:tc>
        <w:tc>
          <w:tcPr>
            <w:tcW w:w="1541" w:type="dxa"/>
            <w:gridSpan w:val="2"/>
            <w:tcBorders>
              <w:top w:val="nil"/>
              <w:left w:val="nil"/>
              <w:bottom w:val="nil"/>
              <w:right w:val="nil"/>
            </w:tcBorders>
            <w:vAlign w:val="center"/>
          </w:tcPr>
          <w:p w14:paraId="15B16BFA" w14:textId="55E81746" w:rsidR="00080DD4" w:rsidRPr="00EF0893" w:rsidRDefault="00080DD4" w:rsidP="005C34D6">
            <w:pPr>
              <w:jc w:val="center"/>
            </w:pPr>
            <w:r w:rsidRPr="00EF0893">
              <w:t>74.3</w:t>
            </w:r>
          </w:p>
        </w:tc>
        <w:tc>
          <w:tcPr>
            <w:tcW w:w="1607" w:type="dxa"/>
            <w:gridSpan w:val="2"/>
            <w:tcBorders>
              <w:top w:val="nil"/>
              <w:left w:val="nil"/>
              <w:bottom w:val="nil"/>
              <w:right w:val="nil"/>
            </w:tcBorders>
            <w:vAlign w:val="center"/>
          </w:tcPr>
          <w:p w14:paraId="2258B048" w14:textId="6867E459" w:rsidR="00080DD4" w:rsidRPr="00EF0893" w:rsidRDefault="008639EC" w:rsidP="005C34D6">
            <w:pPr>
              <w:jc w:val="center"/>
            </w:pPr>
            <w:r w:rsidRPr="00EF0893">
              <w:t>77.3</w:t>
            </w:r>
          </w:p>
        </w:tc>
      </w:tr>
      <w:tr w:rsidR="00461C18" w14:paraId="464D3B4F" w14:textId="77777777" w:rsidTr="00B01A1C">
        <w:trPr>
          <w:trHeight w:val="335"/>
        </w:trPr>
        <w:tc>
          <w:tcPr>
            <w:tcW w:w="2856" w:type="dxa"/>
            <w:tcBorders>
              <w:top w:val="nil"/>
              <w:left w:val="nil"/>
              <w:bottom w:val="single" w:sz="8" w:space="0" w:color="4B0885" w:themeColor="text2"/>
              <w:right w:val="nil"/>
            </w:tcBorders>
            <w:shd w:val="clear" w:color="auto" w:fill="E6E6E6"/>
            <w:tcMar>
              <w:left w:w="108" w:type="dxa"/>
              <w:right w:w="108" w:type="dxa"/>
            </w:tcMar>
            <w:vAlign w:val="center"/>
          </w:tcPr>
          <w:p w14:paraId="51A03E6D" w14:textId="4270E468" w:rsidR="00BA7A1A" w:rsidRPr="00EF0893" w:rsidRDefault="00FF1AA0" w:rsidP="006E7A8D">
            <w:r w:rsidRPr="00EF0893">
              <w:t>Australian Capital Territory</w:t>
            </w:r>
          </w:p>
        </w:tc>
        <w:tc>
          <w:tcPr>
            <w:tcW w:w="1625" w:type="dxa"/>
            <w:tcBorders>
              <w:top w:val="nil"/>
              <w:left w:val="nil"/>
              <w:bottom w:val="single" w:sz="8" w:space="0" w:color="4B0885" w:themeColor="text2"/>
              <w:right w:val="nil"/>
            </w:tcBorders>
            <w:shd w:val="clear" w:color="auto" w:fill="E6E6E6"/>
            <w:vAlign w:val="center"/>
          </w:tcPr>
          <w:p w14:paraId="202B325C" w14:textId="44E8B76B" w:rsidR="00BA7A1A" w:rsidRPr="00EF0893" w:rsidRDefault="00531215" w:rsidP="005C34D6">
            <w:pPr>
              <w:jc w:val="center"/>
            </w:pPr>
            <w:r w:rsidRPr="00EF0893">
              <w:t>57.0</w:t>
            </w:r>
          </w:p>
        </w:tc>
        <w:tc>
          <w:tcPr>
            <w:tcW w:w="1614" w:type="dxa"/>
            <w:tcBorders>
              <w:top w:val="nil"/>
              <w:left w:val="nil"/>
              <w:bottom w:val="single" w:sz="8" w:space="0" w:color="4B0885" w:themeColor="text2"/>
              <w:right w:val="nil"/>
            </w:tcBorders>
            <w:shd w:val="clear" w:color="auto" w:fill="E6E6E6"/>
            <w:tcMar>
              <w:left w:w="108" w:type="dxa"/>
              <w:right w:w="108" w:type="dxa"/>
            </w:tcMar>
            <w:vAlign w:val="center"/>
          </w:tcPr>
          <w:p w14:paraId="0B87C267" w14:textId="42502C94" w:rsidR="00BA7A1A" w:rsidRPr="00EF0893" w:rsidRDefault="004E7FD3" w:rsidP="005C34D6">
            <w:pPr>
              <w:jc w:val="center"/>
            </w:pPr>
            <w:r w:rsidRPr="00EF0893">
              <w:t>N/A</w:t>
            </w:r>
          </w:p>
        </w:tc>
        <w:tc>
          <w:tcPr>
            <w:tcW w:w="1541" w:type="dxa"/>
            <w:gridSpan w:val="2"/>
            <w:tcBorders>
              <w:top w:val="nil"/>
              <w:left w:val="nil"/>
              <w:bottom w:val="single" w:sz="8" w:space="0" w:color="4B0885" w:themeColor="text2"/>
              <w:right w:val="nil"/>
            </w:tcBorders>
            <w:shd w:val="clear" w:color="auto" w:fill="E6E6E6"/>
            <w:vAlign w:val="center"/>
          </w:tcPr>
          <w:p w14:paraId="654B1975" w14:textId="67CB706A" w:rsidR="00080DD4" w:rsidRPr="00EF0893" w:rsidRDefault="004E7FD3" w:rsidP="005C34D6">
            <w:pPr>
              <w:jc w:val="center"/>
            </w:pPr>
            <w:r w:rsidRPr="00EF0893">
              <w:t>N/A</w:t>
            </w:r>
          </w:p>
        </w:tc>
        <w:tc>
          <w:tcPr>
            <w:tcW w:w="1607" w:type="dxa"/>
            <w:gridSpan w:val="2"/>
            <w:tcBorders>
              <w:top w:val="nil"/>
              <w:left w:val="nil"/>
              <w:bottom w:val="single" w:sz="8" w:space="0" w:color="4B0885" w:themeColor="text2"/>
              <w:right w:val="nil"/>
            </w:tcBorders>
            <w:shd w:val="clear" w:color="auto" w:fill="E6E6E6"/>
            <w:vAlign w:val="center"/>
          </w:tcPr>
          <w:p w14:paraId="50E4936A" w14:textId="78A3F2E8" w:rsidR="00080DD4" w:rsidRPr="00EF0893" w:rsidRDefault="004E7FD3" w:rsidP="005C34D6">
            <w:pPr>
              <w:jc w:val="center"/>
            </w:pPr>
            <w:r w:rsidRPr="00EF0893">
              <w:t>N/A</w:t>
            </w:r>
          </w:p>
        </w:tc>
      </w:tr>
    </w:tbl>
    <w:p w14:paraId="5AFE30B3" w14:textId="68C66016" w:rsidR="00A00DA0" w:rsidRPr="00943337" w:rsidRDefault="00A00DA0" w:rsidP="00943337">
      <w:pPr>
        <w:pStyle w:val="Source"/>
        <w:rPr>
          <w:rFonts w:asciiTheme="minorHAnsi" w:hAnsiTheme="minorHAnsi" w:cstheme="minorHAnsi"/>
        </w:rPr>
      </w:pPr>
      <w:r w:rsidRPr="00943337">
        <w:rPr>
          <w:rFonts w:asciiTheme="minorHAnsi" w:hAnsiTheme="minorHAnsi" w:cstheme="minorHAnsi"/>
        </w:rPr>
        <w:t>Source: NCVER</w:t>
      </w:r>
      <w:r w:rsidR="00066988" w:rsidRPr="00943337">
        <w:rPr>
          <w:rFonts w:asciiTheme="minorHAnsi" w:hAnsiTheme="minorHAnsi" w:cstheme="minorHAnsi"/>
        </w:rPr>
        <w:t>,</w:t>
      </w:r>
      <w:r w:rsidRPr="00943337">
        <w:rPr>
          <w:rFonts w:asciiTheme="minorHAnsi" w:hAnsiTheme="minorHAnsi" w:cstheme="minorHAnsi"/>
        </w:rPr>
        <w:t xml:space="preserve"> </w:t>
      </w:r>
      <w:r w:rsidRPr="00943337">
        <w:rPr>
          <w:rFonts w:asciiTheme="minorHAnsi" w:hAnsiTheme="minorHAnsi" w:cstheme="minorHAnsi"/>
          <w:i/>
          <w:iCs/>
        </w:rPr>
        <w:t>Total VET Students and Courses</w:t>
      </w:r>
      <w:r w:rsidRPr="00943337">
        <w:rPr>
          <w:rFonts w:asciiTheme="minorHAnsi" w:hAnsiTheme="minorHAnsi" w:cstheme="minorHAnsi"/>
        </w:rPr>
        <w:t>, Program Enrolments, 2022, VOCSTATS</w:t>
      </w:r>
    </w:p>
    <w:p w14:paraId="78FF7670" w14:textId="744477BB" w:rsidR="00AC72BE" w:rsidRPr="005D0566" w:rsidRDefault="00AC72BE" w:rsidP="005D0566">
      <w:pPr>
        <w:pStyle w:val="Heading3"/>
        <w:rPr>
          <w:rFonts w:asciiTheme="majorHAnsi" w:hAnsiTheme="majorHAnsi" w:cstheme="majorHAnsi"/>
        </w:rPr>
      </w:pPr>
      <w:bookmarkStart w:id="82" w:name="_Toc171937449"/>
      <w:r w:rsidRPr="005D0566">
        <w:rPr>
          <w:rFonts w:asciiTheme="majorHAnsi" w:hAnsiTheme="majorHAnsi" w:cstheme="majorHAnsi"/>
        </w:rPr>
        <w:t xml:space="preserve">VET </w:t>
      </w:r>
      <w:r w:rsidR="007A503F">
        <w:rPr>
          <w:rFonts w:asciiTheme="majorHAnsi" w:hAnsiTheme="majorHAnsi" w:cstheme="majorHAnsi"/>
        </w:rPr>
        <w:t>p</w:t>
      </w:r>
      <w:r w:rsidR="00F80228">
        <w:rPr>
          <w:rFonts w:asciiTheme="majorHAnsi" w:hAnsiTheme="majorHAnsi" w:cstheme="majorHAnsi"/>
        </w:rPr>
        <w:t>rovides</w:t>
      </w:r>
      <w:r w:rsidRPr="005D0566">
        <w:rPr>
          <w:rFonts w:asciiTheme="majorHAnsi" w:hAnsiTheme="majorHAnsi" w:cstheme="majorHAnsi"/>
        </w:rPr>
        <w:t xml:space="preserve"> an important pathway for First Nations students in regional and remote areas</w:t>
      </w:r>
      <w:bookmarkEnd w:id="82"/>
    </w:p>
    <w:p w14:paraId="7B6F9B46" w14:textId="274A8684" w:rsidR="00AC72BE" w:rsidRPr="00AC72BE" w:rsidRDefault="00AC72BE" w:rsidP="00976C43">
      <w:r w:rsidRPr="00AC72BE">
        <w:t xml:space="preserve">In 2022 the proportion of </w:t>
      </w:r>
      <w:r w:rsidR="00247041">
        <w:t xml:space="preserve">VET program </w:t>
      </w:r>
      <w:r w:rsidR="00541717">
        <w:t>enrol</w:t>
      </w:r>
      <w:r w:rsidR="00B55FF2">
        <w:t>ments</w:t>
      </w:r>
      <w:r w:rsidR="00541717">
        <w:t xml:space="preserve"> </w:t>
      </w:r>
      <w:r w:rsidR="00B55FF2">
        <w:t>for people</w:t>
      </w:r>
      <w:r w:rsidRPr="00AC72BE">
        <w:t xml:space="preserve"> who identified as Indigenous </w:t>
      </w:r>
      <w:r w:rsidR="00541717">
        <w:t xml:space="preserve">generally </w:t>
      </w:r>
      <w:r w:rsidRPr="00AC72BE">
        <w:t xml:space="preserve">increased with remoteness across all </w:t>
      </w:r>
      <w:r w:rsidR="00BB6378">
        <w:t>S</w:t>
      </w:r>
      <w:r w:rsidRPr="00AC72BE">
        <w:t xml:space="preserve">tates and </w:t>
      </w:r>
      <w:r w:rsidR="00BB6378">
        <w:t>T</w:t>
      </w:r>
      <w:r w:rsidRPr="00AC72BE">
        <w:t xml:space="preserve">erritories, indicating the importance of VET as a training pathway for First Nations students in regional and remote Australia. Not surprisingly the highest proportion of students who identified as Indigenous </w:t>
      </w:r>
      <w:r w:rsidR="00C874F9">
        <w:t xml:space="preserve">were enrolled </w:t>
      </w:r>
      <w:r w:rsidRPr="00AC72BE">
        <w:t xml:space="preserve">in </w:t>
      </w:r>
      <w:r w:rsidR="00181B67">
        <w:t xml:space="preserve">Northern Territory, both </w:t>
      </w:r>
      <w:r w:rsidRPr="00AC72BE">
        <w:t xml:space="preserve">remote </w:t>
      </w:r>
      <w:r w:rsidR="0015168D">
        <w:t xml:space="preserve">(28.2%) </w:t>
      </w:r>
      <w:r w:rsidRPr="00AC72BE">
        <w:t>and very remote (</w:t>
      </w:r>
      <w:r w:rsidR="00310762">
        <w:t>69</w:t>
      </w:r>
      <w:r w:rsidRPr="00AC72BE">
        <w:t>.</w:t>
      </w:r>
      <w:r w:rsidR="00310762">
        <w:t>2</w:t>
      </w:r>
      <w:r w:rsidRPr="00AC72BE">
        <w:t>%)</w:t>
      </w:r>
      <w:r w:rsidR="00181B67">
        <w:t>,</w:t>
      </w:r>
      <w:r w:rsidRPr="00AC72BE">
        <w:t xml:space="preserve"> followed by remote </w:t>
      </w:r>
      <w:r w:rsidR="00A21DB1">
        <w:t xml:space="preserve">(24.1%) </w:t>
      </w:r>
      <w:r w:rsidRPr="00AC72BE">
        <w:t>and very remote</w:t>
      </w:r>
      <w:r w:rsidR="00181B67">
        <w:t xml:space="preserve"> (47.0%)</w:t>
      </w:r>
      <w:r w:rsidRPr="00AC72BE">
        <w:t xml:space="preserve"> Western Australia.</w:t>
      </w:r>
      <w:r w:rsidR="00DF7A27">
        <w:t xml:space="preserve"> </w:t>
      </w:r>
      <w:r w:rsidR="00086282">
        <w:t xml:space="preserve">In very remote Queensland and </w:t>
      </w:r>
      <w:r w:rsidR="005075A2">
        <w:t xml:space="preserve">South Australia </w:t>
      </w:r>
      <w:r w:rsidR="00C41014">
        <w:t xml:space="preserve">the proportion of </w:t>
      </w:r>
      <w:r w:rsidR="00073AA1">
        <w:t>indigenous enrolments was 38.8</w:t>
      </w:r>
      <w:r w:rsidR="00323451">
        <w:t>%</w:t>
      </w:r>
      <w:r w:rsidR="00073AA1">
        <w:t xml:space="preserve"> and </w:t>
      </w:r>
      <w:r w:rsidR="00445D72">
        <w:t>35.9</w:t>
      </w:r>
      <w:r w:rsidR="00323451">
        <w:t xml:space="preserve">% of </w:t>
      </w:r>
      <w:r w:rsidR="000E7BF3">
        <w:t>all enrolments</w:t>
      </w:r>
      <w:r w:rsidR="000C7A5D">
        <w:t xml:space="preserve"> respectively</w:t>
      </w:r>
      <w:r w:rsidR="000E7BF3">
        <w:t>.</w:t>
      </w:r>
      <w:r w:rsidRPr="20A6F5DF">
        <w:rPr>
          <w:rFonts w:asciiTheme="minorHAnsi" w:hAnsiTheme="minorHAnsi"/>
          <w:vertAlign w:val="superscript"/>
        </w:rPr>
        <w:footnoteReference w:id="82"/>
      </w:r>
      <w:r w:rsidRPr="20A6F5DF">
        <w:rPr>
          <w:rFonts w:asciiTheme="minorHAnsi" w:hAnsiTheme="minorHAnsi"/>
          <w:vertAlign w:val="superscript"/>
        </w:rPr>
        <w:t xml:space="preserve"> </w:t>
      </w:r>
    </w:p>
    <w:p w14:paraId="65D11D9B" w14:textId="00E783FD" w:rsidR="00805562" w:rsidRPr="005D0566" w:rsidRDefault="00182188" w:rsidP="00805562">
      <w:pPr>
        <w:pStyle w:val="Heading3"/>
        <w:rPr>
          <w:rFonts w:asciiTheme="majorHAnsi" w:hAnsiTheme="majorHAnsi" w:cstheme="majorHAnsi"/>
        </w:rPr>
      </w:pPr>
      <w:r>
        <w:rPr>
          <w:rFonts w:asciiTheme="majorHAnsi" w:hAnsiTheme="majorHAnsi" w:cstheme="majorHAnsi"/>
        </w:rPr>
        <w:t>VET S</w:t>
      </w:r>
      <w:r w:rsidR="00805562" w:rsidRPr="005D0566">
        <w:rPr>
          <w:rFonts w:asciiTheme="majorHAnsi" w:hAnsiTheme="majorHAnsi" w:cstheme="majorHAnsi"/>
        </w:rPr>
        <w:t xml:space="preserve">tudents </w:t>
      </w:r>
      <w:r w:rsidR="00BB6378">
        <w:rPr>
          <w:rFonts w:asciiTheme="majorHAnsi" w:hAnsiTheme="majorHAnsi" w:cstheme="majorHAnsi"/>
        </w:rPr>
        <w:t xml:space="preserve">with disability </w:t>
      </w:r>
      <w:r>
        <w:rPr>
          <w:rFonts w:asciiTheme="majorHAnsi" w:hAnsiTheme="majorHAnsi" w:cstheme="majorHAnsi"/>
        </w:rPr>
        <w:t>are</w:t>
      </w:r>
      <w:r w:rsidR="007A503F">
        <w:rPr>
          <w:rFonts w:asciiTheme="majorHAnsi" w:hAnsiTheme="majorHAnsi" w:cstheme="majorHAnsi"/>
        </w:rPr>
        <w:t xml:space="preserve"> </w:t>
      </w:r>
      <w:r w:rsidR="00EE6A49">
        <w:rPr>
          <w:rFonts w:asciiTheme="majorHAnsi" w:hAnsiTheme="majorHAnsi" w:cstheme="majorHAnsi"/>
        </w:rPr>
        <w:t xml:space="preserve">overrepresented </w:t>
      </w:r>
      <w:r w:rsidR="007A503F">
        <w:rPr>
          <w:rFonts w:asciiTheme="majorHAnsi" w:hAnsiTheme="majorHAnsi" w:cstheme="majorHAnsi"/>
        </w:rPr>
        <w:t>in regional</w:t>
      </w:r>
      <w:r w:rsidR="00805562" w:rsidRPr="005D0566">
        <w:rPr>
          <w:rFonts w:asciiTheme="majorHAnsi" w:hAnsiTheme="majorHAnsi" w:cstheme="majorHAnsi"/>
        </w:rPr>
        <w:t xml:space="preserve"> areas</w:t>
      </w:r>
    </w:p>
    <w:p w14:paraId="43DBF61A" w14:textId="7F3C3DFA" w:rsidR="00321752" w:rsidRPr="00F81EAB" w:rsidRDefault="00E53FD1" w:rsidP="00976C43">
      <w:r>
        <w:t>Nationally</w:t>
      </w:r>
      <w:r w:rsidR="00455E85">
        <w:t>,</w:t>
      </w:r>
      <w:r w:rsidR="00372F3B">
        <w:t xml:space="preserve"> the </w:t>
      </w:r>
      <w:r w:rsidR="005C5189">
        <w:t>share of VET</w:t>
      </w:r>
      <w:r w:rsidR="00321752" w:rsidRPr="00AC72BE">
        <w:t xml:space="preserve"> </w:t>
      </w:r>
      <w:r w:rsidR="00142743">
        <w:t>program enrolments f</w:t>
      </w:r>
      <w:r w:rsidR="00605F6B">
        <w:t>or</w:t>
      </w:r>
      <w:r w:rsidR="00142743">
        <w:t xml:space="preserve"> </w:t>
      </w:r>
      <w:r w:rsidR="00605F6B">
        <w:t xml:space="preserve">people </w:t>
      </w:r>
      <w:r w:rsidR="006D081E">
        <w:t xml:space="preserve">who identified as </w:t>
      </w:r>
      <w:r w:rsidR="007679D1">
        <w:t>having disability</w:t>
      </w:r>
      <w:r w:rsidR="00321752" w:rsidRPr="00AC72BE">
        <w:t xml:space="preserve"> </w:t>
      </w:r>
      <w:r w:rsidR="005C5189">
        <w:t xml:space="preserve">was </w:t>
      </w:r>
      <w:r w:rsidR="001A61A4">
        <w:t>greate</w:t>
      </w:r>
      <w:r w:rsidR="00CD0691">
        <w:t>st</w:t>
      </w:r>
      <w:r w:rsidR="001A61A4">
        <w:t xml:space="preserve"> </w:t>
      </w:r>
      <w:r w:rsidR="00321752" w:rsidRPr="00AC72BE">
        <w:t xml:space="preserve">in inner </w:t>
      </w:r>
      <w:r w:rsidR="00CD0691">
        <w:t>regional areas</w:t>
      </w:r>
      <w:r>
        <w:t xml:space="preserve"> (9.1%)</w:t>
      </w:r>
      <w:r w:rsidR="0087369A">
        <w:t>,</w:t>
      </w:r>
      <w:r>
        <w:t xml:space="preserve"> followed by outer regional areas </w:t>
      </w:r>
      <w:r w:rsidR="00026BA5">
        <w:t>(7.8%)</w:t>
      </w:r>
      <w:r w:rsidR="00DE15E3">
        <w:t xml:space="preserve">, </w:t>
      </w:r>
      <w:r w:rsidR="009319D3">
        <w:t xml:space="preserve">then </w:t>
      </w:r>
      <w:r w:rsidR="002C280A">
        <w:t>major</w:t>
      </w:r>
      <w:r w:rsidR="00DC626D">
        <w:t xml:space="preserve"> cities (7.6%)</w:t>
      </w:r>
      <w:r w:rsidR="00372F3B">
        <w:t>,</w:t>
      </w:r>
      <w:r w:rsidR="002C280A">
        <w:t xml:space="preserve"> </w:t>
      </w:r>
      <w:r w:rsidR="009142C6">
        <w:t xml:space="preserve">and </w:t>
      </w:r>
      <w:r w:rsidR="00372F3B">
        <w:t xml:space="preserve">was </w:t>
      </w:r>
      <w:r w:rsidR="009142C6">
        <w:t xml:space="preserve">lowest </w:t>
      </w:r>
      <w:r w:rsidR="00742514">
        <w:t>in very remote (5.9%) and remote (5.6%) areas</w:t>
      </w:r>
      <w:r w:rsidR="00394177">
        <w:t>.</w:t>
      </w:r>
      <w:r w:rsidR="00321752" w:rsidRPr="20A6F5DF">
        <w:rPr>
          <w:rFonts w:asciiTheme="minorHAnsi" w:hAnsiTheme="minorHAnsi"/>
          <w:vertAlign w:val="superscript"/>
        </w:rPr>
        <w:footnoteReference w:id="83"/>
      </w:r>
      <w:r w:rsidR="00321752" w:rsidRPr="20A6F5DF">
        <w:rPr>
          <w:rFonts w:asciiTheme="minorHAnsi" w:hAnsiTheme="minorHAnsi"/>
          <w:vertAlign w:val="superscript"/>
        </w:rPr>
        <w:t xml:space="preserve"> </w:t>
      </w:r>
    </w:p>
    <w:p w14:paraId="00E63C83" w14:textId="77777777" w:rsidR="006475EA" w:rsidRPr="005D0566" w:rsidRDefault="006475EA" w:rsidP="005D0566">
      <w:pPr>
        <w:pStyle w:val="Heading3"/>
        <w:rPr>
          <w:b w:val="0"/>
        </w:rPr>
      </w:pPr>
      <w:r w:rsidRPr="005D0566">
        <w:rPr>
          <w:rFonts w:asciiTheme="majorHAnsi" w:hAnsiTheme="majorHAnsi" w:cstheme="majorHAnsi"/>
        </w:rPr>
        <w:t>Student satisfaction with training is consistently high across regions and over time</w:t>
      </w:r>
    </w:p>
    <w:p w14:paraId="1BAC2903" w14:textId="2353A039" w:rsidR="006475EA" w:rsidRPr="006475EA" w:rsidRDefault="006475EA" w:rsidP="00976C43">
      <w:r w:rsidRPr="006475EA">
        <w:t xml:space="preserve">The NCVER Student Outcomes Survey (SOS) collects information about student satisfaction with their </w:t>
      </w:r>
      <w:r w:rsidR="000F5D99">
        <w:t xml:space="preserve">vocational </w:t>
      </w:r>
      <w:r w:rsidR="00EC0441">
        <w:t xml:space="preserve">education and </w:t>
      </w:r>
      <w:r w:rsidRPr="006475EA">
        <w:t xml:space="preserve">training the year after completion. Overall, student satisfaction </w:t>
      </w:r>
      <w:r w:rsidR="007449F9">
        <w:t>in 2023 was</w:t>
      </w:r>
      <w:r w:rsidRPr="006475EA">
        <w:t xml:space="preserve"> consistently high, </w:t>
      </w:r>
      <w:r w:rsidR="004A1BDA">
        <w:t xml:space="preserve">between </w:t>
      </w:r>
      <w:r w:rsidR="00BB15C8">
        <w:t>8</w:t>
      </w:r>
      <w:r w:rsidR="00BB15C8" w:rsidRPr="006475EA">
        <w:t>0</w:t>
      </w:r>
      <w:r w:rsidR="00BB15C8">
        <w:t>.7</w:t>
      </w:r>
      <w:r w:rsidRPr="006475EA">
        <w:t xml:space="preserve">% </w:t>
      </w:r>
      <w:r w:rsidR="00BB15C8">
        <w:t xml:space="preserve">to </w:t>
      </w:r>
      <w:r w:rsidR="00ED3012">
        <w:t xml:space="preserve">83.5% </w:t>
      </w:r>
      <w:r w:rsidRPr="006475EA">
        <w:t xml:space="preserve">across all remoteness areas, with those from remote </w:t>
      </w:r>
      <w:r w:rsidR="00CE3E12">
        <w:t>and</w:t>
      </w:r>
      <w:r w:rsidRPr="006475EA">
        <w:t xml:space="preserve"> very remote areas having slightly higher satisfaction </w:t>
      </w:r>
      <w:r w:rsidR="007449F9">
        <w:t xml:space="preserve">levels </w:t>
      </w:r>
      <w:r w:rsidR="00A4198B">
        <w:t>(</w:t>
      </w:r>
      <w:r w:rsidR="00A8664E">
        <w:t xml:space="preserve">83.4%) and (84.0% respectively) </w:t>
      </w:r>
      <w:r w:rsidR="007449F9">
        <w:t xml:space="preserve">compared to those </w:t>
      </w:r>
      <w:r w:rsidR="00F534BC">
        <w:t>from</w:t>
      </w:r>
      <w:r w:rsidR="007449F9">
        <w:t xml:space="preserve"> </w:t>
      </w:r>
      <w:r w:rsidR="00096AF7">
        <w:t>outer regional (</w:t>
      </w:r>
      <w:r w:rsidR="00A8664E">
        <w:t>83.1</w:t>
      </w:r>
      <w:r w:rsidR="00096AF7">
        <w:t>%), inner regional</w:t>
      </w:r>
      <w:r w:rsidR="001871A4">
        <w:t xml:space="preserve"> </w:t>
      </w:r>
      <w:r w:rsidR="00096AF7">
        <w:t>(</w:t>
      </w:r>
      <w:r w:rsidR="00A32F30">
        <w:t>82.7</w:t>
      </w:r>
      <w:r w:rsidR="00096AF7">
        <w:t>%) a</w:t>
      </w:r>
      <w:r w:rsidR="001871A4">
        <w:t xml:space="preserve">nd </w:t>
      </w:r>
      <w:r w:rsidR="004524A6">
        <w:t>major</w:t>
      </w:r>
      <w:r w:rsidR="001871A4">
        <w:t xml:space="preserve"> cities (</w:t>
      </w:r>
      <w:r w:rsidR="00A32F30">
        <w:t>80.7</w:t>
      </w:r>
      <w:r w:rsidR="001871A4">
        <w:t>%)</w:t>
      </w:r>
      <w:r w:rsidR="007449F9">
        <w:t xml:space="preserve"> </w:t>
      </w:r>
      <w:r w:rsidR="00024E94">
        <w:t xml:space="preserve">(Figure </w:t>
      </w:r>
      <w:r w:rsidR="00976C43">
        <w:t>43</w:t>
      </w:r>
      <w:r w:rsidRPr="006475EA">
        <w:t>).</w:t>
      </w:r>
    </w:p>
    <w:p w14:paraId="611E011B" w14:textId="5E491F19" w:rsidR="006475EA" w:rsidRPr="00976C43" w:rsidRDefault="006475EA" w:rsidP="00976C43">
      <w:pPr>
        <w:pStyle w:val="Caption"/>
        <w:rPr>
          <w:rFonts w:asciiTheme="minorHAnsi" w:hAnsiTheme="minorHAnsi" w:cstheme="minorHAnsi"/>
          <w:szCs w:val="20"/>
        </w:rPr>
      </w:pPr>
      <w:r w:rsidRPr="00976C43">
        <w:rPr>
          <w:rFonts w:asciiTheme="minorHAnsi" w:hAnsiTheme="minorHAnsi" w:cstheme="minorHAnsi"/>
          <w:szCs w:val="20"/>
        </w:rPr>
        <w:t xml:space="preserve">Figure </w:t>
      </w:r>
      <w:r w:rsidR="00976C43" w:rsidRPr="00976C43">
        <w:rPr>
          <w:rFonts w:asciiTheme="minorHAnsi" w:hAnsiTheme="minorHAnsi" w:cstheme="minorHAnsi"/>
          <w:szCs w:val="20"/>
        </w:rPr>
        <w:t>43</w:t>
      </w:r>
      <w:r w:rsidRPr="00976C43">
        <w:rPr>
          <w:rFonts w:asciiTheme="minorHAnsi" w:hAnsiTheme="minorHAnsi" w:cstheme="minorHAnsi"/>
          <w:szCs w:val="20"/>
        </w:rPr>
        <w:t>: Student overall satisfaction with training, by remoteness, 2023</w:t>
      </w:r>
    </w:p>
    <w:p w14:paraId="7E80DEF3" w14:textId="40D8AD8D" w:rsidR="0059048A" w:rsidRPr="00FF2857" w:rsidRDefault="00CE328B" w:rsidP="00FF2857">
      <w:pPr>
        <w:rPr>
          <w:rFonts w:cs="Arial"/>
          <w:kern w:val="2"/>
          <w14:ligatures w14:val="standardContextual"/>
        </w:rPr>
      </w:pPr>
      <w:r>
        <w:rPr>
          <w:noProof/>
        </w:rPr>
        <w:drawing>
          <wp:inline distT="0" distB="0" distL="0" distR="0" wp14:anchorId="5386CE11" wp14:editId="53F85D08">
            <wp:extent cx="5731510" cy="3643630"/>
            <wp:effectExtent l="0" t="0" r="2540" b="0"/>
            <wp:docPr id="715401590" name="Chart 1" descr="This graph shows data on student overall satisfaction with their VET training based on remoteness categories. Student satisfaction increased and student dissatisfaction decreased with increasing remoteness.">
              <a:extLst xmlns:a="http://schemas.openxmlformats.org/drawingml/2006/main">
                <a:ext uri="{FF2B5EF4-FFF2-40B4-BE49-F238E27FC236}">
                  <a16:creationId xmlns:a16="http://schemas.microsoft.com/office/drawing/2014/main" id="{A9A28618-E1AC-907A-E3DB-547D31D75E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78ACF178" w14:textId="223466D0" w:rsidR="006475EA" w:rsidRPr="00976C43" w:rsidRDefault="006475EA" w:rsidP="00976C43">
      <w:pPr>
        <w:pStyle w:val="Source"/>
        <w:rPr>
          <w:rFonts w:asciiTheme="minorHAnsi" w:hAnsiTheme="minorHAnsi" w:cstheme="minorHAnsi"/>
        </w:rPr>
      </w:pPr>
      <w:r w:rsidRPr="00976C43">
        <w:rPr>
          <w:rFonts w:asciiTheme="minorHAnsi" w:hAnsiTheme="minorHAnsi" w:cstheme="minorHAnsi"/>
        </w:rPr>
        <w:t>Source: NCVER</w:t>
      </w:r>
      <w:r w:rsidR="000A3DD8" w:rsidRPr="00976C43">
        <w:rPr>
          <w:rFonts w:asciiTheme="minorHAnsi" w:hAnsiTheme="minorHAnsi" w:cstheme="minorHAnsi"/>
        </w:rPr>
        <w:t xml:space="preserve">, </w:t>
      </w:r>
      <w:r w:rsidR="000A3DD8" w:rsidRPr="00976C43">
        <w:rPr>
          <w:rFonts w:asciiTheme="minorHAnsi" w:hAnsiTheme="minorHAnsi" w:cstheme="minorHAnsi"/>
          <w:i/>
          <w:iCs/>
        </w:rPr>
        <w:t>VET</w:t>
      </w:r>
      <w:r w:rsidRPr="00976C43">
        <w:rPr>
          <w:rFonts w:asciiTheme="minorHAnsi" w:hAnsiTheme="minorHAnsi" w:cstheme="minorHAnsi"/>
          <w:i/>
          <w:iCs/>
        </w:rPr>
        <w:t xml:space="preserve"> Student Outcomes</w:t>
      </w:r>
      <w:r w:rsidRPr="00976C43">
        <w:rPr>
          <w:rFonts w:asciiTheme="minorHAnsi" w:hAnsiTheme="minorHAnsi" w:cstheme="minorHAnsi"/>
        </w:rPr>
        <w:t xml:space="preserve">, </w:t>
      </w:r>
      <w:r w:rsidR="003509BD" w:rsidRPr="00976C43">
        <w:rPr>
          <w:rFonts w:asciiTheme="minorHAnsi" w:hAnsiTheme="minorHAnsi" w:cstheme="minorHAnsi"/>
        </w:rPr>
        <w:t>all students</w:t>
      </w:r>
      <w:r w:rsidRPr="00976C43">
        <w:rPr>
          <w:rFonts w:asciiTheme="minorHAnsi" w:hAnsiTheme="minorHAnsi" w:cstheme="minorHAnsi"/>
        </w:rPr>
        <w:t>, 2023, VOCSTATS</w:t>
      </w:r>
    </w:p>
    <w:p w14:paraId="38622F71" w14:textId="155A7899" w:rsidR="00B53D24" w:rsidRPr="005D0566" w:rsidRDefault="00FF2857" w:rsidP="00314699">
      <w:pPr>
        <w:pStyle w:val="Heading3"/>
        <w:rPr>
          <w:b w:val="0"/>
        </w:rPr>
      </w:pPr>
      <w:r>
        <w:rPr>
          <w:rFonts w:asciiTheme="majorHAnsi" w:hAnsiTheme="majorHAnsi" w:cstheme="majorHAnsi"/>
        </w:rPr>
        <w:t>R</w:t>
      </w:r>
      <w:r w:rsidR="00B53D24" w:rsidRPr="005D0566">
        <w:rPr>
          <w:rFonts w:asciiTheme="majorHAnsi" w:hAnsiTheme="majorHAnsi" w:cstheme="majorHAnsi"/>
        </w:rPr>
        <w:t xml:space="preserve">egional and remote </w:t>
      </w:r>
      <w:r>
        <w:rPr>
          <w:rFonts w:asciiTheme="majorHAnsi" w:hAnsiTheme="majorHAnsi" w:cstheme="majorHAnsi"/>
        </w:rPr>
        <w:t>students</w:t>
      </w:r>
      <w:r w:rsidR="00B53D24" w:rsidRPr="005D0566">
        <w:rPr>
          <w:rFonts w:asciiTheme="majorHAnsi" w:hAnsiTheme="majorHAnsi" w:cstheme="majorHAnsi"/>
        </w:rPr>
        <w:t xml:space="preserve"> have stronger outcomes after training</w:t>
      </w:r>
    </w:p>
    <w:p w14:paraId="29C2E508" w14:textId="3E985A11" w:rsidR="00B53D24" w:rsidRPr="00B53D24" w:rsidRDefault="00B53D24" w:rsidP="00976C43">
      <w:r w:rsidRPr="00B53D24">
        <w:t xml:space="preserve">The </w:t>
      </w:r>
      <w:r w:rsidRPr="00901A26">
        <w:rPr>
          <w:rFonts w:asciiTheme="minorHAnsi" w:hAnsiTheme="minorHAnsi" w:cstheme="minorHAnsi"/>
        </w:rPr>
        <w:t xml:space="preserve">SOS </w:t>
      </w:r>
      <w:r w:rsidRPr="00B53D24">
        <w:t xml:space="preserve">also shows that </w:t>
      </w:r>
      <w:r w:rsidR="00A61A6E">
        <w:t xml:space="preserve">VET </w:t>
      </w:r>
      <w:r w:rsidRPr="00B53D24">
        <w:t xml:space="preserve">students from inner regional, outer regional and remote areas </w:t>
      </w:r>
      <w:r w:rsidR="00602D6D">
        <w:t>have consistently better outcomes from training</w:t>
      </w:r>
      <w:r w:rsidR="00677AC7">
        <w:t xml:space="preserve"> </w:t>
      </w:r>
      <w:r w:rsidRPr="00B53D24">
        <w:t xml:space="preserve">than students from </w:t>
      </w:r>
      <w:r w:rsidR="00630D19">
        <w:t>major</w:t>
      </w:r>
      <w:r w:rsidRPr="00B53D24">
        <w:t xml:space="preserve"> cities</w:t>
      </w:r>
      <w:r w:rsidR="00976C43">
        <w:t xml:space="preserve"> (Table 13)</w:t>
      </w:r>
      <w:r w:rsidRPr="00B53D24">
        <w:t>. The proportion of qualification completers (</w:t>
      </w:r>
      <w:r w:rsidR="00A83E62">
        <w:t xml:space="preserve">i.e. </w:t>
      </w:r>
      <w:r w:rsidRPr="00B53D24">
        <w:t xml:space="preserve">those who completed </w:t>
      </w:r>
      <w:r w:rsidR="00677AC7">
        <w:t xml:space="preserve">a </w:t>
      </w:r>
      <w:r w:rsidR="00F534BC">
        <w:t xml:space="preserve">VET </w:t>
      </w:r>
      <w:r w:rsidR="00677AC7">
        <w:t>qualification</w:t>
      </w:r>
      <w:r w:rsidRPr="00B53D24">
        <w:t xml:space="preserve"> in 2022) </w:t>
      </w:r>
      <w:r w:rsidR="00A83E62">
        <w:t xml:space="preserve">who were </w:t>
      </w:r>
      <w:r w:rsidR="00E41FFE" w:rsidRPr="00B53D24">
        <w:t xml:space="preserve">employed or in further study in 2023 </w:t>
      </w:r>
      <w:r w:rsidRPr="00B53D24">
        <w:t>was 89.7% for those from inner regional, 88.5% for outer regional and 87.7% for remote/very remote</w:t>
      </w:r>
      <w:r w:rsidR="00A83E62">
        <w:t xml:space="preserve"> area</w:t>
      </w:r>
      <w:r w:rsidR="00DA2410">
        <w:t>s</w:t>
      </w:r>
      <w:r w:rsidRPr="00B53D24">
        <w:t xml:space="preserve">, compared to 86.2% for those from </w:t>
      </w:r>
      <w:r w:rsidR="00630D19">
        <w:t>major</w:t>
      </w:r>
      <w:r w:rsidRPr="00B53D24">
        <w:t xml:space="preserve"> cities. This trend has been consistent over the past few years. </w:t>
      </w:r>
    </w:p>
    <w:p w14:paraId="0CD1CAFF" w14:textId="0D566113" w:rsidR="006A29AD" w:rsidRDefault="00B53D24" w:rsidP="00976C43">
      <w:pPr>
        <w:rPr>
          <w:rFonts w:asciiTheme="minorHAnsi" w:hAnsiTheme="minorHAnsi" w:cstheme="minorHAnsi"/>
        </w:rPr>
      </w:pPr>
      <w:r w:rsidRPr="00B53D24">
        <w:t>Similarly, the proportion with an improved employment status after training</w:t>
      </w:r>
      <w:r w:rsidR="00041496">
        <w:rPr>
          <w:rStyle w:val="FootnoteReference"/>
          <w:rFonts w:cs="Arial"/>
          <w:kern w:val="2"/>
          <w14:ligatures w14:val="standardContextual"/>
        </w:rPr>
        <w:footnoteReference w:id="84"/>
      </w:r>
      <w:r w:rsidR="0032325E">
        <w:t xml:space="preserve"> </w:t>
      </w:r>
      <w:r w:rsidR="00E27590">
        <w:t xml:space="preserve">in 2023 </w:t>
      </w:r>
      <w:r w:rsidRPr="00B53D24">
        <w:t>was lowe</w:t>
      </w:r>
      <w:r w:rsidR="0084456E">
        <w:t>st</w:t>
      </w:r>
      <w:r w:rsidRPr="00B53D24">
        <w:t xml:space="preserve"> </w:t>
      </w:r>
      <w:r w:rsidR="003C6C18">
        <w:t>for</w:t>
      </w:r>
      <w:r w:rsidRPr="00B53D24">
        <w:t xml:space="preserve"> </w:t>
      </w:r>
      <w:r w:rsidR="00630D19">
        <w:t>major</w:t>
      </w:r>
      <w:r w:rsidRPr="00B53D24">
        <w:t xml:space="preserve"> cities (</w:t>
      </w:r>
      <w:r w:rsidR="009B5892">
        <w:t>66.0%</w:t>
      </w:r>
      <w:r w:rsidR="00E27590">
        <w:t>%</w:t>
      </w:r>
      <w:r w:rsidR="00560A7E">
        <w:t>)</w:t>
      </w:r>
      <w:r w:rsidR="00F247BE">
        <w:t xml:space="preserve"> and highest </w:t>
      </w:r>
      <w:r w:rsidR="00A90919">
        <w:t>for inner regional areas (</w:t>
      </w:r>
      <w:r w:rsidR="00124CF8">
        <w:t>71.9%)</w:t>
      </w:r>
      <w:r w:rsidR="00094CA4">
        <w:t xml:space="preserve"> gradually decreasing </w:t>
      </w:r>
      <w:r w:rsidR="00560A7E">
        <w:t>with remoteness</w:t>
      </w:r>
      <w:r w:rsidR="009B63B7">
        <w:t>,</w:t>
      </w:r>
      <w:r w:rsidRPr="00B53D24">
        <w:t xml:space="preserve"> </w:t>
      </w:r>
      <w:r w:rsidR="000F2A06">
        <w:t>to</w:t>
      </w:r>
      <w:r w:rsidRPr="00B53D24">
        <w:t xml:space="preserve"> </w:t>
      </w:r>
      <w:r w:rsidR="00803BC8">
        <w:t>69.5</w:t>
      </w:r>
      <w:r w:rsidRPr="00B53D24">
        <w:t xml:space="preserve">% for those from </w:t>
      </w:r>
      <w:r w:rsidR="000F2A06">
        <w:t>remote/very remote areas</w:t>
      </w:r>
      <w:r w:rsidR="009B63B7">
        <w:t xml:space="preserve">. </w:t>
      </w:r>
    </w:p>
    <w:p w14:paraId="680DB3E6" w14:textId="77777777" w:rsidR="00976C43" w:rsidRPr="00E54B8C" w:rsidRDefault="00976C43">
      <w:r w:rsidRPr="00E54B8C">
        <w:br w:type="page"/>
      </w:r>
    </w:p>
    <w:p w14:paraId="1DF4CB58" w14:textId="312809D3" w:rsidR="008C54CB" w:rsidRPr="00976C43" w:rsidRDefault="008C54CB" w:rsidP="00976C43">
      <w:pPr>
        <w:pStyle w:val="Caption"/>
        <w:rPr>
          <w:rFonts w:asciiTheme="minorHAnsi" w:hAnsiTheme="minorHAnsi" w:cstheme="minorHAnsi"/>
          <w:szCs w:val="20"/>
        </w:rPr>
      </w:pPr>
      <w:r w:rsidRPr="00976C43">
        <w:rPr>
          <w:rFonts w:asciiTheme="minorHAnsi" w:hAnsiTheme="minorHAnsi" w:cstheme="minorHAnsi"/>
          <w:szCs w:val="20"/>
        </w:rPr>
        <w:t xml:space="preserve">Table </w:t>
      </w:r>
      <w:r w:rsidR="00790357" w:rsidRPr="00976C43">
        <w:rPr>
          <w:rFonts w:asciiTheme="minorHAnsi" w:hAnsiTheme="minorHAnsi" w:cstheme="minorHAnsi"/>
          <w:szCs w:val="20"/>
        </w:rPr>
        <w:t>1</w:t>
      </w:r>
      <w:r w:rsidR="00C82814" w:rsidRPr="00976C43">
        <w:rPr>
          <w:rFonts w:asciiTheme="minorHAnsi" w:hAnsiTheme="minorHAnsi" w:cstheme="minorHAnsi"/>
          <w:szCs w:val="20"/>
        </w:rPr>
        <w:t>3</w:t>
      </w:r>
      <w:r w:rsidRPr="00976C43">
        <w:rPr>
          <w:rFonts w:asciiTheme="minorHAnsi" w:hAnsiTheme="minorHAnsi" w:cstheme="minorHAnsi"/>
          <w:szCs w:val="20"/>
        </w:rPr>
        <w:t>: VET Qualification completers, selected outcomes</w:t>
      </w:r>
      <w:r w:rsidR="006037FD" w:rsidRPr="00976C43">
        <w:rPr>
          <w:rFonts w:asciiTheme="minorHAnsi" w:hAnsiTheme="minorHAnsi" w:cstheme="minorHAnsi"/>
          <w:szCs w:val="20"/>
        </w:rPr>
        <w:t xml:space="preserve"> by remoteness</w:t>
      </w:r>
      <w:r w:rsidRPr="00976C43">
        <w:rPr>
          <w:rFonts w:asciiTheme="minorHAnsi" w:hAnsiTheme="minorHAnsi" w:cstheme="minorHAnsi"/>
          <w:szCs w:val="20"/>
        </w:rPr>
        <w:t>, 2023 </w:t>
      </w:r>
    </w:p>
    <w:tbl>
      <w:tblPr>
        <w:tblW w:w="8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4"/>
        <w:gridCol w:w="2410"/>
        <w:gridCol w:w="2551"/>
      </w:tblGrid>
      <w:tr w:rsidR="00E62C35" w:rsidRPr="008C54CB" w14:paraId="3DBAF1E4" w14:textId="48C5D53B" w:rsidTr="002F6315">
        <w:trPr>
          <w:trHeight w:val="300"/>
        </w:trPr>
        <w:tc>
          <w:tcPr>
            <w:tcW w:w="3544" w:type="dxa"/>
            <w:tcBorders>
              <w:top w:val="nil"/>
              <w:left w:val="nil"/>
              <w:bottom w:val="nil"/>
              <w:right w:val="nil"/>
            </w:tcBorders>
            <w:shd w:val="clear" w:color="auto" w:fill="2F005F"/>
            <w:hideMark/>
          </w:tcPr>
          <w:p w14:paraId="5329C01E" w14:textId="77777777" w:rsidR="008C54CB" w:rsidRPr="00517428" w:rsidRDefault="008C54CB" w:rsidP="003D070F">
            <w:r w:rsidRPr="00517428">
              <w:t> </w:t>
            </w:r>
          </w:p>
        </w:tc>
        <w:tc>
          <w:tcPr>
            <w:tcW w:w="2410" w:type="dxa"/>
            <w:tcBorders>
              <w:top w:val="nil"/>
              <w:left w:val="nil"/>
              <w:bottom w:val="nil"/>
              <w:right w:val="nil"/>
            </w:tcBorders>
            <w:shd w:val="clear" w:color="auto" w:fill="2F005F"/>
            <w:hideMark/>
          </w:tcPr>
          <w:p w14:paraId="03BC0DE0" w14:textId="125EF9DB" w:rsidR="008C54CB" w:rsidRPr="00517428" w:rsidRDefault="006037FD" w:rsidP="005C34D6">
            <w:pPr>
              <w:jc w:val="center"/>
            </w:pPr>
            <w:r w:rsidRPr="00517428">
              <w:t>Employed or in further study after training (%)</w:t>
            </w:r>
          </w:p>
        </w:tc>
        <w:tc>
          <w:tcPr>
            <w:tcW w:w="2551" w:type="dxa"/>
            <w:tcBorders>
              <w:top w:val="nil"/>
              <w:left w:val="nil"/>
              <w:bottom w:val="nil"/>
              <w:right w:val="nil"/>
            </w:tcBorders>
            <w:shd w:val="clear" w:color="auto" w:fill="2F005F"/>
            <w:hideMark/>
          </w:tcPr>
          <w:p w14:paraId="606D0F15" w14:textId="2AADEA35" w:rsidR="008C54CB" w:rsidRPr="00517428" w:rsidRDefault="006037FD" w:rsidP="005C34D6">
            <w:pPr>
              <w:jc w:val="center"/>
            </w:pPr>
            <w:r w:rsidRPr="00517428">
              <w:t>Improved employment status after training (%)</w:t>
            </w:r>
          </w:p>
        </w:tc>
      </w:tr>
      <w:tr w:rsidR="008C54CB" w:rsidRPr="008C54CB" w14:paraId="2C4CA29B" w14:textId="238048D3" w:rsidTr="004B7000">
        <w:trPr>
          <w:trHeight w:val="300"/>
        </w:trPr>
        <w:tc>
          <w:tcPr>
            <w:tcW w:w="3544" w:type="dxa"/>
            <w:tcBorders>
              <w:top w:val="nil"/>
              <w:left w:val="nil"/>
              <w:bottom w:val="nil"/>
              <w:right w:val="nil"/>
            </w:tcBorders>
            <w:shd w:val="clear" w:color="auto" w:fill="auto"/>
            <w:vAlign w:val="center"/>
            <w:hideMark/>
          </w:tcPr>
          <w:p w14:paraId="47DE8F7E" w14:textId="76967D9B" w:rsidR="008C54CB" w:rsidRPr="004B7000" w:rsidRDefault="00630D19" w:rsidP="003D070F">
            <w:r>
              <w:t>Major</w:t>
            </w:r>
            <w:r w:rsidR="006037FD" w:rsidRPr="004B7000">
              <w:t xml:space="preserve"> cities </w:t>
            </w:r>
          </w:p>
        </w:tc>
        <w:tc>
          <w:tcPr>
            <w:tcW w:w="2410" w:type="dxa"/>
            <w:tcBorders>
              <w:top w:val="nil"/>
              <w:left w:val="nil"/>
              <w:bottom w:val="nil"/>
              <w:right w:val="nil"/>
            </w:tcBorders>
            <w:shd w:val="clear" w:color="auto" w:fill="auto"/>
            <w:vAlign w:val="center"/>
          </w:tcPr>
          <w:p w14:paraId="4033C28B" w14:textId="166875BE" w:rsidR="008C54CB" w:rsidRPr="004B7000" w:rsidRDefault="00AE2B21" w:rsidP="005C34D6">
            <w:pPr>
              <w:jc w:val="center"/>
            </w:pPr>
            <w:r w:rsidRPr="004B7000">
              <w:t>86.2</w:t>
            </w:r>
          </w:p>
        </w:tc>
        <w:tc>
          <w:tcPr>
            <w:tcW w:w="2551" w:type="dxa"/>
            <w:tcBorders>
              <w:top w:val="nil"/>
              <w:left w:val="nil"/>
              <w:bottom w:val="nil"/>
              <w:right w:val="nil"/>
            </w:tcBorders>
            <w:shd w:val="clear" w:color="auto" w:fill="auto"/>
            <w:vAlign w:val="center"/>
          </w:tcPr>
          <w:p w14:paraId="1CBB2C4F" w14:textId="45D6BAFE" w:rsidR="008C54CB" w:rsidRPr="004B7000" w:rsidRDefault="002861E1" w:rsidP="005C34D6">
            <w:pPr>
              <w:jc w:val="center"/>
            </w:pPr>
            <w:r>
              <w:t>66.0</w:t>
            </w:r>
          </w:p>
        </w:tc>
      </w:tr>
      <w:tr w:rsidR="00E62C35" w:rsidRPr="008C54CB" w14:paraId="71FBD362" w14:textId="7B03E9A8" w:rsidTr="004B7000">
        <w:trPr>
          <w:trHeight w:val="300"/>
        </w:trPr>
        <w:tc>
          <w:tcPr>
            <w:tcW w:w="3544" w:type="dxa"/>
            <w:tcBorders>
              <w:top w:val="nil"/>
              <w:left w:val="nil"/>
              <w:bottom w:val="nil"/>
              <w:right w:val="nil"/>
            </w:tcBorders>
            <w:shd w:val="clear" w:color="auto" w:fill="E6E6E6"/>
            <w:vAlign w:val="center"/>
            <w:hideMark/>
          </w:tcPr>
          <w:p w14:paraId="1306D008" w14:textId="7C9CE199" w:rsidR="008C54CB" w:rsidRPr="004B7000" w:rsidRDefault="006037FD" w:rsidP="003D070F">
            <w:r w:rsidRPr="004B7000">
              <w:t>Inner regional</w:t>
            </w:r>
          </w:p>
        </w:tc>
        <w:tc>
          <w:tcPr>
            <w:tcW w:w="2410" w:type="dxa"/>
            <w:tcBorders>
              <w:top w:val="nil"/>
              <w:left w:val="nil"/>
              <w:bottom w:val="nil"/>
              <w:right w:val="nil"/>
            </w:tcBorders>
            <w:shd w:val="clear" w:color="auto" w:fill="E6E6E6"/>
            <w:vAlign w:val="center"/>
          </w:tcPr>
          <w:p w14:paraId="07676D78" w14:textId="09F699C6" w:rsidR="008C54CB" w:rsidRPr="004B7000" w:rsidRDefault="00450ADB" w:rsidP="005C34D6">
            <w:pPr>
              <w:jc w:val="center"/>
            </w:pPr>
            <w:r w:rsidRPr="004B7000">
              <w:t>89.7</w:t>
            </w:r>
          </w:p>
        </w:tc>
        <w:tc>
          <w:tcPr>
            <w:tcW w:w="2551" w:type="dxa"/>
            <w:tcBorders>
              <w:top w:val="nil"/>
              <w:left w:val="nil"/>
              <w:bottom w:val="nil"/>
              <w:right w:val="nil"/>
            </w:tcBorders>
            <w:shd w:val="clear" w:color="auto" w:fill="E6E6E6"/>
            <w:vAlign w:val="center"/>
          </w:tcPr>
          <w:p w14:paraId="25DF4EAA" w14:textId="59D078BD" w:rsidR="008C54CB" w:rsidRPr="004B7000" w:rsidRDefault="00BF6FE7" w:rsidP="005C34D6">
            <w:pPr>
              <w:jc w:val="center"/>
            </w:pPr>
            <w:r>
              <w:t>71.9</w:t>
            </w:r>
          </w:p>
        </w:tc>
      </w:tr>
      <w:tr w:rsidR="008C54CB" w:rsidRPr="008C54CB" w14:paraId="0CB29492" w14:textId="4AA2EBF3" w:rsidTr="004B7000">
        <w:trPr>
          <w:trHeight w:val="300"/>
        </w:trPr>
        <w:tc>
          <w:tcPr>
            <w:tcW w:w="3544" w:type="dxa"/>
            <w:tcBorders>
              <w:top w:val="nil"/>
              <w:left w:val="nil"/>
              <w:bottom w:val="nil"/>
              <w:right w:val="nil"/>
            </w:tcBorders>
            <w:shd w:val="clear" w:color="auto" w:fill="auto"/>
            <w:vAlign w:val="center"/>
            <w:hideMark/>
          </w:tcPr>
          <w:p w14:paraId="64E945CC" w14:textId="6CDB93ED" w:rsidR="008C54CB" w:rsidRPr="004B7000" w:rsidRDefault="006037FD" w:rsidP="003D070F">
            <w:r w:rsidRPr="004B7000">
              <w:t>Outer regional </w:t>
            </w:r>
          </w:p>
        </w:tc>
        <w:tc>
          <w:tcPr>
            <w:tcW w:w="2410" w:type="dxa"/>
            <w:tcBorders>
              <w:top w:val="nil"/>
              <w:left w:val="nil"/>
              <w:bottom w:val="nil"/>
              <w:right w:val="nil"/>
            </w:tcBorders>
            <w:shd w:val="clear" w:color="auto" w:fill="auto"/>
            <w:vAlign w:val="center"/>
          </w:tcPr>
          <w:p w14:paraId="642782F1" w14:textId="6808A90D" w:rsidR="008C54CB" w:rsidRPr="004B7000" w:rsidRDefault="00371E85" w:rsidP="005C34D6">
            <w:pPr>
              <w:jc w:val="center"/>
            </w:pPr>
            <w:r w:rsidRPr="004B7000">
              <w:t>88.5</w:t>
            </w:r>
          </w:p>
        </w:tc>
        <w:tc>
          <w:tcPr>
            <w:tcW w:w="2551" w:type="dxa"/>
            <w:tcBorders>
              <w:top w:val="nil"/>
              <w:left w:val="nil"/>
              <w:bottom w:val="nil"/>
              <w:right w:val="nil"/>
            </w:tcBorders>
            <w:shd w:val="clear" w:color="auto" w:fill="auto"/>
            <w:vAlign w:val="center"/>
          </w:tcPr>
          <w:p w14:paraId="5AD73D9A" w14:textId="2DB4DC07" w:rsidR="008C54CB" w:rsidRPr="004B7000" w:rsidRDefault="00BF6FE7" w:rsidP="005C34D6">
            <w:pPr>
              <w:jc w:val="center"/>
            </w:pPr>
            <w:r>
              <w:t>70.3</w:t>
            </w:r>
          </w:p>
        </w:tc>
      </w:tr>
      <w:tr w:rsidR="00E62C35" w:rsidRPr="008C54CB" w14:paraId="36D03113" w14:textId="7D321A3D" w:rsidTr="004B7000">
        <w:trPr>
          <w:trHeight w:val="300"/>
        </w:trPr>
        <w:tc>
          <w:tcPr>
            <w:tcW w:w="3544" w:type="dxa"/>
            <w:tcBorders>
              <w:top w:val="nil"/>
              <w:left w:val="nil"/>
              <w:bottom w:val="nil"/>
              <w:right w:val="nil"/>
            </w:tcBorders>
            <w:shd w:val="clear" w:color="auto" w:fill="E6E6E6"/>
            <w:vAlign w:val="center"/>
            <w:hideMark/>
          </w:tcPr>
          <w:p w14:paraId="39FA639B" w14:textId="5C0AA0CE" w:rsidR="008C54CB" w:rsidRPr="004B7000" w:rsidRDefault="006037FD" w:rsidP="003D070F">
            <w:r w:rsidRPr="004B7000">
              <w:t>Remote/very remote </w:t>
            </w:r>
          </w:p>
        </w:tc>
        <w:tc>
          <w:tcPr>
            <w:tcW w:w="2410" w:type="dxa"/>
            <w:tcBorders>
              <w:top w:val="nil"/>
              <w:left w:val="nil"/>
              <w:bottom w:val="nil"/>
              <w:right w:val="nil"/>
            </w:tcBorders>
            <w:shd w:val="clear" w:color="auto" w:fill="E6E6E6"/>
            <w:vAlign w:val="center"/>
          </w:tcPr>
          <w:p w14:paraId="55CBFE7C" w14:textId="53ECB37A" w:rsidR="008C54CB" w:rsidRPr="004B7000" w:rsidRDefault="006A29AD" w:rsidP="005C34D6">
            <w:pPr>
              <w:jc w:val="center"/>
            </w:pPr>
            <w:r w:rsidRPr="004B7000">
              <w:t>87.7</w:t>
            </w:r>
          </w:p>
        </w:tc>
        <w:tc>
          <w:tcPr>
            <w:tcW w:w="2551" w:type="dxa"/>
            <w:tcBorders>
              <w:top w:val="nil"/>
              <w:left w:val="nil"/>
              <w:bottom w:val="nil"/>
              <w:right w:val="nil"/>
            </w:tcBorders>
            <w:shd w:val="clear" w:color="auto" w:fill="E6E6E6"/>
            <w:vAlign w:val="center"/>
          </w:tcPr>
          <w:p w14:paraId="0DEEB856" w14:textId="0E69CB91" w:rsidR="008C54CB" w:rsidRPr="004B7000" w:rsidRDefault="00F247BE" w:rsidP="005C34D6">
            <w:pPr>
              <w:jc w:val="center"/>
            </w:pPr>
            <w:r>
              <w:t>69.5</w:t>
            </w:r>
          </w:p>
        </w:tc>
      </w:tr>
      <w:tr w:rsidR="00550AC3" w:rsidRPr="008C54CB" w14:paraId="084693D3" w14:textId="6AE8BEBC" w:rsidTr="004B7000">
        <w:trPr>
          <w:trHeight w:val="300"/>
        </w:trPr>
        <w:tc>
          <w:tcPr>
            <w:tcW w:w="3544" w:type="dxa"/>
            <w:tcBorders>
              <w:top w:val="nil"/>
              <w:left w:val="nil"/>
              <w:bottom w:val="single" w:sz="6" w:space="0" w:color="4B0885"/>
              <w:right w:val="nil"/>
            </w:tcBorders>
            <w:shd w:val="clear" w:color="auto" w:fill="auto"/>
            <w:vAlign w:val="center"/>
            <w:hideMark/>
          </w:tcPr>
          <w:p w14:paraId="1B0645EF" w14:textId="4A904454" w:rsidR="008C54CB" w:rsidRPr="004B7000" w:rsidRDefault="006037FD" w:rsidP="003D070F">
            <w:r w:rsidRPr="004B7000">
              <w:t>Total</w:t>
            </w:r>
          </w:p>
        </w:tc>
        <w:tc>
          <w:tcPr>
            <w:tcW w:w="2410" w:type="dxa"/>
            <w:tcBorders>
              <w:top w:val="nil"/>
              <w:left w:val="nil"/>
              <w:bottom w:val="single" w:sz="6" w:space="0" w:color="4B0885"/>
              <w:right w:val="nil"/>
            </w:tcBorders>
            <w:shd w:val="clear" w:color="auto" w:fill="auto"/>
            <w:vAlign w:val="center"/>
          </w:tcPr>
          <w:p w14:paraId="5AB5A33C" w14:textId="26521CCB" w:rsidR="008C54CB" w:rsidRPr="004B7000" w:rsidRDefault="006A29AD" w:rsidP="005C34D6">
            <w:pPr>
              <w:jc w:val="center"/>
            </w:pPr>
            <w:r w:rsidRPr="004B7000">
              <w:t>87.1</w:t>
            </w:r>
          </w:p>
        </w:tc>
        <w:tc>
          <w:tcPr>
            <w:tcW w:w="2551" w:type="dxa"/>
            <w:tcBorders>
              <w:top w:val="nil"/>
              <w:left w:val="nil"/>
              <w:bottom w:val="single" w:sz="6" w:space="0" w:color="4B0885"/>
              <w:right w:val="nil"/>
            </w:tcBorders>
            <w:shd w:val="clear" w:color="auto" w:fill="auto"/>
            <w:vAlign w:val="center"/>
          </w:tcPr>
          <w:p w14:paraId="05442498" w14:textId="0BB3370C" w:rsidR="008C54CB" w:rsidRPr="004B7000" w:rsidRDefault="00F247BE" w:rsidP="005C34D6">
            <w:pPr>
              <w:jc w:val="center"/>
            </w:pPr>
            <w:r>
              <w:t>67.7</w:t>
            </w:r>
          </w:p>
        </w:tc>
      </w:tr>
    </w:tbl>
    <w:p w14:paraId="11AEFED8" w14:textId="64D0966F" w:rsidR="00F50500" w:rsidRPr="00976C43" w:rsidRDefault="00CB6636" w:rsidP="00976C43">
      <w:pPr>
        <w:pStyle w:val="Source"/>
        <w:rPr>
          <w:rFonts w:asciiTheme="minorHAnsi" w:hAnsiTheme="minorHAnsi" w:cstheme="minorHAnsi"/>
        </w:rPr>
      </w:pPr>
      <w:r w:rsidRPr="00976C43">
        <w:rPr>
          <w:rFonts w:asciiTheme="minorHAnsi" w:hAnsiTheme="minorHAnsi" w:cstheme="minorHAnsi"/>
        </w:rPr>
        <w:t xml:space="preserve">Source: NCVER, </w:t>
      </w:r>
      <w:r w:rsidRPr="00976C43">
        <w:rPr>
          <w:rFonts w:asciiTheme="minorHAnsi" w:hAnsiTheme="minorHAnsi" w:cstheme="minorHAnsi"/>
          <w:i/>
          <w:iCs/>
        </w:rPr>
        <w:t>VET Student Outcomes</w:t>
      </w:r>
      <w:r w:rsidRPr="00976C43">
        <w:rPr>
          <w:rFonts w:asciiTheme="minorHAnsi" w:hAnsiTheme="minorHAnsi" w:cstheme="minorHAnsi"/>
        </w:rPr>
        <w:t xml:space="preserve">, </w:t>
      </w:r>
      <w:r w:rsidR="00677AC7" w:rsidRPr="00976C43">
        <w:rPr>
          <w:rFonts w:asciiTheme="minorHAnsi" w:hAnsiTheme="minorHAnsi" w:cstheme="minorHAnsi"/>
        </w:rPr>
        <w:t>qualification</w:t>
      </w:r>
      <w:r w:rsidR="003509BD" w:rsidRPr="00976C43">
        <w:rPr>
          <w:rFonts w:asciiTheme="minorHAnsi" w:hAnsiTheme="minorHAnsi" w:cstheme="minorHAnsi"/>
        </w:rPr>
        <w:t xml:space="preserve"> completers, </w:t>
      </w:r>
      <w:r w:rsidRPr="00976C43">
        <w:rPr>
          <w:rFonts w:asciiTheme="minorHAnsi" w:hAnsiTheme="minorHAnsi" w:cstheme="minorHAnsi"/>
        </w:rPr>
        <w:t>2023, VOCSTATS</w:t>
      </w:r>
      <w:r w:rsidR="00F50500" w:rsidRPr="00976C43">
        <w:rPr>
          <w:rFonts w:asciiTheme="minorHAnsi" w:hAnsiTheme="minorHAnsi" w:cstheme="minorHAnsi"/>
        </w:rPr>
        <w:t xml:space="preserve"> </w:t>
      </w:r>
    </w:p>
    <w:p w14:paraId="16A1A832" w14:textId="2CFC1A48" w:rsidR="008C54CB" w:rsidRPr="00B50C29" w:rsidRDefault="00CB6636" w:rsidP="00F62B6D">
      <w:pPr>
        <w:rPr>
          <w:rFonts w:asciiTheme="minorHAnsi" w:hAnsiTheme="minorHAnsi" w:cstheme="minorHAnsi"/>
          <w:i/>
          <w:iCs/>
          <w:sz w:val="18"/>
          <w:szCs w:val="18"/>
        </w:rPr>
      </w:pPr>
      <w:r w:rsidRPr="00B50C29">
        <w:rPr>
          <w:rFonts w:asciiTheme="minorHAnsi" w:hAnsiTheme="minorHAnsi" w:cstheme="minorHAnsi"/>
          <w:sz w:val="18"/>
          <w:szCs w:val="18"/>
        </w:rPr>
        <w:t>Note: excludes those who did not respond to the relevant questions</w:t>
      </w:r>
    </w:p>
    <w:p w14:paraId="198DDA50" w14:textId="39BC0536" w:rsidR="00567732" w:rsidRPr="00517428" w:rsidRDefault="00567732" w:rsidP="00517428">
      <w:pPr>
        <w:pStyle w:val="Heading3"/>
        <w:rPr>
          <w:b w:val="0"/>
        </w:rPr>
      </w:pPr>
      <w:bookmarkStart w:id="83" w:name="_Toc170473985"/>
      <w:r w:rsidRPr="00517428">
        <w:rPr>
          <w:rFonts w:asciiTheme="majorHAnsi" w:hAnsiTheme="majorHAnsi" w:cstheme="majorHAnsi"/>
        </w:rPr>
        <w:t>VET qualification completion rates decrease with remote</w:t>
      </w:r>
      <w:r w:rsidR="00EF053B">
        <w:rPr>
          <w:rFonts w:asciiTheme="majorHAnsi" w:hAnsiTheme="majorHAnsi" w:cstheme="majorHAnsi"/>
        </w:rPr>
        <w:t>ness</w:t>
      </w:r>
      <w:r w:rsidRPr="00517428">
        <w:rPr>
          <w:rFonts w:asciiTheme="majorHAnsi" w:hAnsiTheme="majorHAnsi" w:cstheme="majorHAnsi"/>
        </w:rPr>
        <w:t xml:space="preserve">, but have been increasing over </w:t>
      </w:r>
      <w:bookmarkEnd w:id="83"/>
      <w:r w:rsidRPr="00517428">
        <w:rPr>
          <w:rFonts w:asciiTheme="majorHAnsi" w:hAnsiTheme="majorHAnsi" w:cstheme="majorHAnsi"/>
        </w:rPr>
        <w:t>time</w:t>
      </w:r>
    </w:p>
    <w:p w14:paraId="71FCF2A5" w14:textId="0CE9F080" w:rsidR="00567732" w:rsidRPr="00567732" w:rsidRDefault="00567732" w:rsidP="00976C43">
      <w:r w:rsidRPr="00567732">
        <w:t xml:space="preserve">Students from </w:t>
      </w:r>
      <w:r w:rsidR="00630D19">
        <w:t>major</w:t>
      </w:r>
      <w:r w:rsidRPr="00567732">
        <w:t xml:space="preserve"> cities are more likely to have completed their qualification </w:t>
      </w:r>
      <w:r w:rsidR="001D5157">
        <w:t>within</w:t>
      </w:r>
      <w:r w:rsidRPr="00567732">
        <w:t xml:space="preserve"> </w:t>
      </w:r>
      <w:r w:rsidR="001D5157">
        <w:t>four</w:t>
      </w:r>
      <w:r w:rsidRPr="00567732">
        <w:t xml:space="preserve"> years </w:t>
      </w:r>
      <w:r w:rsidR="009B544A">
        <w:t xml:space="preserve">of </w:t>
      </w:r>
      <w:r w:rsidRPr="00567732">
        <w:t xml:space="preserve">commencement than </w:t>
      </w:r>
      <w:r w:rsidR="009B544A">
        <w:t xml:space="preserve">are those </w:t>
      </w:r>
      <w:r w:rsidRPr="00567732">
        <w:t>fr</w:t>
      </w:r>
      <w:r w:rsidR="00B63559">
        <w:t>om</w:t>
      </w:r>
      <w:r w:rsidRPr="00567732">
        <w:t xml:space="preserve"> other remote</w:t>
      </w:r>
      <w:r w:rsidR="002E588E">
        <w:t>ness</w:t>
      </w:r>
      <w:r w:rsidRPr="00567732">
        <w:t xml:space="preserve"> areas</w:t>
      </w:r>
      <w:r w:rsidR="00F37584">
        <w:t>, and r</w:t>
      </w:r>
      <w:r w:rsidRPr="00567732">
        <w:t>ates decline with increasing remoteness</w:t>
      </w:r>
      <w:r w:rsidR="00E91CAA">
        <w:t xml:space="preserve"> (Figure </w:t>
      </w:r>
      <w:r w:rsidR="008815E9">
        <w:t>44</w:t>
      </w:r>
      <w:r w:rsidR="00E91CAA">
        <w:t>).</w:t>
      </w:r>
      <w:r w:rsidRPr="00567732">
        <w:t xml:space="preserve"> </w:t>
      </w:r>
      <w:r w:rsidR="00E91CAA">
        <w:t>F</w:t>
      </w:r>
      <w:r w:rsidRPr="00567732">
        <w:t>or example</w:t>
      </w:r>
      <w:r w:rsidR="00E91CAA">
        <w:t>,</w:t>
      </w:r>
      <w:r w:rsidR="00366CCB">
        <w:t xml:space="preserve"> </w:t>
      </w:r>
      <w:r w:rsidRPr="00567732">
        <w:t xml:space="preserve">47.8% of those from </w:t>
      </w:r>
      <w:r w:rsidR="00630D19">
        <w:t>major</w:t>
      </w:r>
      <w:r w:rsidRPr="00567732">
        <w:t xml:space="preserve"> cities who </w:t>
      </w:r>
      <w:r w:rsidR="00366CCB">
        <w:t xml:space="preserve">commenced </w:t>
      </w:r>
      <w:r w:rsidRPr="00567732">
        <w:t>in 2018 had completed</w:t>
      </w:r>
      <w:r w:rsidR="009F709B">
        <w:t xml:space="preserve"> </w:t>
      </w:r>
      <w:r w:rsidR="009F709B" w:rsidRPr="00567732">
        <w:t>their qualification</w:t>
      </w:r>
      <w:r w:rsidR="009F709B">
        <w:t xml:space="preserve"> by 2022</w:t>
      </w:r>
      <w:r w:rsidRPr="00567732">
        <w:t xml:space="preserve">, compared to </w:t>
      </w:r>
      <w:r w:rsidR="002D7EBC">
        <w:t>43.4</w:t>
      </w:r>
      <w:r w:rsidRPr="00567732">
        <w:t xml:space="preserve">% </w:t>
      </w:r>
      <w:r w:rsidR="00C349CB">
        <w:t xml:space="preserve">for those </w:t>
      </w:r>
      <w:r w:rsidRPr="00567732">
        <w:t>from</w:t>
      </w:r>
      <w:r w:rsidR="005467AF">
        <w:t xml:space="preserve"> inner</w:t>
      </w:r>
      <w:r w:rsidRPr="00567732">
        <w:t xml:space="preserve"> regional areas, </w:t>
      </w:r>
      <w:r w:rsidR="0017576C">
        <w:t xml:space="preserve">43.6% </w:t>
      </w:r>
      <w:r w:rsidR="00B229AF">
        <w:t xml:space="preserve">from outer regional areas, </w:t>
      </w:r>
      <w:r w:rsidRPr="00567732">
        <w:t>40.7% from remote areas and 31.1</w:t>
      </w:r>
      <w:r>
        <w:t>%</w:t>
      </w:r>
      <w:r w:rsidRPr="00567732">
        <w:t xml:space="preserve"> from very remote areas. </w:t>
      </w:r>
    </w:p>
    <w:p w14:paraId="0FF59E01" w14:textId="580F36DD" w:rsidR="00567732" w:rsidRDefault="00290BEE" w:rsidP="00976C43">
      <w:r>
        <w:t>C</w:t>
      </w:r>
      <w:r w:rsidR="00567732" w:rsidRPr="00567732">
        <w:t>ompletion rates</w:t>
      </w:r>
      <w:r>
        <w:t xml:space="preserve"> across all remoten</w:t>
      </w:r>
      <w:r w:rsidR="0021480B">
        <w:t>ess areas</w:t>
      </w:r>
      <w:r w:rsidR="00567732" w:rsidRPr="00567732">
        <w:t xml:space="preserve"> have been increasing over time</w:t>
      </w:r>
      <w:r w:rsidR="0021480B">
        <w:t xml:space="preserve">, with </w:t>
      </w:r>
      <w:r w:rsidR="002A29EC">
        <w:t xml:space="preserve">the </w:t>
      </w:r>
      <w:r w:rsidR="0021480B">
        <w:t>latest</w:t>
      </w:r>
      <w:r w:rsidR="00567732" w:rsidRPr="00567732">
        <w:t xml:space="preserve"> projected completion rates continu</w:t>
      </w:r>
      <w:r w:rsidR="0021480B">
        <w:t>ing</w:t>
      </w:r>
      <w:r w:rsidR="00567732" w:rsidRPr="00567732">
        <w:t xml:space="preserve"> this trend. The exception to this was that VET students in very remote locations saw a drop of 2.8 percentage points in qualification completion rates in the 2021 completion year (2017 commencement year), compared to the previous year. 2021 was the peak of the COVID</w:t>
      </w:r>
      <w:r w:rsidR="0AE42013">
        <w:t>-19</w:t>
      </w:r>
      <w:r w:rsidR="00567732" w:rsidRPr="00567732">
        <w:t xml:space="preserve"> period lockdowns and restrictions, and this appears to have impacted completion rates for VET students from very remote locations, compared to those from the other remoteness areas. </w:t>
      </w:r>
    </w:p>
    <w:p w14:paraId="72801D3B" w14:textId="411EB33C" w:rsidR="00AD29A7" w:rsidRPr="00517428" w:rsidRDefault="5F3D3436" w:rsidP="008815E9">
      <w:pPr>
        <w:pStyle w:val="Caption"/>
      </w:pPr>
      <w:r w:rsidRPr="008815E9">
        <w:rPr>
          <w:rFonts w:asciiTheme="minorHAnsi" w:hAnsiTheme="minorHAnsi" w:cstheme="minorHAnsi"/>
          <w:szCs w:val="20"/>
        </w:rPr>
        <w:t xml:space="preserve">Figure </w:t>
      </w:r>
      <w:r w:rsidR="008815E9" w:rsidRPr="008815E9">
        <w:rPr>
          <w:rFonts w:asciiTheme="minorHAnsi" w:hAnsiTheme="minorHAnsi" w:cstheme="minorHAnsi"/>
          <w:szCs w:val="20"/>
        </w:rPr>
        <w:t>44</w:t>
      </w:r>
      <w:r w:rsidRPr="008815E9">
        <w:rPr>
          <w:rFonts w:asciiTheme="minorHAnsi" w:hAnsiTheme="minorHAnsi" w:cstheme="minorHAnsi"/>
          <w:szCs w:val="20"/>
        </w:rPr>
        <w:t xml:space="preserve">: VET qualification </w:t>
      </w:r>
      <w:r w:rsidR="00F3006E" w:rsidRPr="008815E9">
        <w:rPr>
          <w:rFonts w:asciiTheme="minorHAnsi" w:hAnsiTheme="minorHAnsi" w:cstheme="minorHAnsi"/>
          <w:szCs w:val="20"/>
        </w:rPr>
        <w:t>four</w:t>
      </w:r>
      <w:r w:rsidR="0022713D" w:rsidRPr="008815E9">
        <w:rPr>
          <w:rFonts w:asciiTheme="minorHAnsi" w:hAnsiTheme="minorHAnsi" w:cstheme="minorHAnsi"/>
          <w:szCs w:val="20"/>
        </w:rPr>
        <w:t>-</w:t>
      </w:r>
      <w:r w:rsidR="00F3006E" w:rsidRPr="008815E9">
        <w:rPr>
          <w:rFonts w:asciiTheme="minorHAnsi" w:hAnsiTheme="minorHAnsi" w:cstheme="minorHAnsi"/>
          <w:szCs w:val="20"/>
        </w:rPr>
        <w:t xml:space="preserve">year </w:t>
      </w:r>
      <w:r w:rsidRPr="008815E9">
        <w:rPr>
          <w:rFonts w:asciiTheme="minorHAnsi" w:hAnsiTheme="minorHAnsi" w:cstheme="minorHAnsi"/>
          <w:szCs w:val="20"/>
        </w:rPr>
        <w:t xml:space="preserve">completion rates by remoteness, </w:t>
      </w:r>
      <w:r w:rsidR="00E95932" w:rsidRPr="008815E9">
        <w:rPr>
          <w:rFonts w:asciiTheme="minorHAnsi" w:hAnsiTheme="minorHAnsi" w:cstheme="minorHAnsi"/>
          <w:szCs w:val="20"/>
        </w:rPr>
        <w:t xml:space="preserve">commenced </w:t>
      </w:r>
      <w:r w:rsidRPr="008815E9">
        <w:rPr>
          <w:rFonts w:asciiTheme="minorHAnsi" w:hAnsiTheme="minorHAnsi" w:cstheme="minorHAnsi"/>
          <w:szCs w:val="20"/>
        </w:rPr>
        <w:t>2016 to 2020</w:t>
      </w:r>
      <w:r w:rsidR="0099622B">
        <w:rPr>
          <w:noProof/>
        </w:rPr>
        <w:drawing>
          <wp:inline distT="0" distB="0" distL="0" distR="0" wp14:anchorId="06D27DA3" wp14:editId="7585FD70">
            <wp:extent cx="5731200" cy="3790950"/>
            <wp:effectExtent l="0" t="0" r="3175" b="0"/>
            <wp:docPr id="873329273" name="Chart 1" descr="This graph shows data on VET qualification completion rates by remoteness for students commencing their studies between 2016 and 2020. Completion rates were highest for students in major cities decreasing with increasing remoteness.">
              <a:extLst xmlns:a="http://schemas.openxmlformats.org/drawingml/2006/main">
                <a:ext uri="{FF2B5EF4-FFF2-40B4-BE49-F238E27FC236}">
                  <a16:creationId xmlns:a16="http://schemas.microsoft.com/office/drawing/2014/main" id="{66501801-2466-4EDA-BAFD-ED69EC975D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4781D82" w14:textId="4860BBDA" w:rsidR="00AE5813" w:rsidRPr="008815E9" w:rsidRDefault="5F3D3436" w:rsidP="008815E9">
      <w:pPr>
        <w:pStyle w:val="Source"/>
        <w:rPr>
          <w:rFonts w:asciiTheme="minorHAnsi" w:hAnsiTheme="minorHAnsi" w:cstheme="minorHAnsi"/>
          <w:iCs/>
        </w:rPr>
      </w:pPr>
      <w:r w:rsidRPr="008815E9">
        <w:rPr>
          <w:rFonts w:asciiTheme="minorHAnsi" w:eastAsia="Arial" w:hAnsiTheme="minorHAnsi" w:cstheme="minorHAnsi"/>
          <w:iCs/>
        </w:rPr>
        <w:t xml:space="preserve">Source: </w:t>
      </w:r>
      <w:hyperlink r:id="rId126">
        <w:r w:rsidRPr="008815E9">
          <w:rPr>
            <w:rStyle w:val="Hyperlink"/>
            <w:rFonts w:asciiTheme="minorHAnsi" w:eastAsia="Arial" w:hAnsiTheme="minorHAnsi" w:cstheme="minorHAnsi"/>
            <w:iCs/>
            <w:color w:val="0000FF"/>
          </w:rPr>
          <w:t>VET qualification completion rates 2022 (ncver.edu.au)</w:t>
        </w:r>
      </w:hyperlink>
    </w:p>
    <w:p w14:paraId="778DA25C" w14:textId="4FC7DDFF" w:rsidR="00AE5813" w:rsidRPr="008815E9" w:rsidRDefault="5F3D3436" w:rsidP="0022713D">
      <w:pPr>
        <w:pStyle w:val="NoSpacing"/>
        <w:rPr>
          <w:rFonts w:asciiTheme="minorHAnsi" w:hAnsiTheme="minorHAnsi" w:cstheme="minorHAnsi"/>
          <w:iCs/>
          <w:sz w:val="18"/>
          <w:szCs w:val="18"/>
        </w:rPr>
      </w:pPr>
      <w:r w:rsidRPr="008815E9">
        <w:rPr>
          <w:rFonts w:asciiTheme="minorHAnsi" w:eastAsia="Arial" w:hAnsiTheme="minorHAnsi" w:cstheme="minorHAnsi"/>
          <w:iCs/>
          <w:sz w:val="18"/>
          <w:szCs w:val="18"/>
        </w:rPr>
        <w:t>*2016, 2017 and 2018 commencement years are actual observed</w:t>
      </w:r>
      <w:r w:rsidR="00B80142" w:rsidRPr="008815E9">
        <w:rPr>
          <w:rFonts w:asciiTheme="minorHAnsi" w:eastAsia="Arial" w:hAnsiTheme="minorHAnsi" w:cstheme="minorHAnsi"/>
          <w:iCs/>
          <w:sz w:val="18"/>
          <w:szCs w:val="18"/>
        </w:rPr>
        <w:t>,</w:t>
      </w:r>
      <w:r w:rsidRPr="008815E9">
        <w:rPr>
          <w:rFonts w:asciiTheme="minorHAnsi" w:eastAsia="Arial" w:hAnsiTheme="minorHAnsi" w:cstheme="minorHAnsi"/>
          <w:iCs/>
          <w:sz w:val="18"/>
          <w:szCs w:val="18"/>
        </w:rPr>
        <w:t xml:space="preserve"> 2019 and 2020 are projected. Completion rates are considered 'observed actual' four years following the year of commencement. </w:t>
      </w:r>
      <w:r w:rsidR="00D035BF" w:rsidRPr="008815E9">
        <w:rPr>
          <w:rFonts w:asciiTheme="minorHAnsi" w:eastAsia="Arial" w:hAnsiTheme="minorHAnsi" w:cstheme="minorHAnsi"/>
          <w:iCs/>
          <w:sz w:val="18"/>
          <w:szCs w:val="18"/>
        </w:rPr>
        <w:t xml:space="preserve">For details on the methodology see </w:t>
      </w:r>
      <w:hyperlink r:id="rId127">
        <w:r w:rsidRPr="008815E9">
          <w:rPr>
            <w:rStyle w:val="Hyperlink"/>
            <w:rFonts w:asciiTheme="minorHAnsi" w:eastAsia="Arial" w:hAnsiTheme="minorHAnsi" w:cstheme="minorHAnsi"/>
            <w:iCs/>
            <w:color w:val="0000FF"/>
            <w:sz w:val="18"/>
            <w:szCs w:val="18"/>
          </w:rPr>
          <w:t>VET qualification completion rates 2022 (ncver.edu.au)</w:t>
        </w:r>
      </w:hyperlink>
      <w:r w:rsidRPr="008815E9">
        <w:rPr>
          <w:rFonts w:asciiTheme="minorHAnsi" w:eastAsia="Arial" w:hAnsiTheme="minorHAnsi" w:cstheme="minorHAnsi"/>
          <w:iCs/>
          <w:sz w:val="18"/>
          <w:szCs w:val="18"/>
        </w:rPr>
        <w:t xml:space="preserve"> for more information. </w:t>
      </w:r>
    </w:p>
    <w:p w14:paraId="40CA3714" w14:textId="384F424E" w:rsidR="4B1CE6DF" w:rsidRPr="008815E9" w:rsidRDefault="5F3D3436" w:rsidP="0022713D">
      <w:pPr>
        <w:pStyle w:val="NoSpacing"/>
        <w:rPr>
          <w:rFonts w:asciiTheme="minorHAnsi" w:hAnsiTheme="minorHAnsi" w:cstheme="minorHAnsi"/>
          <w:iCs/>
          <w:sz w:val="18"/>
          <w:szCs w:val="18"/>
        </w:rPr>
      </w:pPr>
      <w:r w:rsidRPr="008815E9">
        <w:rPr>
          <w:rFonts w:asciiTheme="minorHAnsi" w:eastAsia="Arial" w:hAnsiTheme="minorHAnsi" w:cstheme="minorHAnsi"/>
          <w:iCs/>
          <w:sz w:val="18"/>
          <w:szCs w:val="18"/>
        </w:rPr>
        <w:t xml:space="preserve">*A certificate to diploma typically takes between 6 months to 2 years of full-time study to complete or 3 to 4 years if also undertaking an apprenticeship while completing a certificate III. </w:t>
      </w:r>
    </w:p>
    <w:p w14:paraId="2782BC5C" w14:textId="77777777" w:rsidR="008815E9" w:rsidRDefault="008815E9" w:rsidP="008815E9"/>
    <w:p w14:paraId="3DF7A514" w14:textId="3BC8F599" w:rsidR="008815E9" w:rsidRDefault="008815E9" w:rsidP="008815E9">
      <w:r>
        <w:t>The 2019 Napthine Review cited academic research which found c</w:t>
      </w:r>
      <w:r w:rsidRPr="00CE4E9A">
        <w:t xml:space="preserve">ombined financial and non-monetary strategies </w:t>
      </w:r>
      <w:r>
        <w:t>we</w:t>
      </w:r>
      <w:r w:rsidRPr="00CE4E9A">
        <w:t>re the most effective way to address</w:t>
      </w:r>
      <w:r>
        <w:t xml:space="preserve"> barriers faced by tertiary students from equity groups. It cited examples of non-monetary strategies such as </w:t>
      </w:r>
      <w:r w:rsidRPr="006F5A5B">
        <w:t xml:space="preserve">partnerships with schools, elevating aspirations of students from a young age </w:t>
      </w:r>
      <w:r>
        <w:t xml:space="preserve">(a current example of this is the </w:t>
      </w:r>
      <w:hyperlink w:anchor="_Taree_Universities_–" w:history="1">
        <w:r w:rsidRPr="0CF5B975">
          <w:rPr>
            <w:rStyle w:val="Hyperlink"/>
            <w:rFonts w:asciiTheme="minorHAnsi" w:hAnsiTheme="minorHAnsi"/>
          </w:rPr>
          <w:t>Taree University Campus EduVenture Program</w:t>
        </w:r>
      </w:hyperlink>
      <w:r w:rsidRPr="0CF5B975">
        <w:rPr>
          <w:rFonts w:asciiTheme="minorHAnsi" w:hAnsiTheme="minorHAnsi"/>
        </w:rPr>
        <w:t xml:space="preserve">), </w:t>
      </w:r>
      <w:r w:rsidRPr="006F5A5B">
        <w:t xml:space="preserve">introducing preferential admission programs. Bridging programs </w:t>
      </w:r>
      <w:r>
        <w:t xml:space="preserve">were also cited </w:t>
      </w:r>
      <w:r w:rsidRPr="006F5A5B">
        <w:t>a</w:t>
      </w:r>
      <w:r>
        <w:t>s</w:t>
      </w:r>
      <w:r w:rsidRPr="006F5A5B">
        <w:t xml:space="preserve"> helpful for students from </w:t>
      </w:r>
      <w:r>
        <w:t>regional</w:t>
      </w:r>
      <w:r w:rsidRPr="006F5A5B">
        <w:t xml:space="preserve"> areas</w:t>
      </w:r>
      <w:r>
        <w:t>,</w:t>
      </w:r>
      <w:r w:rsidRPr="006F5A5B">
        <w:t xml:space="preserve"> as most of the challenges they experience in tertiary education result from an inadequate secondary education.</w:t>
      </w:r>
    </w:p>
    <w:p w14:paraId="6084BAAB" w14:textId="6BA394E5" w:rsidR="008815E9" w:rsidRDefault="008815E9" w:rsidP="008815E9">
      <w:r>
        <w:t xml:space="preserve">In 2023, the House of Representatives Inquiry into the Perceptions and Status of Vocational Education and Training heard evidence from the Brotherhood of Saint Lawrence that in disadvantaged </w:t>
      </w:r>
      <w:r w:rsidRPr="00CF4253">
        <w:t>region</w:t>
      </w:r>
      <w:r>
        <w:t>al areas</w:t>
      </w:r>
      <w:r w:rsidRPr="00CF4253">
        <w:t xml:space="preserve"> across </w:t>
      </w:r>
      <w:r>
        <w:t>the country, t</w:t>
      </w:r>
      <w:r w:rsidRPr="00246620">
        <w:t xml:space="preserve">ransport, insecure housing and rapidly transforming labour markets </w:t>
      </w:r>
      <w:r>
        <w:t>we</w:t>
      </w:r>
      <w:r w:rsidRPr="00246620">
        <w:t>re consistently and repeatedly cited as critical structural factors deterring young people from considering VET as part of their pathway to work</w:t>
      </w:r>
      <w:r>
        <w:t>. The Brotherhood cited success in increasing young regional learners’ confidence in, and connection to, the VET system by providing line-of-sight to work in industry through co-design of place-based initiatives with training providers and employers</w:t>
      </w:r>
      <w:r w:rsidRPr="006F19CD">
        <w:t>.</w:t>
      </w:r>
      <w:r>
        <w:rPr>
          <w:rStyle w:val="FootnoteReference"/>
          <w:rFonts w:cs="Arial"/>
          <w:kern w:val="2"/>
          <w14:ligatures w14:val="standardContextual"/>
        </w:rPr>
        <w:footnoteReference w:id="85"/>
      </w:r>
    </w:p>
    <w:p w14:paraId="380230E2" w14:textId="18593206" w:rsidR="00AE5813" w:rsidRPr="00D41385" w:rsidRDefault="00BA3D9A" w:rsidP="005C34D6">
      <w:pPr>
        <w:pStyle w:val="Heading3"/>
      </w:pPr>
      <w:r w:rsidRPr="00D41385">
        <w:t>Summary of VET</w:t>
      </w:r>
      <w:r w:rsidR="5F3D3436" w:rsidRPr="00D41385">
        <w:t xml:space="preserve"> </w:t>
      </w:r>
    </w:p>
    <w:p w14:paraId="4AEC25E4" w14:textId="4B28EA1D" w:rsidR="00AE5813" w:rsidRPr="00473964" w:rsidRDefault="0021059F" w:rsidP="008815E9">
      <w:r>
        <w:t>As noted in t</w:t>
      </w:r>
      <w:r w:rsidR="00701AA3">
        <w:t xml:space="preserve">he </w:t>
      </w:r>
      <w:r w:rsidR="5F3D3436" w:rsidRPr="00473964">
        <w:t xml:space="preserve">2023 </w:t>
      </w:r>
      <w:r w:rsidR="00D41385" w:rsidRPr="00473964">
        <w:t xml:space="preserve">JSA </w:t>
      </w:r>
      <w:r w:rsidR="00701AA3">
        <w:t>Report</w:t>
      </w:r>
      <w:r w:rsidR="00111CA1">
        <w:t xml:space="preserve">, </w:t>
      </w:r>
      <w:r w:rsidR="00D41385" w:rsidRPr="00473964">
        <w:t>the delivery of VET in</w:t>
      </w:r>
      <w:r w:rsidR="5F3D3436" w:rsidRPr="00473964">
        <w:t xml:space="preserve"> </w:t>
      </w:r>
      <w:r w:rsidR="00652B07" w:rsidRPr="00473964">
        <w:t xml:space="preserve">regional and remote Australia is </w:t>
      </w:r>
      <w:r w:rsidR="5F3D3436" w:rsidRPr="00473964">
        <w:t xml:space="preserve">complex and </w:t>
      </w:r>
      <w:r w:rsidR="00652B07" w:rsidRPr="00473964">
        <w:t xml:space="preserve">varies significantly across </w:t>
      </w:r>
      <w:r w:rsidR="00210224">
        <w:t>regions</w:t>
      </w:r>
      <w:r w:rsidR="00652B07" w:rsidRPr="00473964">
        <w:t>.</w:t>
      </w:r>
      <w:r w:rsidR="5F3D3436" w:rsidRPr="00473964">
        <w:t xml:space="preserve"> </w:t>
      </w:r>
      <w:r w:rsidR="00F9234E" w:rsidRPr="00473964">
        <w:t xml:space="preserve">As described earlier, </w:t>
      </w:r>
      <w:r w:rsidR="5F3D3436" w:rsidRPr="00473964">
        <w:t xml:space="preserve">VET </w:t>
      </w:r>
      <w:r w:rsidR="001A7122">
        <w:t>qualifications are</w:t>
      </w:r>
      <w:r w:rsidR="5F3D3436" w:rsidRPr="00473964">
        <w:t xml:space="preserve"> more likely to be the highest level of education attainment </w:t>
      </w:r>
      <w:r w:rsidR="00040296" w:rsidRPr="00473964">
        <w:t>in regional and remote areas.</w:t>
      </w:r>
      <w:r w:rsidR="5F3D3436" w:rsidRPr="00473964">
        <w:t xml:space="preserve"> VET is therefore an important means in providing training and skills for the economies in regional and remote Australia. There </w:t>
      </w:r>
      <w:r w:rsidR="00AE139D" w:rsidRPr="00473964">
        <w:t>are</w:t>
      </w:r>
      <w:r w:rsidR="5F3D3436" w:rsidRPr="00473964">
        <w:t xml:space="preserve"> however ma</w:t>
      </w:r>
      <w:r w:rsidR="00F45964">
        <w:t>n</w:t>
      </w:r>
      <w:r w:rsidR="5F3D3436" w:rsidRPr="00473964">
        <w:t xml:space="preserve">y barriers and issues faced in accessing and providing VET to these areas. </w:t>
      </w:r>
    </w:p>
    <w:p w14:paraId="61D8E802" w14:textId="189EBE9F" w:rsidR="00AE5813" w:rsidRPr="00473964" w:rsidRDefault="00040296" w:rsidP="008815E9">
      <w:r w:rsidRPr="002E2B79">
        <w:t>The</w:t>
      </w:r>
      <w:r w:rsidR="5F3D3436" w:rsidRPr="002E2B79">
        <w:t xml:space="preserve"> </w:t>
      </w:r>
      <w:r w:rsidR="00341DB4" w:rsidRPr="002E2B79">
        <w:t>number of RTO</w:t>
      </w:r>
      <w:r w:rsidR="003B509B">
        <w:t xml:space="preserve">s </w:t>
      </w:r>
      <w:r w:rsidR="00341DB4" w:rsidRPr="002E2B79">
        <w:t>decrease with remoteness</w:t>
      </w:r>
      <w:r w:rsidR="006C37E3">
        <w:t>,</w:t>
      </w:r>
      <w:r w:rsidR="00884BAA">
        <w:t xml:space="preserve"> reflecting where Australia’s population is concentrated</w:t>
      </w:r>
      <w:r w:rsidR="0006001D">
        <w:t xml:space="preserve">. </w:t>
      </w:r>
      <w:r w:rsidR="00307FAC" w:rsidRPr="002E2B79">
        <w:t xml:space="preserve">Western Australia, Queensland and the Northern Territory </w:t>
      </w:r>
      <w:r w:rsidR="00DA3A11">
        <w:t xml:space="preserve">have the most RTOs </w:t>
      </w:r>
      <w:r w:rsidR="00AB6113">
        <w:t>locat</w:t>
      </w:r>
      <w:r w:rsidR="007D16A2">
        <w:t>ions</w:t>
      </w:r>
      <w:r w:rsidR="00DA3A11">
        <w:t xml:space="preserve"> </w:t>
      </w:r>
      <w:r w:rsidR="00541AC0">
        <w:t xml:space="preserve">in </w:t>
      </w:r>
      <w:r w:rsidR="00DA3A11">
        <w:t>remote and very remote areas</w:t>
      </w:r>
      <w:r w:rsidR="00C77EC8">
        <w:t xml:space="preserve">, reflecting their relatively large </w:t>
      </w:r>
      <w:r w:rsidR="00F94D3C">
        <w:t xml:space="preserve">share of </w:t>
      </w:r>
      <w:r w:rsidR="00C77EC8">
        <w:t xml:space="preserve">population in these areas. These three states/territories also have </w:t>
      </w:r>
      <w:r w:rsidR="0060361E">
        <w:t xml:space="preserve">the most </w:t>
      </w:r>
      <w:r w:rsidR="008621A9" w:rsidRPr="002E2B79">
        <w:t xml:space="preserve">VET program enrolments by students from </w:t>
      </w:r>
      <w:r w:rsidR="0015651B">
        <w:t>remote and very remo</w:t>
      </w:r>
      <w:r w:rsidR="00066DA5">
        <w:t>te</w:t>
      </w:r>
      <w:r w:rsidR="008621A9" w:rsidRPr="002E2B79">
        <w:t xml:space="preserve"> areas.</w:t>
      </w:r>
      <w:r w:rsidR="008621A9">
        <w:t xml:space="preserve"> </w:t>
      </w:r>
    </w:p>
    <w:p w14:paraId="6F09821B" w14:textId="54E4FB73" w:rsidR="00AE5813" w:rsidRDefault="00473964" w:rsidP="008815E9">
      <w:r w:rsidRPr="00473964">
        <w:t>Students</w:t>
      </w:r>
      <w:r w:rsidR="5F3D3436" w:rsidRPr="00473964">
        <w:t xml:space="preserve"> from regional and remote locations </w:t>
      </w:r>
      <w:r w:rsidR="00F97182">
        <w:t>a</w:t>
      </w:r>
      <w:r w:rsidR="5F3D3436" w:rsidRPr="00473964">
        <w:t>re also more likely to enrol in lower</w:t>
      </w:r>
      <w:r w:rsidR="00EF4A8E" w:rsidRPr="00473964">
        <w:t>-</w:t>
      </w:r>
      <w:r w:rsidR="5F3D3436" w:rsidRPr="00473964">
        <w:t xml:space="preserve">level VET </w:t>
      </w:r>
      <w:r w:rsidRPr="00473964">
        <w:t>qualifications</w:t>
      </w:r>
      <w:r w:rsidR="5F3D3436" w:rsidRPr="00473964">
        <w:t xml:space="preserve"> compared to those from </w:t>
      </w:r>
      <w:r w:rsidR="00CF24AF">
        <w:t>major</w:t>
      </w:r>
      <w:r w:rsidR="5F3D3436" w:rsidRPr="00473964">
        <w:t xml:space="preserve"> cities. Regional and remote students also ha</w:t>
      </w:r>
      <w:r w:rsidR="00342674">
        <w:t>ve</w:t>
      </w:r>
      <w:r w:rsidR="5F3D3436" w:rsidRPr="00473964">
        <w:t xml:space="preserve"> lower qualification completion </w:t>
      </w:r>
      <w:r w:rsidR="00FD6EDA" w:rsidRPr="00473964">
        <w:t>rates</w:t>
      </w:r>
      <w:r w:rsidR="5F3D3436" w:rsidRPr="00473964">
        <w:t xml:space="preserve"> compared to students from </w:t>
      </w:r>
      <w:r w:rsidR="00CF24AF">
        <w:t>major</w:t>
      </w:r>
      <w:r w:rsidR="5F3D3436" w:rsidRPr="00473964">
        <w:t xml:space="preserve"> cities</w:t>
      </w:r>
      <w:r w:rsidRPr="00473964">
        <w:t>, however</w:t>
      </w:r>
      <w:r w:rsidR="5F3D3436" w:rsidRPr="00473964">
        <w:t xml:space="preserve"> </w:t>
      </w:r>
      <w:r w:rsidR="001D00FB">
        <w:t>they</w:t>
      </w:r>
      <w:r w:rsidR="5F3D3436" w:rsidRPr="00473964">
        <w:t xml:space="preserve"> </w:t>
      </w:r>
      <w:r w:rsidR="00342674">
        <w:t>a</w:t>
      </w:r>
      <w:r w:rsidR="00273F10">
        <w:t xml:space="preserve">re more likely </w:t>
      </w:r>
      <w:r w:rsidR="003E67F3">
        <w:t>after their VET training</w:t>
      </w:r>
      <w:r w:rsidR="00273F10">
        <w:t xml:space="preserve"> to be</w:t>
      </w:r>
      <w:r w:rsidR="001C07E5">
        <w:t xml:space="preserve"> </w:t>
      </w:r>
      <w:r w:rsidR="00273F10">
        <w:t>in</w:t>
      </w:r>
      <w:r w:rsidR="5F3D3436" w:rsidRPr="00473964">
        <w:t xml:space="preserve"> </w:t>
      </w:r>
      <w:r w:rsidRPr="00473964">
        <w:t>further study</w:t>
      </w:r>
      <w:r w:rsidR="001C07E5">
        <w:t xml:space="preserve"> or employed,</w:t>
      </w:r>
      <w:r w:rsidR="00B76714">
        <w:t xml:space="preserve"> </w:t>
      </w:r>
      <w:r w:rsidR="00B40666">
        <w:t>and</w:t>
      </w:r>
      <w:r w:rsidR="00FA1F70">
        <w:t xml:space="preserve"> to</w:t>
      </w:r>
      <w:r w:rsidR="00E946BD">
        <w:t xml:space="preserve"> </w:t>
      </w:r>
      <w:r w:rsidR="00273F10">
        <w:t>have</w:t>
      </w:r>
      <w:r w:rsidRPr="00473964">
        <w:t xml:space="preserve"> </w:t>
      </w:r>
      <w:r w:rsidR="00DC18D0">
        <w:t>improved employed outcomes</w:t>
      </w:r>
      <w:r w:rsidR="5F3D3436" w:rsidRPr="00473964">
        <w:t xml:space="preserve">. </w:t>
      </w:r>
    </w:p>
    <w:p w14:paraId="2E67C5BF" w14:textId="021072AC" w:rsidR="00D02A7F" w:rsidRDefault="00D02A7F" w:rsidP="008815E9">
      <w:r>
        <w:t>This</w:t>
      </w:r>
      <w:r w:rsidR="00C9566B">
        <w:t xml:space="preserve"> broadly</w:t>
      </w:r>
      <w:r>
        <w:t xml:space="preserve"> aligns with </w:t>
      </w:r>
      <w:r w:rsidR="00C9566B">
        <w:t xml:space="preserve">earlier </w:t>
      </w:r>
      <w:r>
        <w:t xml:space="preserve">findings </w:t>
      </w:r>
      <w:r w:rsidR="00C9566B">
        <w:t>from</w:t>
      </w:r>
      <w:r>
        <w:t xml:space="preserve"> the 2019 Napthine Review</w:t>
      </w:r>
      <w:r w:rsidR="002C3502">
        <w:t>, which</w:t>
      </w:r>
      <w:r>
        <w:t xml:space="preserve"> found regional, rural and remote tertiary</w:t>
      </w:r>
      <w:r w:rsidRPr="000A3EA5">
        <w:t xml:space="preserve"> students</w:t>
      </w:r>
      <w:r w:rsidR="00A57634">
        <w:rPr>
          <w:rStyle w:val="FootnoteReference"/>
          <w:rFonts w:cs="Arial"/>
          <w:kern w:val="2"/>
          <w14:ligatures w14:val="standardContextual"/>
        </w:rPr>
        <w:footnoteReference w:id="86"/>
      </w:r>
      <w:r w:rsidR="00A57634">
        <w:t xml:space="preserve"> </w:t>
      </w:r>
      <w:r w:rsidRPr="000A3EA5">
        <w:t>underperform</w:t>
      </w:r>
      <w:r>
        <w:t>ed</w:t>
      </w:r>
      <w:r w:rsidRPr="000A3EA5">
        <w:t xml:space="preserve"> on most performance indicators </w:t>
      </w:r>
      <w:r w:rsidR="000C1D76">
        <w:t xml:space="preserve">(i.e. </w:t>
      </w:r>
      <w:r w:rsidRPr="000A3EA5">
        <w:t xml:space="preserve">access, success, satisfaction, retention, </w:t>
      </w:r>
      <w:r w:rsidR="000C1D76">
        <w:t xml:space="preserve">and </w:t>
      </w:r>
      <w:r w:rsidRPr="000A3EA5">
        <w:t>completion</w:t>
      </w:r>
      <w:r w:rsidR="000C1D76">
        <w:t>)</w:t>
      </w:r>
      <w:r w:rsidRPr="000A3EA5">
        <w:t xml:space="preserve"> when compared to the overall student average, with the exception to this trend being employment.  </w:t>
      </w:r>
    </w:p>
    <w:p w14:paraId="109A5078" w14:textId="50613FF2" w:rsidR="00AD7546" w:rsidRDefault="006576FE" w:rsidP="008815E9">
      <w:r>
        <w:t xml:space="preserve">There are a number of </w:t>
      </w:r>
      <w:r w:rsidR="00E801EA">
        <w:t>major</w:t>
      </w:r>
      <w:r w:rsidR="00657FF6">
        <w:t xml:space="preserve"> VET</w:t>
      </w:r>
      <w:r w:rsidR="00E801EA">
        <w:t xml:space="preserve"> </w:t>
      </w:r>
      <w:r>
        <w:t>reform</w:t>
      </w:r>
      <w:r w:rsidR="00E801EA">
        <w:t xml:space="preserve">s </w:t>
      </w:r>
      <w:r>
        <w:t>currently being progresse</w:t>
      </w:r>
      <w:r w:rsidR="003F7DB5">
        <w:t xml:space="preserve">d, </w:t>
      </w:r>
      <w:r w:rsidR="006A18FF">
        <w:t xml:space="preserve">with </w:t>
      </w:r>
      <w:r>
        <w:t>the National Skills Agreement</w:t>
      </w:r>
      <w:r w:rsidR="00C26154">
        <w:t xml:space="preserve"> between the Commonwealth and the States</w:t>
      </w:r>
      <w:r w:rsidR="006A18FF">
        <w:t xml:space="preserve"> to the fore</w:t>
      </w:r>
      <w:r w:rsidR="008953E3">
        <w:t>. T</w:t>
      </w:r>
      <w:r w:rsidR="00C26154">
        <w:t>he</w:t>
      </w:r>
      <w:r w:rsidR="002C5011">
        <w:t xml:space="preserve"> </w:t>
      </w:r>
      <w:r w:rsidR="00C26154" w:rsidRPr="00C26154">
        <w:t>House of Representatives Inquiry into the Perceptions and Status of VET</w:t>
      </w:r>
      <w:r w:rsidR="0074791D">
        <w:t xml:space="preserve"> and </w:t>
      </w:r>
      <w:r w:rsidR="00C26154" w:rsidRPr="00C26154">
        <w:t>Strategic Review of the Australian Apprenticeships Incentive System</w:t>
      </w:r>
      <w:r w:rsidR="00DF27FC">
        <w:t xml:space="preserve"> are </w:t>
      </w:r>
      <w:r w:rsidR="00D719B0">
        <w:t>being progressed at federal level</w:t>
      </w:r>
      <w:r w:rsidR="008B2E2C">
        <w:t>. T</w:t>
      </w:r>
      <w:r w:rsidR="0074791D">
        <w:t xml:space="preserve">he </w:t>
      </w:r>
      <w:r w:rsidR="002C5011">
        <w:t>NSW VET review</w:t>
      </w:r>
      <w:r w:rsidR="00026241">
        <w:t xml:space="preserve"> final report</w:t>
      </w:r>
      <w:r w:rsidR="00D719B0">
        <w:t xml:space="preserve"> has just been</w:t>
      </w:r>
      <w:r w:rsidR="00026241">
        <w:t xml:space="preserve"> publicly released</w:t>
      </w:r>
      <w:r w:rsidR="008B2E2C">
        <w:t>, and</w:t>
      </w:r>
      <w:r w:rsidR="003441EC">
        <w:t xml:space="preserve"> the</w:t>
      </w:r>
      <w:r w:rsidR="002C5011">
        <w:t xml:space="preserve"> Victorian, </w:t>
      </w:r>
      <w:r w:rsidR="00054FB3">
        <w:t>Queensland and South Australian Governments have all recently developed new VET plans, strategies and policies (more detail is at A</w:t>
      </w:r>
      <w:r w:rsidR="008815E9">
        <w:t>ppendix</w:t>
      </w:r>
      <w:r w:rsidR="00054FB3">
        <w:t xml:space="preserve"> A). </w:t>
      </w:r>
    </w:p>
    <w:p w14:paraId="7013AE83" w14:textId="3799D6DE" w:rsidR="006576FE" w:rsidRDefault="00E057D1" w:rsidP="008815E9">
      <w:r>
        <w:t xml:space="preserve">As </w:t>
      </w:r>
      <w:r w:rsidR="00141FB5">
        <w:t>JSA</w:t>
      </w:r>
      <w:r w:rsidR="00D078C8">
        <w:t xml:space="preserve"> undertake</w:t>
      </w:r>
      <w:r w:rsidR="00196451">
        <w:t>s</w:t>
      </w:r>
      <w:r w:rsidR="00375A0F">
        <w:t xml:space="preserve"> more</w:t>
      </w:r>
      <w:r w:rsidR="00D078C8">
        <w:t xml:space="preserve"> research</w:t>
      </w:r>
      <w:r w:rsidR="00141FB5">
        <w:t xml:space="preserve"> </w:t>
      </w:r>
      <w:r w:rsidR="005B014F">
        <w:t xml:space="preserve">in </w:t>
      </w:r>
      <w:r w:rsidR="00054FB3">
        <w:t>2024</w:t>
      </w:r>
      <w:r w:rsidR="007D1B04">
        <w:t>–</w:t>
      </w:r>
      <w:r w:rsidR="00054FB3">
        <w:t>2</w:t>
      </w:r>
      <w:r w:rsidR="004970C2">
        <w:t xml:space="preserve">5 </w:t>
      </w:r>
      <w:r w:rsidR="005F0515">
        <w:t xml:space="preserve">moving </w:t>
      </w:r>
      <w:r w:rsidR="008A77D8">
        <w:t>t</w:t>
      </w:r>
      <w:r w:rsidR="005F0515">
        <w:t>owards a</w:t>
      </w:r>
      <w:r w:rsidR="00196451">
        <w:t xml:space="preserve"> Regional Rural and Remote Australia Jobs and Skills Roadmap, this will</w:t>
      </w:r>
      <w:r w:rsidR="004970C2">
        <w:t xml:space="preserve"> help</w:t>
      </w:r>
      <w:r w:rsidR="00375A0F">
        <w:t xml:space="preserve"> to</w:t>
      </w:r>
      <w:r w:rsidR="004970C2">
        <w:t xml:space="preserve"> i</w:t>
      </w:r>
      <w:r w:rsidR="00977D1E">
        <w:t xml:space="preserve">dentify </w:t>
      </w:r>
      <w:r w:rsidR="00E56FDE">
        <w:t xml:space="preserve">and inform </w:t>
      </w:r>
      <w:r w:rsidR="00375A0F">
        <w:t xml:space="preserve">future </w:t>
      </w:r>
      <w:r w:rsidR="00E56FDE">
        <w:t xml:space="preserve">reform </w:t>
      </w:r>
      <w:r w:rsidR="00977D1E">
        <w:t>opportunities</w:t>
      </w:r>
      <w:r w:rsidR="00E9376F">
        <w:t xml:space="preserve"> for the VET sector, particularly in the regions</w:t>
      </w:r>
      <w:r w:rsidR="00E56FDE">
        <w:t>.</w:t>
      </w:r>
      <w:r w:rsidR="00054FB3">
        <w:t xml:space="preserve">  </w:t>
      </w:r>
    </w:p>
    <w:p w14:paraId="5B3CA3F7" w14:textId="77777777" w:rsidR="00A91189" w:rsidRDefault="00A91189" w:rsidP="003C2A4D">
      <w:pPr>
        <w:rPr>
          <w:rFonts w:cs="Arial"/>
          <w:kern w:val="2"/>
          <w14:ligatures w14:val="standardContextual"/>
        </w:rPr>
      </w:pPr>
    </w:p>
    <w:p w14:paraId="4A945DC1" w14:textId="77777777" w:rsidR="00A91189" w:rsidRDefault="00A91189" w:rsidP="003C2A4D">
      <w:pPr>
        <w:rPr>
          <w:rFonts w:cs="Arial"/>
          <w:kern w:val="2"/>
          <w14:ligatures w14:val="standardContextual"/>
        </w:rPr>
        <w:sectPr w:rsidR="00A91189" w:rsidSect="00254137">
          <w:headerReference w:type="even" r:id="rId128"/>
          <w:headerReference w:type="default" r:id="rId129"/>
          <w:headerReference w:type="first" r:id="rId130"/>
          <w:footerReference w:type="first" r:id="rId131"/>
          <w:type w:val="continuous"/>
          <w:pgSz w:w="11906" w:h="16838"/>
          <w:pgMar w:top="1276" w:right="1440" w:bottom="1134" w:left="1440" w:header="0" w:footer="539" w:gutter="0"/>
          <w:cols w:space="708"/>
          <w:titlePg/>
          <w:docGrid w:linePitch="360"/>
        </w:sectPr>
      </w:pPr>
    </w:p>
    <w:p w14:paraId="66719112" w14:textId="49D8054C" w:rsidR="00A91189" w:rsidRPr="009B6851" w:rsidRDefault="00A91189" w:rsidP="005C34D6">
      <w:pPr>
        <w:pStyle w:val="Heading1"/>
      </w:pPr>
      <w:bookmarkStart w:id="84" w:name="_Toc178173745"/>
      <w:r w:rsidRPr="00A1076E">
        <w:t>Case Study</w:t>
      </w:r>
      <w:r w:rsidR="00477413">
        <w:t>:</w:t>
      </w:r>
      <w:r w:rsidRPr="00A1076E">
        <w:t xml:space="preserve"> Mid North Coast NSW Employment Regio</w:t>
      </w:r>
      <w:r w:rsidR="009B6851">
        <w:t>n</w:t>
      </w:r>
      <w:bookmarkEnd w:id="84"/>
    </w:p>
    <w:tbl>
      <w:tblPr>
        <w:tblStyle w:val="Box"/>
        <w:tblW w:w="0" w:type="auto"/>
        <w:tblLook w:val="04A0" w:firstRow="1" w:lastRow="0" w:firstColumn="1" w:lastColumn="0" w:noHBand="0" w:noVBand="1"/>
      </w:tblPr>
      <w:tblGrid>
        <w:gridCol w:w="8996"/>
      </w:tblGrid>
      <w:tr w:rsidR="005C34D6" w14:paraId="03E576B5" w14:textId="77777777" w:rsidTr="005C34D6">
        <w:tc>
          <w:tcPr>
            <w:tcW w:w="9016" w:type="dxa"/>
          </w:tcPr>
          <w:p w14:paraId="09BB8B94" w14:textId="77777777" w:rsidR="005C34D6" w:rsidRPr="00E138E6" w:rsidRDefault="005C34D6" w:rsidP="005C34D6">
            <w:pPr>
              <w:pStyle w:val="Heading2"/>
              <w:spacing w:after="100" w:line="264" w:lineRule="auto"/>
              <w:rPr>
                <w:rFonts w:asciiTheme="minorHAnsi" w:hAnsiTheme="minorHAnsi" w:cstheme="minorHAnsi"/>
              </w:rPr>
            </w:pPr>
            <w:bookmarkStart w:id="85" w:name="_Toc178173746"/>
            <w:r w:rsidRPr="00E138E6">
              <w:rPr>
                <w:rFonts w:asciiTheme="minorHAnsi" w:hAnsiTheme="minorHAnsi" w:cstheme="minorHAnsi"/>
              </w:rPr>
              <w:t xml:space="preserve">Key </w:t>
            </w:r>
            <w:r>
              <w:rPr>
                <w:rFonts w:asciiTheme="minorHAnsi" w:hAnsiTheme="minorHAnsi" w:cstheme="minorHAnsi"/>
              </w:rPr>
              <w:t>F</w:t>
            </w:r>
            <w:r w:rsidRPr="00E138E6">
              <w:rPr>
                <w:rFonts w:asciiTheme="minorHAnsi" w:hAnsiTheme="minorHAnsi" w:cstheme="minorHAnsi"/>
              </w:rPr>
              <w:t>indings</w:t>
            </w:r>
            <w:bookmarkEnd w:id="85"/>
          </w:p>
          <w:p w14:paraId="7AE65586" w14:textId="77777777" w:rsidR="005C34D6" w:rsidRPr="005C34D6" w:rsidRDefault="005C34D6" w:rsidP="005C34D6">
            <w:pPr>
              <w:pStyle w:val="ListBullet"/>
            </w:pPr>
            <w:r w:rsidRPr="005C34D6">
              <w:t>The Mid North Coast Employment Region has seen persistently poor labour market conditions, with some internal variation in unemployment rates within the region. Access to childcare is a key barrier to labour force participation.</w:t>
            </w:r>
          </w:p>
          <w:p w14:paraId="716BEEB0" w14:textId="77777777" w:rsidR="005C34D6" w:rsidRPr="005C34D6" w:rsidRDefault="005C34D6" w:rsidP="005C34D6">
            <w:pPr>
              <w:pStyle w:val="ListBullet"/>
            </w:pPr>
            <w:r w:rsidRPr="005C34D6">
              <w:t xml:space="preserve">Many young people are leaving the region and of those who remain almost one in five are neither working nor studying, compared to one in eight in NSW.  </w:t>
            </w:r>
          </w:p>
          <w:p w14:paraId="54B0BD43" w14:textId="77777777" w:rsidR="005C34D6" w:rsidRPr="005C34D6" w:rsidRDefault="005C34D6" w:rsidP="005C34D6">
            <w:pPr>
              <w:pStyle w:val="ListBullet"/>
            </w:pPr>
            <w:r w:rsidRPr="005C34D6">
              <w:t xml:space="preserve">The region’s population is ageing, resulting in greater demand for health and care services and shortages in many large health and care occupations. </w:t>
            </w:r>
          </w:p>
          <w:p w14:paraId="1B599FC3" w14:textId="77777777" w:rsidR="005C34D6" w:rsidRPr="005C34D6" w:rsidRDefault="005C34D6" w:rsidP="005C34D6">
            <w:pPr>
              <w:pStyle w:val="ListBullet"/>
            </w:pPr>
            <w:r w:rsidRPr="005C34D6">
              <w:t xml:space="preserve">Various workforce strategies and initiatives are in place to help train, recruit and retain the skilled workforce needed to support the region’s largest employing industry. However, skill shortages persist, and challenges remain attracting and retaining medical professionals and health and support workers.   </w:t>
            </w:r>
          </w:p>
          <w:p w14:paraId="5852CF4F" w14:textId="77777777" w:rsidR="005C34D6" w:rsidRPr="005C34D6" w:rsidRDefault="005C34D6" w:rsidP="005C34D6">
            <w:pPr>
              <w:pStyle w:val="ListBullet"/>
            </w:pPr>
            <w:r w:rsidRPr="005C34D6">
              <w:t>The region has good geographic coverage of TAFEs and other RTOs, which are training locals in fields needed to meet key female-dominated health and care occupations and male-dominated trades occupations in shortage.</w:t>
            </w:r>
          </w:p>
          <w:p w14:paraId="7BE7F0DF" w14:textId="77777777" w:rsidR="005C34D6" w:rsidRPr="005C34D6" w:rsidRDefault="005C34D6" w:rsidP="005C34D6">
            <w:pPr>
              <w:pStyle w:val="ListBullet"/>
            </w:pPr>
            <w:r w:rsidRPr="005C34D6">
              <w:t>A large proportion of Bachelor Degree courses offered by the region’s two main universities (Charles Sturt, Southern Cross) are in health and related fields, while the University of Newcastle offers local specialist medical training.</w:t>
            </w:r>
          </w:p>
          <w:p w14:paraId="3A55AD48" w14:textId="0C109FCA" w:rsidR="005C34D6" w:rsidRDefault="005C34D6" w:rsidP="005C34D6">
            <w:pPr>
              <w:pStyle w:val="ListBullet"/>
            </w:pPr>
            <w:r w:rsidRPr="005C34D6">
              <w:t>Levels of attainment of Bachelor Degree and higher-level qualifications in the Mid North Coast lag the nation. The Australian Universities Accord has recognised the challenges faced by regional students and universities and has recommended reforms which, if implemented</w:t>
            </w:r>
            <w:r w:rsidRPr="003F6ECB">
              <w:t xml:space="preserve">, would help the Mid North Coast to meet its skills challenges in the future.  </w:t>
            </w:r>
          </w:p>
        </w:tc>
      </w:tr>
    </w:tbl>
    <w:p w14:paraId="4EEADDEF" w14:textId="1BECA822" w:rsidR="00A91189" w:rsidRDefault="00A91189" w:rsidP="00A91189"/>
    <w:p w14:paraId="47773D78" w14:textId="77777777" w:rsidR="005C1F87" w:rsidRPr="005C1F87" w:rsidRDefault="005C1F87" w:rsidP="005C1F87">
      <w:r w:rsidRPr="005C1F87">
        <w:br w:type="page"/>
      </w:r>
    </w:p>
    <w:p w14:paraId="1BB03E10" w14:textId="2F7F734E" w:rsidR="00222604" w:rsidRDefault="00222604" w:rsidP="005C34D6">
      <w:pPr>
        <w:pStyle w:val="Heading2"/>
      </w:pPr>
      <w:bookmarkStart w:id="86" w:name="_Toc178173747"/>
      <w:r w:rsidRPr="005C34D6">
        <w:t>Introduction</w:t>
      </w:r>
      <w:bookmarkEnd w:id="86"/>
    </w:p>
    <w:p w14:paraId="57D33739" w14:textId="63972270" w:rsidR="00DC2D9F" w:rsidRPr="00471F5E" w:rsidRDefault="00782E77" w:rsidP="009340F2">
      <w:r w:rsidRPr="00471F5E">
        <w:t xml:space="preserve">It is critical that </w:t>
      </w:r>
      <w:r w:rsidR="009B1E70" w:rsidRPr="00471F5E">
        <w:t>a region’s</w:t>
      </w:r>
      <w:r w:rsidRPr="00471F5E">
        <w:t xml:space="preserve"> skills system can supply </w:t>
      </w:r>
      <w:r w:rsidR="009B1E70" w:rsidRPr="00471F5E">
        <w:t xml:space="preserve">the </w:t>
      </w:r>
      <w:r w:rsidRPr="00471F5E">
        <w:t>skill</w:t>
      </w:r>
      <w:r w:rsidR="008D5B38">
        <w:t xml:space="preserve">ed </w:t>
      </w:r>
      <w:r w:rsidRPr="00471F5E">
        <w:t xml:space="preserve">workforce </w:t>
      </w:r>
      <w:r w:rsidR="008D5B38">
        <w:t>to</w:t>
      </w:r>
      <w:r w:rsidRPr="00471F5E">
        <w:t xml:space="preserve"> </w:t>
      </w:r>
      <w:r w:rsidR="00211A90">
        <w:t>meet the</w:t>
      </w:r>
      <w:r w:rsidR="00D50A98">
        <w:t xml:space="preserve"> </w:t>
      </w:r>
      <w:r w:rsidRPr="00471F5E">
        <w:t xml:space="preserve">current and future </w:t>
      </w:r>
      <w:r w:rsidR="00211A90">
        <w:t>skill</w:t>
      </w:r>
      <w:r w:rsidR="0032005C">
        <w:t xml:space="preserve"> </w:t>
      </w:r>
      <w:r w:rsidRPr="00471F5E">
        <w:t>needs</w:t>
      </w:r>
      <w:r w:rsidR="006308F9">
        <w:t xml:space="preserve"> of </w:t>
      </w:r>
      <w:r w:rsidR="0032005C">
        <w:t xml:space="preserve">its </w:t>
      </w:r>
      <w:r w:rsidR="006308F9">
        <w:t>industr</w:t>
      </w:r>
      <w:r w:rsidR="0032005C">
        <w:t>ies</w:t>
      </w:r>
      <w:r w:rsidRPr="00471F5E">
        <w:t xml:space="preserve">. </w:t>
      </w:r>
      <w:r w:rsidR="00222604" w:rsidRPr="00471F5E">
        <w:t xml:space="preserve">The following case study </w:t>
      </w:r>
      <w:r w:rsidR="0071113C" w:rsidRPr="00471F5E">
        <w:t>brings together t</w:t>
      </w:r>
      <w:r w:rsidR="00280406">
        <w:t>he central</w:t>
      </w:r>
      <w:r w:rsidR="00860416" w:rsidRPr="00471F5E">
        <w:t xml:space="preserve"> themes </w:t>
      </w:r>
      <w:r w:rsidR="009B1E70" w:rsidRPr="00471F5E">
        <w:t xml:space="preserve">of the </w:t>
      </w:r>
      <w:r w:rsidR="00503144" w:rsidRPr="00471F5E">
        <w:t xml:space="preserve">Regional, Rural and Remote Jobs </w:t>
      </w:r>
      <w:r w:rsidR="00222604" w:rsidRPr="00471F5E">
        <w:t xml:space="preserve">and </w:t>
      </w:r>
      <w:r w:rsidR="00503144" w:rsidRPr="00471F5E">
        <w:t>S</w:t>
      </w:r>
      <w:r w:rsidR="00222604" w:rsidRPr="00471F5E">
        <w:t>kills</w:t>
      </w:r>
      <w:r w:rsidR="009B1E70" w:rsidRPr="00471F5E">
        <w:t xml:space="preserve"> Roadmap</w:t>
      </w:r>
      <w:r w:rsidR="00644343" w:rsidRPr="00471F5E">
        <w:t xml:space="preserve"> </w:t>
      </w:r>
      <w:r w:rsidR="00280406">
        <w:t>(</w:t>
      </w:r>
      <w:r w:rsidR="00644343" w:rsidRPr="00471F5E">
        <w:t xml:space="preserve">labour market performance, </w:t>
      </w:r>
      <w:r w:rsidR="00346729" w:rsidRPr="00471F5E">
        <w:t>skills</w:t>
      </w:r>
      <w:r w:rsidR="00222604" w:rsidRPr="00471F5E">
        <w:t xml:space="preserve"> </w:t>
      </w:r>
      <w:r w:rsidR="00346729" w:rsidRPr="00471F5E">
        <w:t xml:space="preserve">shortages and </w:t>
      </w:r>
      <w:r w:rsidR="009F4353">
        <w:t xml:space="preserve">the performance of the </w:t>
      </w:r>
      <w:r w:rsidR="00346729" w:rsidRPr="00471F5E">
        <w:t>skills system</w:t>
      </w:r>
      <w:r w:rsidR="00280406">
        <w:t>)</w:t>
      </w:r>
      <w:r w:rsidR="00194BCE">
        <w:t xml:space="preserve"> </w:t>
      </w:r>
      <w:r w:rsidR="00AE39F0">
        <w:t xml:space="preserve">with a specific </w:t>
      </w:r>
      <w:r w:rsidR="00194BCE">
        <w:t>focus</w:t>
      </w:r>
      <w:r w:rsidR="00AE39F0">
        <w:t xml:space="preserve"> on</w:t>
      </w:r>
      <w:r w:rsidR="00C01CF8">
        <w:t xml:space="preserve"> region</w:t>
      </w:r>
      <w:r w:rsidR="00694E71">
        <w:t xml:space="preserve">al </w:t>
      </w:r>
      <w:r w:rsidR="00AC1BD3">
        <w:t>location -</w:t>
      </w:r>
      <w:r w:rsidR="00AE39F0">
        <w:t xml:space="preserve"> </w:t>
      </w:r>
      <w:r w:rsidR="00AE39F0" w:rsidRPr="00471F5E">
        <w:t>the Mid North Coast Employment Region</w:t>
      </w:r>
      <w:r w:rsidR="00F55436">
        <w:t>.</w:t>
      </w:r>
      <w:r w:rsidR="00AE39F0" w:rsidRPr="00F55436">
        <w:rPr>
          <w:rFonts w:asciiTheme="minorHAnsi" w:eastAsia="Arial" w:hAnsiTheme="minorHAnsi" w:cstheme="minorHAnsi"/>
          <w:vertAlign w:val="superscript"/>
        </w:rPr>
        <w:footnoteReference w:id="87"/>
      </w:r>
    </w:p>
    <w:p w14:paraId="5736B849" w14:textId="77777777" w:rsidR="00A91189" w:rsidRPr="008815E9" w:rsidRDefault="00A91189" w:rsidP="005C34D6">
      <w:pPr>
        <w:pStyle w:val="Heading2"/>
      </w:pPr>
      <w:bookmarkStart w:id="87" w:name="_Toc178173748"/>
      <w:r w:rsidRPr="008815E9">
        <w:t>Local labour market conditions</w:t>
      </w:r>
      <w:bookmarkEnd w:id="87"/>
    </w:p>
    <w:p w14:paraId="6948AA13" w14:textId="77777777" w:rsidR="00A91189" w:rsidRDefault="00A91189" w:rsidP="005C34D6">
      <w:pPr>
        <w:pStyle w:val="Heading3"/>
      </w:pPr>
      <w:r w:rsidRPr="4D294AEB">
        <w:t xml:space="preserve">A long history of poor labour market conditions </w:t>
      </w:r>
    </w:p>
    <w:p w14:paraId="54FF8E62" w14:textId="52C11486" w:rsidR="004F0C14" w:rsidRDefault="00A91189" w:rsidP="008815E9">
      <w:pPr>
        <w:rPr>
          <w:rFonts w:eastAsia="Arial" w:cs="Arial"/>
        </w:rPr>
      </w:pPr>
      <w:r w:rsidRPr="00E138E6">
        <w:t xml:space="preserve">The Mid North Coast region has a long history of entrenched labour market disadvantage, with the region experiencing persistently poor labour market conditions over the long-term. Conditions continue to remain weak, with the region recording a low working age employment rate, a high JobSeeker income support rate and an above average unemployment rate which have contributed to an overall ‘poor’ labour market rating in </w:t>
      </w:r>
      <w:r w:rsidR="005506C9">
        <w:t>June</w:t>
      </w:r>
      <w:r w:rsidR="00812189">
        <w:t> </w:t>
      </w:r>
      <w:r w:rsidRPr="00E138E6">
        <w:t xml:space="preserve">2024 </w:t>
      </w:r>
      <w:r w:rsidR="00F66533" w:rsidRPr="00B74043">
        <w:t>(F</w:t>
      </w:r>
      <w:r w:rsidRPr="00B74043">
        <w:t xml:space="preserve">igure </w:t>
      </w:r>
      <w:r w:rsidR="00790357" w:rsidRPr="00B74043">
        <w:t>4</w:t>
      </w:r>
      <w:r w:rsidR="008815E9">
        <w:t>5</w:t>
      </w:r>
      <w:r w:rsidR="00F66533" w:rsidRPr="00B74043">
        <w:t>)</w:t>
      </w:r>
      <w:r w:rsidR="00222BB7">
        <w:t>.</w:t>
      </w:r>
    </w:p>
    <w:p w14:paraId="74D6417B" w14:textId="4E4AE413" w:rsidR="004F0C14" w:rsidRPr="008815E9" w:rsidRDefault="00A91189" w:rsidP="008815E9">
      <w:pPr>
        <w:pStyle w:val="Caption"/>
        <w:rPr>
          <w:rFonts w:asciiTheme="minorHAnsi" w:hAnsiTheme="minorHAnsi" w:cstheme="minorHAnsi"/>
          <w:szCs w:val="20"/>
        </w:rPr>
      </w:pPr>
      <w:r w:rsidRPr="008815E9">
        <w:rPr>
          <w:rFonts w:asciiTheme="minorHAnsi" w:hAnsiTheme="minorHAnsi" w:cstheme="minorHAnsi"/>
          <w:szCs w:val="20"/>
        </w:rPr>
        <w:t xml:space="preserve">Figure </w:t>
      </w:r>
      <w:r w:rsidR="00790357" w:rsidRPr="008815E9">
        <w:rPr>
          <w:rFonts w:asciiTheme="minorHAnsi" w:hAnsiTheme="minorHAnsi" w:cstheme="minorHAnsi"/>
          <w:szCs w:val="20"/>
        </w:rPr>
        <w:t>4</w:t>
      </w:r>
      <w:r w:rsidR="008815E9" w:rsidRPr="008815E9">
        <w:rPr>
          <w:rFonts w:asciiTheme="minorHAnsi" w:hAnsiTheme="minorHAnsi" w:cstheme="minorHAnsi"/>
          <w:szCs w:val="20"/>
        </w:rPr>
        <w:t>5</w:t>
      </w:r>
      <w:r w:rsidRPr="008815E9">
        <w:rPr>
          <w:rFonts w:asciiTheme="minorHAnsi" w:hAnsiTheme="minorHAnsi" w:cstheme="minorHAnsi"/>
          <w:szCs w:val="20"/>
        </w:rPr>
        <w:t xml:space="preserve">: Regional Labour Market Indicator (RLMI) ratings, selected ERs, </w:t>
      </w:r>
      <w:r w:rsidR="00245978" w:rsidRPr="008815E9">
        <w:rPr>
          <w:rFonts w:asciiTheme="minorHAnsi" w:hAnsiTheme="minorHAnsi" w:cstheme="minorHAnsi"/>
          <w:szCs w:val="20"/>
        </w:rPr>
        <w:t>June</w:t>
      </w:r>
      <w:r w:rsidRPr="008815E9">
        <w:rPr>
          <w:rFonts w:asciiTheme="minorHAnsi" w:hAnsiTheme="minorHAnsi" w:cstheme="minorHAnsi"/>
          <w:szCs w:val="20"/>
        </w:rPr>
        <w:t xml:space="preserve"> 2024</w:t>
      </w:r>
    </w:p>
    <w:p w14:paraId="0765A22E" w14:textId="57C88B02" w:rsidR="00BE2197" w:rsidRDefault="007E794D" w:rsidP="009340F2">
      <w:r w:rsidRPr="007E794D">
        <w:rPr>
          <w:noProof/>
        </w:rPr>
        <w:drawing>
          <wp:inline distT="0" distB="0" distL="0" distR="0" wp14:anchorId="4389B0A8" wp14:editId="6339FEC0">
            <wp:extent cx="4678326" cy="3408450"/>
            <wp:effectExtent l="0" t="0" r="8255" b="1905"/>
            <wp:docPr id="63075841" name="Picture 1" descr="A map of the Mid North Coast Employment Region and surrounds that displays current (June 2024) RLMI ra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5841" name="Picture 1" descr="A map of the Mid North Coast Employment Region and surrounds that displays current (June 2024) RLMI ratings."/>
                    <pic:cNvPicPr/>
                  </pic:nvPicPr>
                  <pic:blipFill>
                    <a:blip r:embed="rId132"/>
                    <a:stretch>
                      <a:fillRect/>
                    </a:stretch>
                  </pic:blipFill>
                  <pic:spPr>
                    <a:xfrm>
                      <a:off x="0" y="0"/>
                      <a:ext cx="4701289" cy="3425180"/>
                    </a:xfrm>
                    <a:prstGeom prst="rect">
                      <a:avLst/>
                    </a:prstGeom>
                  </pic:spPr>
                </pic:pic>
              </a:graphicData>
            </a:graphic>
          </wp:inline>
        </w:drawing>
      </w:r>
    </w:p>
    <w:p w14:paraId="6CB28DD8" w14:textId="3EE13C5F" w:rsidR="00A91189" w:rsidRDefault="004F0C14" w:rsidP="004F0C14">
      <w:r w:rsidRPr="00E54A01">
        <w:rPr>
          <w:noProof/>
        </w:rPr>
        <w:drawing>
          <wp:inline distT="0" distB="0" distL="0" distR="0" wp14:anchorId="46F0485E" wp14:editId="7572091B">
            <wp:extent cx="3705225" cy="209358"/>
            <wp:effectExtent l="19050" t="19050" r="9525" b="19685"/>
            <wp:docPr id="1246447778" name="Picture 1" descr="A legend of the RLMI rating categories (Strong, Above average, Average, Below average, P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47778" name="Picture 1" descr="A legend of the RLMI rating categories (Strong, Above average, Average, Below average, Poor). "/>
                    <pic:cNvPicPr/>
                  </pic:nvPicPr>
                  <pic:blipFill>
                    <a:blip r:embed="rId133"/>
                    <a:stretch>
                      <a:fillRect/>
                    </a:stretch>
                  </pic:blipFill>
                  <pic:spPr>
                    <a:xfrm>
                      <a:off x="0" y="0"/>
                      <a:ext cx="3894375" cy="220046"/>
                    </a:xfrm>
                    <a:prstGeom prst="rect">
                      <a:avLst/>
                    </a:prstGeom>
                    <a:ln>
                      <a:solidFill>
                        <a:schemeClr val="tx1"/>
                      </a:solidFill>
                    </a:ln>
                  </pic:spPr>
                </pic:pic>
              </a:graphicData>
            </a:graphic>
          </wp:inline>
        </w:drawing>
      </w:r>
    </w:p>
    <w:p w14:paraId="122A86E4" w14:textId="6DDB52AE" w:rsidR="00A91189" w:rsidRPr="005C34D6" w:rsidRDefault="004F0C14" w:rsidP="005C34D6">
      <w:pPr>
        <w:pStyle w:val="Source"/>
        <w:rPr>
          <w:rFonts w:asciiTheme="minorHAnsi" w:hAnsiTheme="minorHAnsi" w:cstheme="minorHAnsi"/>
        </w:rPr>
      </w:pPr>
      <w:r w:rsidRPr="008815E9">
        <w:rPr>
          <w:rFonts w:asciiTheme="minorHAnsi" w:hAnsiTheme="minorHAnsi" w:cstheme="minorHAnsi"/>
        </w:rPr>
        <w:t xml:space="preserve">Source: JSA, </w:t>
      </w:r>
      <w:r w:rsidRPr="00901A26">
        <w:rPr>
          <w:rFonts w:asciiTheme="minorHAnsi" w:hAnsiTheme="minorHAnsi" w:cstheme="minorHAnsi"/>
          <w:i/>
          <w:iCs/>
        </w:rPr>
        <w:t>Regional Labour Market Indicator</w:t>
      </w:r>
      <w:r w:rsidRPr="008815E9">
        <w:rPr>
          <w:rFonts w:asciiTheme="minorHAnsi" w:hAnsiTheme="minorHAnsi" w:cstheme="minorHAnsi"/>
        </w:rPr>
        <w:t xml:space="preserve"> (RLMI), </w:t>
      </w:r>
      <w:r w:rsidR="00245978" w:rsidRPr="008815E9">
        <w:rPr>
          <w:rFonts w:asciiTheme="minorHAnsi" w:hAnsiTheme="minorHAnsi" w:cstheme="minorHAnsi"/>
        </w:rPr>
        <w:t>June</w:t>
      </w:r>
      <w:r w:rsidRPr="008815E9">
        <w:rPr>
          <w:rFonts w:asciiTheme="minorHAnsi" w:hAnsiTheme="minorHAnsi" w:cstheme="minorHAnsi"/>
        </w:rPr>
        <w:t xml:space="preserve"> 2024</w:t>
      </w:r>
    </w:p>
    <w:p w14:paraId="15415D08" w14:textId="77777777" w:rsidR="00A91189" w:rsidRPr="008815E9" w:rsidRDefault="00A91189" w:rsidP="00A91189">
      <w:pPr>
        <w:pStyle w:val="Heading3"/>
        <w:rPr>
          <w:rFonts w:asciiTheme="majorHAnsi" w:hAnsiTheme="majorHAnsi" w:cstheme="majorHAnsi"/>
        </w:rPr>
      </w:pPr>
      <w:r w:rsidRPr="008815E9">
        <w:rPr>
          <w:rFonts w:asciiTheme="majorHAnsi" w:eastAsia="Arial" w:hAnsiTheme="majorHAnsi" w:cstheme="majorHAnsi"/>
        </w:rPr>
        <w:t>Labour market conditions within the region</w:t>
      </w:r>
    </w:p>
    <w:p w14:paraId="57B3CCD4" w14:textId="4EE5EC90" w:rsidR="00A91189" w:rsidRPr="00E138E6" w:rsidRDefault="00A91189" w:rsidP="008815E9">
      <w:r w:rsidRPr="00E138E6">
        <w:t xml:space="preserve">Overall, labour market conditions are poor but there is considerable disparity within the Mid North Coast </w:t>
      </w:r>
      <w:r>
        <w:t>region</w:t>
      </w:r>
      <w:r w:rsidRPr="00E138E6">
        <w:t xml:space="preserve">. JSA </w:t>
      </w:r>
      <w:hyperlink r:id="rId134" w:history="1">
        <w:r w:rsidRPr="00FF6BFA">
          <w:rPr>
            <w:rStyle w:val="Hyperlink"/>
            <w:rFonts w:eastAsia="Arial" w:cs="Arial"/>
          </w:rPr>
          <w:t>Small Area Labour Market</w:t>
        </w:r>
      </w:hyperlink>
      <w:r w:rsidRPr="00E138E6">
        <w:t xml:space="preserve"> (SALM) data show that over the past five years the LGA </w:t>
      </w:r>
      <w:r w:rsidR="00680E40">
        <w:t xml:space="preserve">in the Mid North Coast Employment Region </w:t>
      </w:r>
      <w:r w:rsidRPr="00E138E6">
        <w:t xml:space="preserve">with the lowest average unemployment </w:t>
      </w:r>
      <w:r w:rsidR="009D3ED5">
        <w:t xml:space="preserve">rate </w:t>
      </w:r>
      <w:r w:rsidRPr="00E138E6">
        <w:t>was the more urbanised Port Macquarie</w:t>
      </w:r>
      <w:r w:rsidR="00230E71">
        <w:t>-Hastings</w:t>
      </w:r>
      <w:r w:rsidRPr="00E138E6">
        <w:t xml:space="preserve"> LGA</w:t>
      </w:r>
      <w:r w:rsidR="00D93485">
        <w:t xml:space="preserve"> (2</w:t>
      </w:r>
      <w:r w:rsidR="00323A00">
        <w:t>.5% in March</w:t>
      </w:r>
      <w:r w:rsidR="0085395E">
        <w:t> </w:t>
      </w:r>
      <w:r w:rsidR="00323A00">
        <w:t>2024)</w:t>
      </w:r>
      <w:r w:rsidRPr="00E138E6">
        <w:t xml:space="preserve">, with the </w:t>
      </w:r>
      <w:r w:rsidR="006D6D44">
        <w:t>Nambucca Valley</w:t>
      </w:r>
      <w:r w:rsidR="006D6D44" w:rsidRPr="00E138E6">
        <w:t xml:space="preserve"> </w:t>
      </w:r>
      <w:r w:rsidRPr="00E138E6">
        <w:t xml:space="preserve">LGA </w:t>
      </w:r>
      <w:r w:rsidR="00323A00">
        <w:t xml:space="preserve">(5.5% in March 2024) </w:t>
      </w:r>
      <w:r w:rsidR="003971D4">
        <w:t xml:space="preserve">and </w:t>
      </w:r>
      <w:r w:rsidR="006D6D44">
        <w:t>Kempsey</w:t>
      </w:r>
      <w:r w:rsidRPr="00E138E6">
        <w:t xml:space="preserve"> LGA</w:t>
      </w:r>
      <w:r w:rsidR="003971D4">
        <w:t xml:space="preserve"> (5.5% in March 2024)</w:t>
      </w:r>
      <w:r w:rsidRPr="00E138E6">
        <w:t xml:space="preserve"> generally experiencing highe</w:t>
      </w:r>
      <w:r w:rsidR="003971D4">
        <w:t>r</w:t>
      </w:r>
      <w:r w:rsidRPr="00E138E6">
        <w:t xml:space="preserve"> unemployment rates. </w:t>
      </w:r>
    </w:p>
    <w:p w14:paraId="27C5C379" w14:textId="77777777" w:rsidR="00A91189" w:rsidRPr="008815E9" w:rsidRDefault="00A91189" w:rsidP="00A91189">
      <w:pPr>
        <w:pStyle w:val="Heading3"/>
        <w:rPr>
          <w:rFonts w:asciiTheme="majorHAnsi" w:hAnsiTheme="majorHAnsi" w:cstheme="majorHAnsi"/>
        </w:rPr>
      </w:pPr>
      <w:r w:rsidRPr="008815E9">
        <w:rPr>
          <w:rFonts w:asciiTheme="majorHAnsi" w:eastAsia="Arial" w:hAnsiTheme="majorHAnsi" w:cstheme="majorHAnsi"/>
        </w:rPr>
        <w:t>Priority cohorts in the local labour market</w:t>
      </w:r>
    </w:p>
    <w:p w14:paraId="68E8C65B" w14:textId="2A471038" w:rsidR="00A91189" w:rsidRPr="00E138E6" w:rsidRDefault="00A91189" w:rsidP="008815E9">
      <w:r w:rsidRPr="00E138E6">
        <w:t xml:space="preserve">A number of cohorts in the region, including youth, mature age, Indigenous Australians, and those </w:t>
      </w:r>
      <w:r w:rsidR="00FE35CA">
        <w:t xml:space="preserve">from </w:t>
      </w:r>
      <w:r w:rsidRPr="00E138E6">
        <w:t>culturally and linguistically diverse</w:t>
      </w:r>
      <w:r w:rsidR="00FE35CA">
        <w:t xml:space="preserve"> background</w:t>
      </w:r>
      <w:r w:rsidR="00D94CE2">
        <w:t>s</w:t>
      </w:r>
      <w:r w:rsidRPr="00E138E6">
        <w:t xml:space="preserve">, continue to experience ongoing </w:t>
      </w:r>
      <w:r w:rsidR="00D94CE2">
        <w:t xml:space="preserve">relative </w:t>
      </w:r>
      <w:r w:rsidRPr="00E138E6">
        <w:t>disadvantage in the labour market. Members of these groups are more likely to be unemployed, or to seek employment in low-paid jobs and possess characteristics that may predispose them to labour market disadvantage (e.g. less experience, more time out of the labour market, lower skill levels, etc.).</w:t>
      </w:r>
    </w:p>
    <w:p w14:paraId="450E8340" w14:textId="13AF4707" w:rsidR="00A91189" w:rsidRPr="007C01BF" w:rsidRDefault="00A91189" w:rsidP="008815E9">
      <w:pPr>
        <w:rPr>
          <w:rFonts w:asciiTheme="minorHAnsi" w:hAnsiTheme="minorHAnsi" w:cstheme="minorHAnsi"/>
        </w:rPr>
      </w:pPr>
      <w:r w:rsidRPr="00E138E6">
        <w:t xml:space="preserve">The Workforce Australia </w:t>
      </w:r>
      <w:r w:rsidRPr="002A5488">
        <w:t>Local Jobs Program</w:t>
      </w:r>
      <w:r w:rsidRPr="00E138E6">
        <w:t xml:space="preserve"> supports tailored place-based approaches to accelerate reskilling, upskilling and employment pathways. The </w:t>
      </w:r>
      <w:r w:rsidRPr="002A5488">
        <w:t>Local Jobs Plan for the Mid North Coast Employment Region</w:t>
      </w:r>
      <w:r w:rsidRPr="00E138E6">
        <w:t xml:space="preserve"> identifies a number of the aforementioned cohorts as a priority and identifies ways in which the </w:t>
      </w:r>
      <w:r w:rsidR="00D94CE2">
        <w:t xml:space="preserve">Australian Government </w:t>
      </w:r>
      <w:r w:rsidRPr="00E138E6">
        <w:t>Employment Facilitator and members of the Local Jobs Taskforce are responding. This includes collaborative place-based initiatives with local stakeholders aimed at improving existing training and employment pathways and developing new ones that are better aligned to local labour market needs</w:t>
      </w:r>
      <w:r w:rsidRPr="007C01BF">
        <w:rPr>
          <w:rFonts w:asciiTheme="minorHAnsi" w:hAnsiTheme="minorHAnsi" w:cstheme="minorHAnsi"/>
        </w:rPr>
        <w:t>.</w:t>
      </w:r>
      <w:r w:rsidRPr="007C01BF">
        <w:rPr>
          <w:rStyle w:val="FootnoteReference"/>
          <w:rFonts w:asciiTheme="minorHAnsi" w:hAnsiTheme="minorHAnsi" w:cstheme="minorHAnsi"/>
        </w:rPr>
        <w:footnoteReference w:id="88"/>
      </w:r>
    </w:p>
    <w:p w14:paraId="58CE0132" w14:textId="77777777" w:rsidR="00A91189" w:rsidRPr="008815E9" w:rsidRDefault="00A91189" w:rsidP="00A91189">
      <w:pPr>
        <w:pStyle w:val="Heading3"/>
        <w:rPr>
          <w:rFonts w:asciiTheme="majorHAnsi" w:hAnsiTheme="majorHAnsi" w:cstheme="majorHAnsi"/>
        </w:rPr>
      </w:pPr>
      <w:r w:rsidRPr="008815E9">
        <w:rPr>
          <w:rFonts w:asciiTheme="majorHAnsi" w:eastAsia="Arial" w:hAnsiTheme="majorHAnsi" w:cstheme="majorHAnsi"/>
          <w:bCs/>
          <w:szCs w:val="26"/>
        </w:rPr>
        <w:t>Access to childcare is a barrier to participation in the local labour market</w:t>
      </w:r>
    </w:p>
    <w:p w14:paraId="7210B7EC" w14:textId="6EF6DB6E" w:rsidR="00A91189" w:rsidRPr="002F70BD" w:rsidRDefault="00A91189" w:rsidP="008815E9">
      <w:r w:rsidRPr="00E138E6">
        <w:t xml:space="preserve">Access to quality, accessible early childhood education and care (ECEC) in the region is a </w:t>
      </w:r>
      <w:r w:rsidR="00D94CE2">
        <w:t>major</w:t>
      </w:r>
      <w:r w:rsidRPr="00E138E6">
        <w:t xml:space="preserve"> barrier to increased workforce participation amongst parents.</w:t>
      </w:r>
      <w:r>
        <w:t xml:space="preserve"> </w:t>
      </w:r>
      <w:r w:rsidRPr="00E138E6">
        <w:t xml:space="preserve">On 18 October 2023, Regional Development Australia (RDA) issued a media release </w:t>
      </w:r>
      <w:hyperlink r:id="rId135">
        <w:r w:rsidRPr="00E138E6">
          <w:rPr>
            <w:rStyle w:val="Hyperlink"/>
            <w:rFonts w:eastAsia="Arial" w:cs="Arial"/>
            <w:color w:val="013D74"/>
          </w:rPr>
          <w:t>Mid North Coast Childcare in Crisis</w:t>
        </w:r>
      </w:hyperlink>
      <w:r w:rsidRPr="00E138E6">
        <w:t xml:space="preserve"> citing survey findings that 85% of local parent respondents want or need to work more hours but were unable to access child care. </w:t>
      </w:r>
    </w:p>
    <w:p w14:paraId="066CD3FF" w14:textId="63EA851A" w:rsidR="00A91189" w:rsidRPr="00A862C1" w:rsidRDefault="00A91189" w:rsidP="008815E9">
      <w:r w:rsidRPr="00E138E6">
        <w:t xml:space="preserve">In February 2024, local media published </w:t>
      </w:r>
      <w:r w:rsidR="007B2C20">
        <w:t>an article</w:t>
      </w:r>
      <w:r w:rsidRPr="00E138E6">
        <w:t xml:space="preserve"> which cited the RDA survey findings as well as anecdotal evidence of local parents’ difficulties accessing limited childcare places across a number of smaller, geographically dispersed facilities.</w:t>
      </w:r>
      <w:r>
        <w:rPr>
          <w:rStyle w:val="FootnoteReference"/>
          <w:rFonts w:eastAsia="Arial" w:cs="Arial"/>
        </w:rPr>
        <w:footnoteReference w:id="89"/>
      </w:r>
      <w:r w:rsidRPr="00E138E6">
        <w:t xml:space="preserve"> The </w:t>
      </w:r>
      <w:hyperlink r:id="rId136">
        <w:r w:rsidRPr="20A6F5DF">
          <w:rPr>
            <w:rStyle w:val="Hyperlink"/>
            <w:rFonts w:asciiTheme="majorHAnsi" w:eastAsia="Arial" w:hAnsiTheme="majorHAnsi" w:cstheme="majorBidi"/>
            <w:color w:val="013D74"/>
          </w:rPr>
          <w:t>Australian Competition and Consumer Commission (ACCC) Childcare Inquiry</w:t>
        </w:r>
      </w:hyperlink>
      <w:r w:rsidRPr="20A6F5DF">
        <w:rPr>
          <w:rFonts w:asciiTheme="majorHAnsi" w:hAnsiTheme="majorHAnsi" w:cstheme="majorBidi"/>
        </w:rPr>
        <w:t xml:space="preserve">  focussed on accessibility and affordability in regional, rural and remote areas where profitably and viability are key concerns and recommended governments adopt a more broad and active market stewardship role to help ensure the delivery of childcare services across the country. JSA </w:t>
      </w:r>
      <w:r w:rsidR="000546AD">
        <w:rPr>
          <w:rFonts w:asciiTheme="majorHAnsi" w:hAnsiTheme="majorHAnsi" w:cstheme="majorBidi"/>
        </w:rPr>
        <w:t xml:space="preserve">has recently completed </w:t>
      </w:r>
      <w:r w:rsidRPr="20A6F5DF">
        <w:rPr>
          <w:rFonts w:asciiTheme="majorHAnsi" w:hAnsiTheme="majorHAnsi" w:cstheme="majorBidi"/>
        </w:rPr>
        <w:t xml:space="preserve">a </w:t>
      </w:r>
      <w:hyperlink r:id="rId137">
        <w:r w:rsidRPr="20A6F5DF">
          <w:rPr>
            <w:rStyle w:val="Hyperlink"/>
            <w:rFonts w:asciiTheme="majorHAnsi" w:eastAsia="Arial" w:hAnsiTheme="majorHAnsi" w:cstheme="majorBidi"/>
            <w:color w:val="013D74"/>
          </w:rPr>
          <w:t>capacity study</w:t>
        </w:r>
      </w:hyperlink>
      <w:r w:rsidRPr="20A6F5DF">
        <w:rPr>
          <w:rFonts w:asciiTheme="majorHAnsi" w:hAnsiTheme="majorHAnsi" w:cstheme="majorBidi"/>
        </w:rPr>
        <w:t xml:space="preserve"> on the workforce needs of Australia’s ECEC sector</w:t>
      </w:r>
      <w:r w:rsidRPr="00E138E6">
        <w:t>.</w:t>
      </w:r>
      <w:r>
        <w:t xml:space="preserve"> </w:t>
      </w:r>
    </w:p>
    <w:p w14:paraId="180D8979" w14:textId="77777777" w:rsidR="00A91189" w:rsidRPr="008815E9" w:rsidRDefault="00A91189" w:rsidP="00A91189">
      <w:pPr>
        <w:pStyle w:val="Heading2"/>
        <w:rPr>
          <w:rFonts w:asciiTheme="majorHAnsi" w:hAnsiTheme="majorHAnsi" w:cstheme="majorHAnsi"/>
        </w:rPr>
      </w:pPr>
      <w:bookmarkStart w:id="88" w:name="_Toc178173749"/>
      <w:r w:rsidRPr="008815E9">
        <w:rPr>
          <w:rFonts w:asciiTheme="majorHAnsi" w:eastAsia="Arial" w:hAnsiTheme="majorHAnsi" w:cstheme="majorHAnsi"/>
          <w:bCs/>
          <w:szCs w:val="32"/>
        </w:rPr>
        <w:t>Demographic trends and the local labour market</w:t>
      </w:r>
      <w:bookmarkEnd w:id="88"/>
    </w:p>
    <w:p w14:paraId="5A5FA466" w14:textId="34D849C9" w:rsidR="00A91189" w:rsidRPr="008815E9" w:rsidRDefault="00A91189" w:rsidP="00A91189">
      <w:pPr>
        <w:pStyle w:val="Heading3"/>
        <w:rPr>
          <w:rFonts w:asciiTheme="majorHAnsi" w:hAnsiTheme="majorHAnsi" w:cstheme="majorHAnsi"/>
        </w:rPr>
      </w:pPr>
      <w:r w:rsidRPr="008815E9">
        <w:rPr>
          <w:rFonts w:asciiTheme="majorHAnsi" w:eastAsia="Arial" w:hAnsiTheme="majorHAnsi" w:cstheme="majorHAnsi"/>
          <w:bCs/>
          <w:szCs w:val="26"/>
        </w:rPr>
        <w:t>A</w:t>
      </w:r>
      <w:r w:rsidR="00792DF8" w:rsidRPr="008815E9">
        <w:rPr>
          <w:rFonts w:asciiTheme="majorHAnsi" w:eastAsia="Arial" w:hAnsiTheme="majorHAnsi" w:cstheme="majorHAnsi"/>
          <w:bCs/>
          <w:szCs w:val="26"/>
        </w:rPr>
        <w:t>n</w:t>
      </w:r>
      <w:r w:rsidRPr="008815E9">
        <w:rPr>
          <w:rFonts w:asciiTheme="majorHAnsi" w:eastAsia="Arial" w:hAnsiTheme="majorHAnsi" w:cstheme="majorHAnsi"/>
          <w:bCs/>
          <w:szCs w:val="26"/>
        </w:rPr>
        <w:t xml:space="preserve"> ageing population</w:t>
      </w:r>
    </w:p>
    <w:p w14:paraId="2232B4CC" w14:textId="1FC5904B" w:rsidR="00A91189" w:rsidRPr="00E138E6" w:rsidRDefault="00A91189" w:rsidP="005C34D6">
      <w:pPr>
        <w:keepLines/>
      </w:pPr>
      <w:r w:rsidRPr="00E138E6">
        <w:t>Like many coastal regions, the Mid North Coast has become an increasingly popular place to live. As a result, the region has experienced strong population growth in recent years. The region’s population increased by 5.5</w:t>
      </w:r>
      <w:r>
        <w:t xml:space="preserve">% </w:t>
      </w:r>
      <w:r w:rsidRPr="00E138E6">
        <w:t>over the five years to 2022, greater than the 4.6</w:t>
      </w:r>
      <w:r>
        <w:t xml:space="preserve">% </w:t>
      </w:r>
      <w:r w:rsidRPr="00E138E6">
        <w:t>recorded for non-metropolitan NSW and 4.0</w:t>
      </w:r>
      <w:r>
        <w:t xml:space="preserve">% </w:t>
      </w:r>
      <w:r w:rsidRPr="00E138E6">
        <w:t xml:space="preserve">for all of NSW </w:t>
      </w:r>
      <w:r w:rsidR="003A18C8">
        <w:t>(F</w:t>
      </w:r>
      <w:r w:rsidRPr="00226F72">
        <w:t xml:space="preserve">igure </w:t>
      </w:r>
      <w:r w:rsidR="000D562D">
        <w:t>4</w:t>
      </w:r>
      <w:r w:rsidR="00C44ECA">
        <w:t>6</w:t>
      </w:r>
      <w:r w:rsidR="003A18C8">
        <w:t>)</w:t>
      </w:r>
      <w:r w:rsidRPr="00226F72">
        <w:t>.</w:t>
      </w:r>
    </w:p>
    <w:p w14:paraId="0E4EC47D" w14:textId="354719AC" w:rsidR="00A91189" w:rsidRPr="00E138E6" w:rsidRDefault="00A91189" w:rsidP="008815E9">
      <w:r w:rsidRPr="00E138E6">
        <w:t xml:space="preserve">The region’s strong population growth in the past five years has largely been driven by </w:t>
      </w:r>
      <w:r w:rsidR="009264A8">
        <w:t>people</w:t>
      </w:r>
      <w:r w:rsidRPr="00E138E6">
        <w:t xml:space="preserve"> aged 65 years and over</w:t>
      </w:r>
      <w:r>
        <w:t xml:space="preserve">, </w:t>
      </w:r>
      <w:r w:rsidRPr="00E138E6">
        <w:t xml:space="preserve">up </w:t>
      </w:r>
      <w:r>
        <w:t xml:space="preserve">by </w:t>
      </w:r>
      <w:r w:rsidRPr="00E138E6">
        <w:t>16.3</w:t>
      </w:r>
      <w:r>
        <w:t xml:space="preserve">% compared with an increase of </w:t>
      </w:r>
      <w:r w:rsidRPr="00E138E6">
        <w:t>14.2</w:t>
      </w:r>
      <w:r>
        <w:t xml:space="preserve">% </w:t>
      </w:r>
      <w:r w:rsidRPr="00E138E6">
        <w:t>for NSW. By contrast, population growth for youth (persons aged 15</w:t>
      </w:r>
      <w:r w:rsidR="007D1B04">
        <w:t>–</w:t>
      </w:r>
      <w:r w:rsidRPr="00E138E6">
        <w:t>24) in the Mid North Coast has been negligible, up by just 0.2</w:t>
      </w:r>
      <w:r>
        <w:t xml:space="preserve">% </w:t>
      </w:r>
      <w:r w:rsidRPr="00E138E6">
        <w:t>over the five-year period. In 2022, youth comprised 9.7</w:t>
      </w:r>
      <w:r>
        <w:t xml:space="preserve">% </w:t>
      </w:r>
      <w:r w:rsidRPr="00E138E6">
        <w:t>of the region’s population, compared with 12.2</w:t>
      </w:r>
      <w:r>
        <w:t xml:space="preserve">% </w:t>
      </w:r>
      <w:r w:rsidRPr="00E138E6">
        <w:t xml:space="preserve">in NSW. </w:t>
      </w:r>
    </w:p>
    <w:p w14:paraId="4E1621A1" w14:textId="1DB28066" w:rsidR="00A91189" w:rsidRPr="008815E9" w:rsidRDefault="00A91189" w:rsidP="008815E9">
      <w:pPr>
        <w:pStyle w:val="Caption"/>
        <w:rPr>
          <w:rFonts w:asciiTheme="minorHAnsi" w:hAnsiTheme="minorHAnsi" w:cstheme="minorHAnsi"/>
          <w:szCs w:val="20"/>
        </w:rPr>
      </w:pPr>
      <w:r w:rsidRPr="008815E9">
        <w:rPr>
          <w:rFonts w:asciiTheme="minorHAnsi" w:hAnsiTheme="minorHAnsi" w:cstheme="minorHAnsi"/>
          <w:szCs w:val="20"/>
        </w:rPr>
        <w:t xml:space="preserve">Figure </w:t>
      </w:r>
      <w:r w:rsidR="00790357" w:rsidRPr="008815E9">
        <w:rPr>
          <w:rFonts w:asciiTheme="minorHAnsi" w:hAnsiTheme="minorHAnsi" w:cstheme="minorHAnsi"/>
          <w:szCs w:val="20"/>
        </w:rPr>
        <w:t>4</w:t>
      </w:r>
      <w:r w:rsidR="00C44ECA">
        <w:rPr>
          <w:rFonts w:asciiTheme="minorHAnsi" w:hAnsiTheme="minorHAnsi" w:cstheme="minorHAnsi"/>
          <w:szCs w:val="20"/>
        </w:rPr>
        <w:t>6</w:t>
      </w:r>
      <w:r w:rsidRPr="008815E9">
        <w:rPr>
          <w:rFonts w:asciiTheme="minorHAnsi" w:hAnsiTheme="minorHAnsi" w:cstheme="minorHAnsi"/>
          <w:szCs w:val="20"/>
        </w:rPr>
        <w:t>: Change in population by age (%), five years to 2022, Mid North Coast Employment Region, Non-metropolitan NSW and NSW</w:t>
      </w:r>
    </w:p>
    <w:p w14:paraId="4214F049" w14:textId="7600695C" w:rsidR="00A91189" w:rsidRDefault="00A91189" w:rsidP="00A91189">
      <w:pPr>
        <w:rPr>
          <w:noProof/>
        </w:rPr>
      </w:pPr>
      <w:r>
        <w:rPr>
          <w:noProof/>
        </w:rPr>
        <w:drawing>
          <wp:inline distT="0" distB="0" distL="0" distR="0" wp14:anchorId="7A52B7ED" wp14:editId="019BEF34">
            <wp:extent cx="5731200" cy="3314700"/>
            <wp:effectExtent l="0" t="0" r="3175" b="0"/>
            <wp:docPr id="399802095" name="Chart 1" descr="Clustered column chart of ABS regional population by age and sex data showing change in population for the five years to 2022, total population and by age cohorts (0-14, 15-24, 25-54, 55-64 and 65+ years) for Mid North Coast Employment Region, Non-metropolitan New South Wales and New South Wales.  The chart shows that Mid North Coast had stronger population growth than the other two jurisdictions, driven by particularly strong growth in the 65+ years cohort. ">
              <a:extLst xmlns:a="http://schemas.openxmlformats.org/drawingml/2006/main">
                <a:ext uri="{FF2B5EF4-FFF2-40B4-BE49-F238E27FC236}">
                  <a16:creationId xmlns:a16="http://schemas.microsoft.com/office/drawing/2014/main" id="{56E1F826-EC42-6753-8A84-6CD432CCC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3852FACF" w14:textId="41D65DAA" w:rsidR="00A91189" w:rsidRPr="00C44ECA" w:rsidRDefault="00A91189" w:rsidP="00C44ECA">
      <w:pPr>
        <w:pStyle w:val="Source"/>
        <w:rPr>
          <w:rFonts w:asciiTheme="minorHAnsi" w:hAnsiTheme="minorHAnsi" w:cstheme="minorHAnsi"/>
        </w:rPr>
      </w:pPr>
      <w:r w:rsidRPr="00C44ECA">
        <w:rPr>
          <w:rFonts w:asciiTheme="minorHAnsi" w:hAnsiTheme="minorHAnsi" w:cstheme="minorHAnsi"/>
        </w:rPr>
        <w:t xml:space="preserve">Source: ABS, </w:t>
      </w:r>
      <w:r w:rsidRPr="00901A26">
        <w:rPr>
          <w:rFonts w:asciiTheme="minorHAnsi" w:hAnsiTheme="minorHAnsi" w:cstheme="minorHAnsi"/>
          <w:i/>
          <w:iCs/>
        </w:rPr>
        <w:t>Regional Population by age and sex</w:t>
      </w:r>
      <w:r w:rsidRPr="00C44ECA">
        <w:rPr>
          <w:rFonts w:asciiTheme="minorHAnsi" w:hAnsiTheme="minorHAnsi" w:cstheme="minorHAnsi"/>
        </w:rPr>
        <w:t>, 2022</w:t>
      </w:r>
      <w:r w:rsidRPr="00C44ECA">
        <w:rPr>
          <w:rFonts w:asciiTheme="minorHAnsi" w:hAnsiTheme="minorHAnsi" w:cstheme="minorHAnsi"/>
          <w:sz w:val="20"/>
          <w:szCs w:val="20"/>
        </w:rPr>
        <w:t xml:space="preserve"> </w:t>
      </w:r>
    </w:p>
    <w:p w14:paraId="13D7C5AA" w14:textId="77777777" w:rsidR="00C408FD" w:rsidRPr="00C44ECA" w:rsidRDefault="00C408FD" w:rsidP="00C408FD">
      <w:pPr>
        <w:pStyle w:val="Heading3"/>
        <w:rPr>
          <w:rFonts w:asciiTheme="majorHAnsi" w:hAnsiTheme="majorHAnsi" w:cstheme="majorHAnsi"/>
        </w:rPr>
      </w:pPr>
      <w:r w:rsidRPr="00C44ECA">
        <w:rPr>
          <w:rFonts w:asciiTheme="majorHAnsi" w:eastAsia="Arial" w:hAnsiTheme="majorHAnsi" w:cstheme="majorHAnsi"/>
          <w:bCs/>
          <w:szCs w:val="26"/>
        </w:rPr>
        <w:t xml:space="preserve">Young people continue to leave and many who remain are disengaged </w:t>
      </w:r>
    </w:p>
    <w:p w14:paraId="487D8EB0" w14:textId="1D461F5E" w:rsidR="00C408FD" w:rsidRPr="00C408FD" w:rsidRDefault="003B7E4D" w:rsidP="00C44ECA">
      <w:r w:rsidRPr="00E138E6">
        <w:t xml:space="preserve">As in other parts of regional Australia, many young people in the Mid North Coast </w:t>
      </w:r>
      <w:r w:rsidR="007679D1" w:rsidRPr="00E138E6">
        <w:t xml:space="preserve">are </w:t>
      </w:r>
      <w:r w:rsidR="007679D1">
        <w:t>leaving</w:t>
      </w:r>
      <w:r>
        <w:t>. In many cases</w:t>
      </w:r>
      <w:r w:rsidRPr="00E138E6">
        <w:t xml:space="preserve"> </w:t>
      </w:r>
      <w:r>
        <w:t>this will be to</w:t>
      </w:r>
      <w:r w:rsidRPr="00E138E6">
        <w:t xml:space="preserve"> pursu</w:t>
      </w:r>
      <w:r>
        <w:t>e</w:t>
      </w:r>
      <w:r w:rsidRPr="00E138E6">
        <w:t xml:space="preserve"> education</w:t>
      </w:r>
      <w:r>
        <w:t xml:space="preserve">, </w:t>
      </w:r>
      <w:r w:rsidRPr="00E138E6">
        <w:t xml:space="preserve">employment </w:t>
      </w:r>
      <w:r>
        <w:t xml:space="preserve">and lifestyle </w:t>
      </w:r>
      <w:r w:rsidRPr="00E138E6">
        <w:t>opportunities</w:t>
      </w:r>
      <w:r>
        <w:t xml:space="preserve"> </w:t>
      </w:r>
      <w:r w:rsidRPr="00E138E6">
        <w:t>in capital cities</w:t>
      </w:r>
      <w:r w:rsidR="00B061B0">
        <w:t xml:space="preserve">. </w:t>
      </w:r>
      <w:r w:rsidR="00C408FD" w:rsidRPr="00E138E6">
        <w:t xml:space="preserve">In 2022, almost 1,300 </w:t>
      </w:r>
      <w:r w:rsidR="00020A83">
        <w:t>youth</w:t>
      </w:r>
      <w:r w:rsidR="00C408FD" w:rsidRPr="00E138E6">
        <w:t xml:space="preserve"> left the region for other parts of Australia, with only 370 </w:t>
      </w:r>
      <w:r w:rsidR="007A6618">
        <w:t xml:space="preserve">youth </w:t>
      </w:r>
      <w:r w:rsidR="00C408FD" w:rsidRPr="00E138E6">
        <w:t>migrating into the region from overseas</w:t>
      </w:r>
      <w:r w:rsidR="00BF4C30">
        <w:t>.</w:t>
      </w:r>
      <w:r w:rsidR="00CA5D35">
        <w:rPr>
          <w:rStyle w:val="FootnoteReference"/>
          <w:rFonts w:eastAsia="Arial" w:cs="Arial"/>
        </w:rPr>
        <w:footnoteReference w:id="90"/>
      </w:r>
    </w:p>
    <w:p w14:paraId="7E1B8673" w14:textId="2D7F3EF2" w:rsidR="00A91189" w:rsidRPr="00F02370" w:rsidRDefault="00AE36DB" w:rsidP="00C44ECA">
      <w:r>
        <w:t xml:space="preserve">Young people in the region are more likely to be </w:t>
      </w:r>
      <w:r w:rsidR="00DB303F">
        <w:t>disengaged (</w:t>
      </w:r>
      <w:r w:rsidR="008C2583">
        <w:t>neither</w:t>
      </w:r>
      <w:r w:rsidR="00DB303F">
        <w:t xml:space="preserve"> working</w:t>
      </w:r>
      <w:r w:rsidR="008C2583">
        <w:t xml:space="preserve"> nor studying</w:t>
      </w:r>
      <w:r w:rsidR="00DB303F">
        <w:t>)</w:t>
      </w:r>
      <w:r w:rsidR="00A91189" w:rsidRPr="00E138E6">
        <w:t xml:space="preserve"> </w:t>
      </w:r>
      <w:r w:rsidR="00DB303F">
        <w:t xml:space="preserve">compared with the </w:t>
      </w:r>
      <w:r w:rsidR="00082178">
        <w:t>state</w:t>
      </w:r>
      <w:r w:rsidR="00F149D8">
        <w:t xml:space="preserve"> average</w:t>
      </w:r>
      <w:r w:rsidR="00082178">
        <w:t xml:space="preserve">. </w:t>
      </w:r>
      <w:r w:rsidR="0060251F">
        <w:t xml:space="preserve">In August 2021, </w:t>
      </w:r>
      <w:r w:rsidR="00A91189" w:rsidRPr="00E138E6">
        <w:t>1</w:t>
      </w:r>
      <w:r w:rsidR="00717AC8">
        <w:t>9</w:t>
      </w:r>
      <w:r w:rsidR="00A91189">
        <w:t>%</w:t>
      </w:r>
      <w:r w:rsidR="00082178">
        <w:t xml:space="preserve"> of people</w:t>
      </w:r>
      <w:r w:rsidR="00A91189" w:rsidRPr="00E138E6">
        <w:t xml:space="preserve"> aged 18</w:t>
      </w:r>
      <w:r w:rsidR="007D1B04">
        <w:t>–</w:t>
      </w:r>
      <w:r w:rsidR="00A91189" w:rsidRPr="00E138E6">
        <w:t xml:space="preserve">24 years in the Mid North Coast were </w:t>
      </w:r>
      <w:r w:rsidR="001B505A">
        <w:t xml:space="preserve">disengaged </w:t>
      </w:r>
      <w:r w:rsidR="00082178">
        <w:t xml:space="preserve">compared with </w:t>
      </w:r>
      <w:r w:rsidR="00A91189" w:rsidRPr="00E138E6">
        <w:t>1</w:t>
      </w:r>
      <w:r w:rsidR="00717AC8">
        <w:t>3</w:t>
      </w:r>
      <w:r w:rsidR="00A91189">
        <w:t>%</w:t>
      </w:r>
      <w:r w:rsidR="00082178">
        <w:t xml:space="preserve"> for N</w:t>
      </w:r>
      <w:r w:rsidR="001B505A">
        <w:t>ew South Wales</w:t>
      </w:r>
      <w:r w:rsidR="00A91189" w:rsidRPr="00E138E6">
        <w:t xml:space="preserve"> </w:t>
      </w:r>
      <w:r w:rsidR="00F66533" w:rsidRPr="00C51BD6">
        <w:t>(</w:t>
      </w:r>
      <w:r w:rsidR="00FC197C" w:rsidRPr="00C51BD6">
        <w:t>T</w:t>
      </w:r>
      <w:r w:rsidR="00F66533" w:rsidRPr="00C51BD6">
        <w:t xml:space="preserve">able </w:t>
      </w:r>
      <w:r w:rsidR="00790357" w:rsidRPr="00C51BD6">
        <w:t>1</w:t>
      </w:r>
      <w:r w:rsidR="00C51BD6" w:rsidRPr="00C51BD6">
        <w:t>4</w:t>
      </w:r>
      <w:r w:rsidR="00F66533" w:rsidRPr="00C51BD6">
        <w:t>)</w:t>
      </w:r>
      <w:r w:rsidR="00170ABF">
        <w:t>, with</w:t>
      </w:r>
      <w:r w:rsidR="00082178">
        <w:t xml:space="preserve"> </w:t>
      </w:r>
      <w:r w:rsidR="00A91189" w:rsidRPr="00E138E6">
        <w:t>males were more likely to be disengaged than females</w:t>
      </w:r>
      <w:r w:rsidR="00237BC2">
        <w:t>. That said,</w:t>
      </w:r>
      <w:r w:rsidR="00A91189" w:rsidRPr="00E138E6">
        <w:t xml:space="preserve"> disengaged females were less likely than disengaged males to be looking for work. </w:t>
      </w:r>
    </w:p>
    <w:p w14:paraId="0101E09E" w14:textId="30A4044E" w:rsidR="00A91189" w:rsidRPr="00C44ECA" w:rsidRDefault="00A91189" w:rsidP="00C44ECA">
      <w:pPr>
        <w:pStyle w:val="Caption"/>
        <w:rPr>
          <w:rFonts w:asciiTheme="minorHAnsi" w:hAnsiTheme="minorHAnsi" w:cstheme="minorHAnsi"/>
          <w:szCs w:val="20"/>
        </w:rPr>
      </w:pPr>
      <w:r w:rsidRPr="00C44ECA">
        <w:rPr>
          <w:rFonts w:asciiTheme="minorHAnsi" w:hAnsiTheme="minorHAnsi" w:cstheme="minorHAnsi"/>
          <w:szCs w:val="20"/>
        </w:rPr>
        <w:t>Table</w:t>
      </w:r>
      <w:r w:rsidR="00790357" w:rsidRPr="00C44ECA">
        <w:rPr>
          <w:rFonts w:asciiTheme="minorHAnsi" w:hAnsiTheme="minorHAnsi" w:cstheme="minorHAnsi"/>
          <w:szCs w:val="20"/>
        </w:rPr>
        <w:t xml:space="preserve"> 1</w:t>
      </w:r>
      <w:r w:rsidR="00C51BD6" w:rsidRPr="00C44ECA">
        <w:rPr>
          <w:rFonts w:asciiTheme="minorHAnsi" w:hAnsiTheme="minorHAnsi" w:cstheme="minorHAnsi"/>
          <w:szCs w:val="20"/>
        </w:rPr>
        <w:t>4</w:t>
      </w:r>
      <w:r w:rsidRPr="00C44ECA">
        <w:rPr>
          <w:rFonts w:asciiTheme="minorHAnsi" w:hAnsiTheme="minorHAnsi" w:cstheme="minorHAnsi"/>
          <w:szCs w:val="20"/>
        </w:rPr>
        <w:t>: Disengaged youth (18</w:t>
      </w:r>
      <w:r w:rsidR="007D1B04">
        <w:rPr>
          <w:rFonts w:asciiTheme="minorHAnsi" w:hAnsiTheme="minorHAnsi" w:cstheme="minorHAnsi"/>
          <w:szCs w:val="20"/>
        </w:rPr>
        <w:t>–</w:t>
      </w:r>
      <w:r w:rsidRPr="00C44ECA">
        <w:rPr>
          <w:rFonts w:asciiTheme="minorHAnsi" w:hAnsiTheme="minorHAnsi" w:cstheme="minorHAnsi"/>
          <w:szCs w:val="20"/>
        </w:rPr>
        <w:t>24 years) - Mid North Coast E</w:t>
      </w:r>
      <w:r w:rsidR="005C723C" w:rsidRPr="00C44ECA">
        <w:rPr>
          <w:rFonts w:asciiTheme="minorHAnsi" w:hAnsiTheme="minorHAnsi" w:cstheme="minorHAnsi"/>
          <w:szCs w:val="20"/>
        </w:rPr>
        <w:t xml:space="preserve">mployment </w:t>
      </w:r>
      <w:r w:rsidRPr="00C44ECA">
        <w:rPr>
          <w:rFonts w:asciiTheme="minorHAnsi" w:hAnsiTheme="minorHAnsi" w:cstheme="minorHAnsi"/>
          <w:szCs w:val="20"/>
        </w:rPr>
        <w:t>R</w:t>
      </w:r>
      <w:r w:rsidR="005C723C" w:rsidRPr="00C44ECA">
        <w:rPr>
          <w:rFonts w:asciiTheme="minorHAnsi" w:hAnsiTheme="minorHAnsi" w:cstheme="minorHAnsi"/>
          <w:szCs w:val="20"/>
        </w:rPr>
        <w:t>egion</w:t>
      </w:r>
      <w:r w:rsidRPr="00C44ECA">
        <w:rPr>
          <w:rFonts w:asciiTheme="minorHAnsi" w:hAnsiTheme="minorHAnsi" w:cstheme="minorHAnsi"/>
          <w:szCs w:val="20"/>
        </w:rPr>
        <w:t xml:space="preserve"> </w:t>
      </w:r>
      <w:r w:rsidR="000C3ED5" w:rsidRPr="00C44ECA">
        <w:rPr>
          <w:rFonts w:asciiTheme="minorHAnsi" w:hAnsiTheme="minorHAnsi" w:cstheme="minorHAnsi"/>
          <w:szCs w:val="20"/>
        </w:rPr>
        <w:t xml:space="preserve">and </w:t>
      </w:r>
      <w:r w:rsidRPr="00C44ECA">
        <w:rPr>
          <w:rFonts w:asciiTheme="minorHAnsi" w:hAnsiTheme="minorHAnsi" w:cstheme="minorHAnsi"/>
          <w:szCs w:val="20"/>
        </w:rPr>
        <w:t>NSW</w:t>
      </w:r>
    </w:p>
    <w:tbl>
      <w:tblPr>
        <w:tblStyle w:val="JSATable1"/>
        <w:tblW w:w="8931" w:type="dxa"/>
        <w:tblLook w:val="04A0" w:firstRow="1" w:lastRow="0" w:firstColumn="1" w:lastColumn="0" w:noHBand="0" w:noVBand="1"/>
      </w:tblPr>
      <w:tblGrid>
        <w:gridCol w:w="1640"/>
        <w:gridCol w:w="1215"/>
        <w:gridCol w:w="1215"/>
        <w:gridCol w:w="1215"/>
        <w:gridCol w:w="1215"/>
        <w:gridCol w:w="1215"/>
        <w:gridCol w:w="1216"/>
      </w:tblGrid>
      <w:tr w:rsidR="00AB08B6" w:rsidRPr="009F096A" w14:paraId="7C6F9C5F" w14:textId="77777777" w:rsidTr="00AB08B6">
        <w:trPr>
          <w:cnfStyle w:val="100000000000" w:firstRow="1" w:lastRow="0" w:firstColumn="0" w:lastColumn="0" w:oddVBand="0" w:evenVBand="0" w:oddHBand="0" w:evenHBand="0" w:firstRowFirstColumn="0" w:firstRowLastColumn="0" w:lastRowFirstColumn="0" w:lastRowLastColumn="0"/>
          <w:trHeight w:val="765"/>
        </w:trPr>
        <w:tc>
          <w:tcPr>
            <w:tcW w:w="1640" w:type="dxa"/>
            <w:hideMark/>
          </w:tcPr>
          <w:p w14:paraId="4012C42C" w14:textId="2CB879AE" w:rsidR="00AB08B6" w:rsidRPr="009F096A" w:rsidRDefault="00AB08B6">
            <w:pPr>
              <w:jc w:val="center"/>
              <w:rPr>
                <w:rFonts w:eastAsia="Times New Roman" w:cs="Arial"/>
                <w:b/>
                <w:bCs/>
                <w:sz w:val="20"/>
                <w:szCs w:val="20"/>
              </w:rPr>
            </w:pPr>
          </w:p>
        </w:tc>
        <w:tc>
          <w:tcPr>
            <w:tcW w:w="2430" w:type="dxa"/>
            <w:gridSpan w:val="2"/>
            <w:hideMark/>
          </w:tcPr>
          <w:p w14:paraId="2AFC9D5C" w14:textId="77777777" w:rsidR="00AB08B6" w:rsidRPr="009F096A" w:rsidRDefault="00AB08B6" w:rsidP="00557C2D">
            <w:pPr>
              <w:jc w:val="center"/>
            </w:pPr>
            <w:r w:rsidRPr="009F096A">
              <w:t>Not studying and not working</w:t>
            </w:r>
            <w:r w:rsidRPr="009F096A">
              <w:br/>
              <w:t xml:space="preserve"> (looking for work)</w:t>
            </w:r>
          </w:p>
        </w:tc>
        <w:tc>
          <w:tcPr>
            <w:tcW w:w="2430" w:type="dxa"/>
            <w:gridSpan w:val="2"/>
            <w:hideMark/>
          </w:tcPr>
          <w:p w14:paraId="382D9B67" w14:textId="77777777" w:rsidR="00AB08B6" w:rsidRPr="009F096A" w:rsidRDefault="00AB08B6" w:rsidP="00557C2D">
            <w:pPr>
              <w:jc w:val="center"/>
            </w:pPr>
            <w:r w:rsidRPr="009F096A">
              <w:t xml:space="preserve">Not studying and not working </w:t>
            </w:r>
            <w:r w:rsidRPr="009F096A">
              <w:br/>
              <w:t>(not looking for work)</w:t>
            </w:r>
          </w:p>
        </w:tc>
        <w:tc>
          <w:tcPr>
            <w:tcW w:w="2431" w:type="dxa"/>
            <w:gridSpan w:val="2"/>
            <w:hideMark/>
          </w:tcPr>
          <w:p w14:paraId="48AF951C" w14:textId="77777777" w:rsidR="00AB08B6" w:rsidRPr="009F096A" w:rsidRDefault="00AB08B6" w:rsidP="00557C2D">
            <w:pPr>
              <w:jc w:val="center"/>
            </w:pPr>
            <w:r w:rsidRPr="009F096A">
              <w:t xml:space="preserve">Not studying and not working </w:t>
            </w:r>
            <w:r w:rsidRPr="009F096A">
              <w:br/>
              <w:t>(all disengaged)</w:t>
            </w:r>
          </w:p>
        </w:tc>
      </w:tr>
      <w:tr w:rsidR="00AB08B6" w:rsidRPr="009F096A" w14:paraId="4D3272D2" w14:textId="77777777">
        <w:trPr>
          <w:trHeight w:val="280"/>
        </w:trPr>
        <w:tc>
          <w:tcPr>
            <w:tcW w:w="8931" w:type="dxa"/>
            <w:gridSpan w:val="7"/>
          </w:tcPr>
          <w:p w14:paraId="6BB9AD18" w14:textId="0A4F063F" w:rsidR="00AB08B6" w:rsidRPr="00557C2D" w:rsidRDefault="00AB08B6" w:rsidP="00557C2D">
            <w:pPr>
              <w:jc w:val="center"/>
              <w:rPr>
                <w:b/>
                <w:bCs/>
              </w:rPr>
            </w:pPr>
            <w:r w:rsidRPr="00557C2D">
              <w:rPr>
                <w:b/>
                <w:bCs/>
              </w:rPr>
              <w:t>Mid North Coast</w:t>
            </w:r>
          </w:p>
        </w:tc>
      </w:tr>
      <w:tr w:rsidR="005C5333" w:rsidRPr="009F096A" w14:paraId="44F74E64" w14:textId="77777777" w:rsidTr="00AB08B6">
        <w:trPr>
          <w:cnfStyle w:val="000000010000" w:firstRow="0" w:lastRow="0" w:firstColumn="0" w:lastColumn="0" w:oddVBand="0" w:evenVBand="0" w:oddHBand="0" w:evenHBand="1" w:firstRowFirstColumn="0" w:firstRowLastColumn="0" w:lastRowFirstColumn="0" w:lastRowLastColumn="0"/>
          <w:trHeight w:val="280"/>
        </w:trPr>
        <w:tc>
          <w:tcPr>
            <w:tcW w:w="1640" w:type="dxa"/>
            <w:hideMark/>
          </w:tcPr>
          <w:p w14:paraId="60CED515" w14:textId="098C6B1B" w:rsidR="00AB08B6" w:rsidRPr="009F096A" w:rsidRDefault="00AB08B6" w:rsidP="003D070F">
            <w:r w:rsidRPr="009F096A">
              <w:t xml:space="preserve">Males </w:t>
            </w:r>
          </w:p>
        </w:tc>
        <w:tc>
          <w:tcPr>
            <w:tcW w:w="1215" w:type="dxa"/>
            <w:vAlign w:val="center"/>
            <w:hideMark/>
          </w:tcPr>
          <w:p w14:paraId="79D1681B" w14:textId="516DA77A" w:rsidR="00AB08B6" w:rsidRPr="009F096A" w:rsidRDefault="0056043C" w:rsidP="00557C2D">
            <w:pPr>
              <w:jc w:val="right"/>
            </w:pPr>
            <w:r>
              <w:t>828</w:t>
            </w:r>
          </w:p>
        </w:tc>
        <w:tc>
          <w:tcPr>
            <w:tcW w:w="1215" w:type="dxa"/>
            <w:vAlign w:val="center"/>
            <w:hideMark/>
          </w:tcPr>
          <w:p w14:paraId="7193E012" w14:textId="2149B3A3" w:rsidR="00AB08B6" w:rsidRPr="009F096A" w:rsidRDefault="00A018CE" w:rsidP="00557C2D">
            <w:pPr>
              <w:jc w:val="right"/>
            </w:pPr>
            <w:r>
              <w:t>8</w:t>
            </w:r>
            <w:r w:rsidR="00AB08B6" w:rsidRPr="009F096A">
              <w:t>%</w:t>
            </w:r>
          </w:p>
        </w:tc>
        <w:tc>
          <w:tcPr>
            <w:tcW w:w="1215" w:type="dxa"/>
            <w:vAlign w:val="center"/>
            <w:hideMark/>
          </w:tcPr>
          <w:p w14:paraId="510813F1" w14:textId="76BED373" w:rsidR="00AB08B6" w:rsidRPr="009F096A" w:rsidRDefault="00AB08B6" w:rsidP="00557C2D">
            <w:pPr>
              <w:jc w:val="right"/>
            </w:pPr>
            <w:r w:rsidRPr="009F096A">
              <w:t>1,</w:t>
            </w:r>
            <w:r w:rsidR="0056043C">
              <w:t>293</w:t>
            </w:r>
          </w:p>
        </w:tc>
        <w:tc>
          <w:tcPr>
            <w:tcW w:w="1215" w:type="dxa"/>
            <w:vAlign w:val="center"/>
            <w:hideMark/>
          </w:tcPr>
          <w:p w14:paraId="3DF1D2B4" w14:textId="1F35E167" w:rsidR="00AB08B6" w:rsidRPr="009F096A" w:rsidRDefault="00A91189" w:rsidP="00557C2D">
            <w:pPr>
              <w:jc w:val="right"/>
            </w:pPr>
            <w:r w:rsidRPr="009F096A">
              <w:t>1</w:t>
            </w:r>
            <w:r w:rsidR="004744D1">
              <w:t>2</w:t>
            </w:r>
            <w:r w:rsidRPr="009F096A">
              <w:t>%</w:t>
            </w:r>
          </w:p>
        </w:tc>
        <w:tc>
          <w:tcPr>
            <w:tcW w:w="1215" w:type="dxa"/>
            <w:vAlign w:val="center"/>
            <w:hideMark/>
          </w:tcPr>
          <w:p w14:paraId="012D082E" w14:textId="11C2E4B5" w:rsidR="00AB08B6" w:rsidRPr="009F096A" w:rsidRDefault="006060FF" w:rsidP="00557C2D">
            <w:pPr>
              <w:jc w:val="right"/>
            </w:pPr>
            <w:r>
              <w:t>2</w:t>
            </w:r>
            <w:r w:rsidR="00DA5B4C">
              <w:t>,</w:t>
            </w:r>
            <w:r>
              <w:t>121</w:t>
            </w:r>
          </w:p>
        </w:tc>
        <w:tc>
          <w:tcPr>
            <w:tcW w:w="1216" w:type="dxa"/>
            <w:vAlign w:val="center"/>
            <w:hideMark/>
          </w:tcPr>
          <w:p w14:paraId="379F7672" w14:textId="47D24859" w:rsidR="00AB08B6" w:rsidRPr="009F096A" w:rsidRDefault="004744D1" w:rsidP="00557C2D">
            <w:pPr>
              <w:jc w:val="right"/>
            </w:pPr>
            <w:r>
              <w:t>20</w:t>
            </w:r>
            <w:r w:rsidR="00A91189" w:rsidRPr="009F096A">
              <w:t>%</w:t>
            </w:r>
          </w:p>
        </w:tc>
      </w:tr>
      <w:tr w:rsidR="005C5333" w:rsidRPr="009F096A" w14:paraId="0D6914AB" w14:textId="77777777" w:rsidTr="00AB08B6">
        <w:trPr>
          <w:trHeight w:val="280"/>
        </w:trPr>
        <w:tc>
          <w:tcPr>
            <w:tcW w:w="1640" w:type="dxa"/>
            <w:hideMark/>
          </w:tcPr>
          <w:p w14:paraId="5E873130" w14:textId="6AF5ABEB" w:rsidR="00AB08B6" w:rsidRPr="009F096A" w:rsidRDefault="00AB08B6" w:rsidP="003D070F">
            <w:r w:rsidRPr="009F096A">
              <w:t xml:space="preserve">Females </w:t>
            </w:r>
          </w:p>
        </w:tc>
        <w:tc>
          <w:tcPr>
            <w:tcW w:w="1215" w:type="dxa"/>
            <w:vAlign w:val="center"/>
            <w:hideMark/>
          </w:tcPr>
          <w:p w14:paraId="0376D6A2" w14:textId="7CCCA607" w:rsidR="00AB08B6" w:rsidRPr="009F096A" w:rsidRDefault="0056043C" w:rsidP="00557C2D">
            <w:pPr>
              <w:jc w:val="right"/>
            </w:pPr>
            <w:r>
              <w:t>457</w:t>
            </w:r>
          </w:p>
        </w:tc>
        <w:tc>
          <w:tcPr>
            <w:tcW w:w="1215" w:type="dxa"/>
            <w:vAlign w:val="center"/>
            <w:hideMark/>
          </w:tcPr>
          <w:p w14:paraId="0114B050" w14:textId="1792F2FF" w:rsidR="00AB08B6" w:rsidRPr="009F096A" w:rsidRDefault="00AB08B6" w:rsidP="00557C2D">
            <w:pPr>
              <w:jc w:val="right"/>
            </w:pPr>
            <w:r w:rsidRPr="009F096A">
              <w:t>4%</w:t>
            </w:r>
          </w:p>
        </w:tc>
        <w:tc>
          <w:tcPr>
            <w:tcW w:w="1215" w:type="dxa"/>
            <w:vAlign w:val="center"/>
            <w:hideMark/>
          </w:tcPr>
          <w:p w14:paraId="11BCAE07" w14:textId="520A562D" w:rsidR="00AB08B6" w:rsidRPr="009F096A" w:rsidRDefault="00AB08B6" w:rsidP="00557C2D">
            <w:pPr>
              <w:jc w:val="right"/>
            </w:pPr>
            <w:r w:rsidRPr="009F096A">
              <w:t>1,</w:t>
            </w:r>
            <w:r w:rsidR="0056043C">
              <w:t>333</w:t>
            </w:r>
          </w:p>
        </w:tc>
        <w:tc>
          <w:tcPr>
            <w:tcW w:w="1215" w:type="dxa"/>
            <w:vAlign w:val="center"/>
            <w:hideMark/>
          </w:tcPr>
          <w:p w14:paraId="0E6D0888" w14:textId="7198CB18" w:rsidR="00AB08B6" w:rsidRPr="009F096A" w:rsidRDefault="00AB08B6" w:rsidP="00557C2D">
            <w:pPr>
              <w:jc w:val="right"/>
            </w:pPr>
            <w:r w:rsidRPr="009F096A">
              <w:t>1</w:t>
            </w:r>
            <w:r w:rsidR="0056043C">
              <w:t>3</w:t>
            </w:r>
            <w:r w:rsidRPr="009F096A">
              <w:t>%</w:t>
            </w:r>
          </w:p>
        </w:tc>
        <w:tc>
          <w:tcPr>
            <w:tcW w:w="1215" w:type="dxa"/>
            <w:vAlign w:val="center"/>
            <w:hideMark/>
          </w:tcPr>
          <w:p w14:paraId="07ECFB0D" w14:textId="0DB45441" w:rsidR="00AB08B6" w:rsidRPr="009F096A" w:rsidRDefault="00AB08B6" w:rsidP="00557C2D">
            <w:pPr>
              <w:jc w:val="right"/>
            </w:pPr>
            <w:r w:rsidRPr="009F096A">
              <w:t>1,</w:t>
            </w:r>
            <w:r w:rsidR="006060FF">
              <w:t>7</w:t>
            </w:r>
            <w:r w:rsidRPr="009F096A">
              <w:t>90</w:t>
            </w:r>
          </w:p>
        </w:tc>
        <w:tc>
          <w:tcPr>
            <w:tcW w:w="1216" w:type="dxa"/>
            <w:vAlign w:val="center"/>
            <w:hideMark/>
          </w:tcPr>
          <w:p w14:paraId="2967CEF2" w14:textId="268E77DE" w:rsidR="00AB08B6" w:rsidRPr="009F096A" w:rsidRDefault="00A91189" w:rsidP="00557C2D">
            <w:pPr>
              <w:jc w:val="right"/>
            </w:pPr>
            <w:r w:rsidRPr="009F096A">
              <w:t>1</w:t>
            </w:r>
            <w:r w:rsidR="004744D1">
              <w:t>7</w:t>
            </w:r>
            <w:r w:rsidRPr="009F096A">
              <w:t>%</w:t>
            </w:r>
          </w:p>
        </w:tc>
      </w:tr>
      <w:tr w:rsidR="005C5333" w:rsidRPr="009F096A" w14:paraId="6ECEF29C" w14:textId="77777777" w:rsidTr="00AB08B6">
        <w:trPr>
          <w:cnfStyle w:val="000000010000" w:firstRow="0" w:lastRow="0" w:firstColumn="0" w:lastColumn="0" w:oddVBand="0" w:evenVBand="0" w:oddHBand="0" w:evenHBand="1" w:firstRowFirstColumn="0" w:firstRowLastColumn="0" w:lastRowFirstColumn="0" w:lastRowLastColumn="0"/>
          <w:trHeight w:val="280"/>
        </w:trPr>
        <w:tc>
          <w:tcPr>
            <w:tcW w:w="1640" w:type="dxa"/>
            <w:hideMark/>
          </w:tcPr>
          <w:p w14:paraId="134AA307" w14:textId="6DD150A7" w:rsidR="00AB08B6" w:rsidRPr="009F096A" w:rsidRDefault="00AB08B6" w:rsidP="003D070F">
            <w:r w:rsidRPr="009F096A">
              <w:t xml:space="preserve">Persons </w:t>
            </w:r>
          </w:p>
        </w:tc>
        <w:tc>
          <w:tcPr>
            <w:tcW w:w="1215" w:type="dxa"/>
            <w:vAlign w:val="center"/>
            <w:hideMark/>
          </w:tcPr>
          <w:p w14:paraId="315CF688" w14:textId="5A10F0E4" w:rsidR="00AB08B6" w:rsidRPr="009F096A" w:rsidRDefault="0056043C" w:rsidP="00557C2D">
            <w:pPr>
              <w:jc w:val="right"/>
            </w:pPr>
            <w:r>
              <w:t>1</w:t>
            </w:r>
            <w:r w:rsidR="00DA5B4C">
              <w:t>,</w:t>
            </w:r>
            <w:r>
              <w:t>285</w:t>
            </w:r>
          </w:p>
        </w:tc>
        <w:tc>
          <w:tcPr>
            <w:tcW w:w="1215" w:type="dxa"/>
            <w:vAlign w:val="center"/>
            <w:hideMark/>
          </w:tcPr>
          <w:p w14:paraId="566A9D54" w14:textId="191C8549" w:rsidR="00AB08B6" w:rsidRPr="009F096A" w:rsidRDefault="00AB08B6" w:rsidP="00557C2D">
            <w:pPr>
              <w:jc w:val="right"/>
            </w:pPr>
            <w:r w:rsidRPr="009F096A">
              <w:t>6%</w:t>
            </w:r>
          </w:p>
        </w:tc>
        <w:tc>
          <w:tcPr>
            <w:tcW w:w="1215" w:type="dxa"/>
            <w:vAlign w:val="center"/>
            <w:hideMark/>
          </w:tcPr>
          <w:p w14:paraId="53228082" w14:textId="56F64C45" w:rsidR="00AB08B6" w:rsidRPr="009F096A" w:rsidRDefault="00AB08B6" w:rsidP="00557C2D">
            <w:pPr>
              <w:jc w:val="right"/>
            </w:pPr>
            <w:r w:rsidRPr="009F096A">
              <w:t>2,</w:t>
            </w:r>
            <w:r w:rsidR="0056043C">
              <w:t>626</w:t>
            </w:r>
          </w:p>
        </w:tc>
        <w:tc>
          <w:tcPr>
            <w:tcW w:w="1215" w:type="dxa"/>
            <w:vAlign w:val="center"/>
            <w:hideMark/>
          </w:tcPr>
          <w:p w14:paraId="6DA8ED6A" w14:textId="5A317E3E" w:rsidR="00AB08B6" w:rsidRPr="009F096A" w:rsidRDefault="00AB08B6" w:rsidP="00557C2D">
            <w:pPr>
              <w:jc w:val="right"/>
            </w:pPr>
            <w:r w:rsidRPr="009F096A">
              <w:t>12%</w:t>
            </w:r>
          </w:p>
        </w:tc>
        <w:tc>
          <w:tcPr>
            <w:tcW w:w="1215" w:type="dxa"/>
            <w:vAlign w:val="center"/>
            <w:hideMark/>
          </w:tcPr>
          <w:p w14:paraId="04A8F4D2" w14:textId="353F71B2" w:rsidR="00AB08B6" w:rsidRPr="009F096A" w:rsidRDefault="00AB08B6" w:rsidP="00557C2D">
            <w:pPr>
              <w:jc w:val="right"/>
            </w:pPr>
            <w:r w:rsidRPr="009F096A">
              <w:t>3,</w:t>
            </w:r>
            <w:r w:rsidR="006060FF">
              <w:t>9</w:t>
            </w:r>
            <w:r w:rsidRPr="009F096A">
              <w:t>1</w:t>
            </w:r>
            <w:r w:rsidR="006060FF">
              <w:t>1</w:t>
            </w:r>
          </w:p>
        </w:tc>
        <w:tc>
          <w:tcPr>
            <w:tcW w:w="1216" w:type="dxa"/>
            <w:vAlign w:val="center"/>
            <w:hideMark/>
          </w:tcPr>
          <w:p w14:paraId="60C4D2C3" w14:textId="5DF98ACF" w:rsidR="00AB08B6" w:rsidRPr="009F096A" w:rsidRDefault="00AB08B6" w:rsidP="00557C2D">
            <w:pPr>
              <w:jc w:val="right"/>
            </w:pPr>
            <w:r w:rsidRPr="009F096A">
              <w:t>1</w:t>
            </w:r>
            <w:r w:rsidR="00530E43">
              <w:t>9</w:t>
            </w:r>
            <w:r w:rsidRPr="009F096A">
              <w:t>%</w:t>
            </w:r>
          </w:p>
        </w:tc>
      </w:tr>
      <w:tr w:rsidR="00AB08B6" w:rsidRPr="009F096A" w14:paraId="5B2853AC" w14:textId="77777777">
        <w:trPr>
          <w:trHeight w:val="280"/>
        </w:trPr>
        <w:tc>
          <w:tcPr>
            <w:tcW w:w="8931" w:type="dxa"/>
            <w:gridSpan w:val="7"/>
          </w:tcPr>
          <w:p w14:paraId="55954942" w14:textId="6A057FA0" w:rsidR="00AB08B6" w:rsidRPr="00557C2D" w:rsidRDefault="00AB08B6" w:rsidP="00557C2D">
            <w:pPr>
              <w:jc w:val="center"/>
              <w:rPr>
                <w:b/>
                <w:bCs/>
              </w:rPr>
            </w:pPr>
            <w:r w:rsidRPr="00557C2D">
              <w:rPr>
                <w:b/>
                <w:bCs/>
              </w:rPr>
              <w:t>New South Wales</w:t>
            </w:r>
          </w:p>
        </w:tc>
      </w:tr>
      <w:tr w:rsidR="005C5333" w:rsidRPr="009F096A" w14:paraId="064B32C2" w14:textId="77777777" w:rsidTr="0000685F">
        <w:trPr>
          <w:cnfStyle w:val="000000010000" w:firstRow="0" w:lastRow="0" w:firstColumn="0" w:lastColumn="0" w:oddVBand="0" w:evenVBand="0" w:oddHBand="0" w:evenHBand="1" w:firstRowFirstColumn="0" w:firstRowLastColumn="0" w:lastRowFirstColumn="0" w:lastRowLastColumn="0"/>
          <w:trHeight w:val="280"/>
        </w:trPr>
        <w:tc>
          <w:tcPr>
            <w:tcW w:w="1640" w:type="dxa"/>
            <w:hideMark/>
          </w:tcPr>
          <w:p w14:paraId="143E5059" w14:textId="056E7295" w:rsidR="00AB08B6" w:rsidRPr="009F096A" w:rsidRDefault="00AB08B6" w:rsidP="003D070F">
            <w:r w:rsidRPr="009F096A">
              <w:t>Males</w:t>
            </w:r>
          </w:p>
        </w:tc>
        <w:tc>
          <w:tcPr>
            <w:tcW w:w="1215" w:type="dxa"/>
            <w:vAlign w:val="center"/>
            <w:hideMark/>
          </w:tcPr>
          <w:p w14:paraId="359D1B9B" w14:textId="77777777" w:rsidR="00AB08B6" w:rsidRPr="009F096A" w:rsidRDefault="00AB08B6" w:rsidP="00557C2D">
            <w:pPr>
              <w:jc w:val="right"/>
            </w:pPr>
            <w:r w:rsidRPr="009F096A">
              <w:t>13,553</w:t>
            </w:r>
          </w:p>
        </w:tc>
        <w:tc>
          <w:tcPr>
            <w:tcW w:w="1215" w:type="dxa"/>
            <w:vAlign w:val="center"/>
            <w:hideMark/>
          </w:tcPr>
          <w:p w14:paraId="6738E8C4" w14:textId="78E38606" w:rsidR="00AB08B6" w:rsidRPr="009F096A" w:rsidRDefault="00AB08B6" w:rsidP="00557C2D">
            <w:pPr>
              <w:jc w:val="right"/>
            </w:pPr>
            <w:r w:rsidRPr="009F096A">
              <w:t>4%</w:t>
            </w:r>
          </w:p>
        </w:tc>
        <w:tc>
          <w:tcPr>
            <w:tcW w:w="1215" w:type="dxa"/>
            <w:vAlign w:val="center"/>
            <w:hideMark/>
          </w:tcPr>
          <w:p w14:paraId="0D4690C8" w14:textId="77777777" w:rsidR="00AB08B6" w:rsidRPr="009F096A" w:rsidRDefault="00AB08B6" w:rsidP="00557C2D">
            <w:pPr>
              <w:jc w:val="right"/>
            </w:pPr>
            <w:r w:rsidRPr="009F096A">
              <w:t>31,581</w:t>
            </w:r>
          </w:p>
        </w:tc>
        <w:tc>
          <w:tcPr>
            <w:tcW w:w="1215" w:type="dxa"/>
            <w:vAlign w:val="center"/>
            <w:hideMark/>
          </w:tcPr>
          <w:p w14:paraId="672CF982" w14:textId="7B521459" w:rsidR="00AB08B6" w:rsidRPr="009F096A" w:rsidRDefault="004744D1" w:rsidP="00557C2D">
            <w:pPr>
              <w:jc w:val="right"/>
            </w:pPr>
            <w:r>
              <w:t>10</w:t>
            </w:r>
            <w:r w:rsidR="00AB08B6" w:rsidRPr="009F096A">
              <w:t>%</w:t>
            </w:r>
          </w:p>
        </w:tc>
        <w:tc>
          <w:tcPr>
            <w:tcW w:w="1215" w:type="dxa"/>
            <w:vAlign w:val="center"/>
            <w:hideMark/>
          </w:tcPr>
          <w:p w14:paraId="436CDA8D" w14:textId="77777777" w:rsidR="00AB08B6" w:rsidRPr="009F096A" w:rsidRDefault="00AB08B6" w:rsidP="00557C2D">
            <w:pPr>
              <w:jc w:val="right"/>
            </w:pPr>
            <w:r w:rsidRPr="009F096A">
              <w:t>45,134</w:t>
            </w:r>
          </w:p>
        </w:tc>
        <w:tc>
          <w:tcPr>
            <w:tcW w:w="1216" w:type="dxa"/>
            <w:vAlign w:val="center"/>
            <w:hideMark/>
          </w:tcPr>
          <w:p w14:paraId="42092365" w14:textId="44E7911F" w:rsidR="00AB08B6" w:rsidRPr="009F096A" w:rsidRDefault="00AB08B6" w:rsidP="00557C2D">
            <w:pPr>
              <w:jc w:val="right"/>
            </w:pPr>
            <w:r w:rsidRPr="009F096A">
              <w:t>14%</w:t>
            </w:r>
          </w:p>
        </w:tc>
      </w:tr>
      <w:tr w:rsidR="005C5333" w:rsidRPr="009F096A" w14:paraId="3A797658" w14:textId="77777777" w:rsidTr="0000685F">
        <w:trPr>
          <w:trHeight w:val="280"/>
        </w:trPr>
        <w:tc>
          <w:tcPr>
            <w:tcW w:w="1640" w:type="dxa"/>
            <w:hideMark/>
          </w:tcPr>
          <w:p w14:paraId="0DE7022A" w14:textId="792E640A" w:rsidR="00AB08B6" w:rsidRPr="009F096A" w:rsidRDefault="00AB08B6" w:rsidP="003D070F">
            <w:r w:rsidRPr="009F096A">
              <w:t xml:space="preserve">Females </w:t>
            </w:r>
          </w:p>
        </w:tc>
        <w:tc>
          <w:tcPr>
            <w:tcW w:w="1215" w:type="dxa"/>
            <w:vAlign w:val="center"/>
            <w:hideMark/>
          </w:tcPr>
          <w:p w14:paraId="724AB5E2" w14:textId="77777777" w:rsidR="00AB08B6" w:rsidRPr="009F096A" w:rsidRDefault="00AB08B6" w:rsidP="00557C2D">
            <w:pPr>
              <w:jc w:val="right"/>
            </w:pPr>
            <w:r w:rsidRPr="009F096A">
              <w:t>8,202</w:t>
            </w:r>
          </w:p>
        </w:tc>
        <w:tc>
          <w:tcPr>
            <w:tcW w:w="1215" w:type="dxa"/>
            <w:vAlign w:val="center"/>
            <w:hideMark/>
          </w:tcPr>
          <w:p w14:paraId="37309AE2" w14:textId="68F56FAE" w:rsidR="00AB08B6" w:rsidRPr="009F096A" w:rsidRDefault="00A018CE" w:rsidP="00557C2D">
            <w:pPr>
              <w:jc w:val="right"/>
            </w:pPr>
            <w:r>
              <w:t>3</w:t>
            </w:r>
            <w:r w:rsidR="00AB08B6" w:rsidRPr="009F096A">
              <w:t>%</w:t>
            </w:r>
          </w:p>
        </w:tc>
        <w:tc>
          <w:tcPr>
            <w:tcW w:w="1215" w:type="dxa"/>
            <w:vAlign w:val="center"/>
            <w:hideMark/>
          </w:tcPr>
          <w:p w14:paraId="5EB2ACA3" w14:textId="77777777" w:rsidR="00AB08B6" w:rsidRPr="009F096A" w:rsidRDefault="00AB08B6" w:rsidP="00557C2D">
            <w:pPr>
              <w:jc w:val="right"/>
            </w:pPr>
            <w:r w:rsidRPr="009F096A">
              <w:t>28,504</w:t>
            </w:r>
          </w:p>
        </w:tc>
        <w:tc>
          <w:tcPr>
            <w:tcW w:w="1215" w:type="dxa"/>
            <w:vAlign w:val="center"/>
            <w:hideMark/>
          </w:tcPr>
          <w:p w14:paraId="0795CF92" w14:textId="494F1C89" w:rsidR="00AB08B6" w:rsidRPr="009F096A" w:rsidRDefault="0056043C" w:rsidP="00557C2D">
            <w:pPr>
              <w:jc w:val="right"/>
            </w:pPr>
            <w:r>
              <w:t>9</w:t>
            </w:r>
            <w:r w:rsidR="00AB08B6" w:rsidRPr="009F096A">
              <w:t>%</w:t>
            </w:r>
          </w:p>
        </w:tc>
        <w:tc>
          <w:tcPr>
            <w:tcW w:w="1215" w:type="dxa"/>
            <w:vAlign w:val="center"/>
            <w:hideMark/>
          </w:tcPr>
          <w:p w14:paraId="1948CC2A" w14:textId="77777777" w:rsidR="00AB08B6" w:rsidRPr="009F096A" w:rsidRDefault="00AB08B6" w:rsidP="00557C2D">
            <w:pPr>
              <w:jc w:val="right"/>
            </w:pPr>
            <w:r w:rsidRPr="009F096A">
              <w:t>36,706</w:t>
            </w:r>
          </w:p>
        </w:tc>
        <w:tc>
          <w:tcPr>
            <w:tcW w:w="1216" w:type="dxa"/>
            <w:vAlign w:val="center"/>
            <w:hideMark/>
          </w:tcPr>
          <w:p w14:paraId="18CD1C9C" w14:textId="06C63D84" w:rsidR="00AB08B6" w:rsidRPr="009F096A" w:rsidRDefault="00A91189" w:rsidP="00557C2D">
            <w:pPr>
              <w:jc w:val="right"/>
            </w:pPr>
            <w:r w:rsidRPr="009F096A">
              <w:t>1</w:t>
            </w:r>
            <w:r w:rsidR="00A018CE">
              <w:t>2</w:t>
            </w:r>
            <w:r w:rsidRPr="009F096A">
              <w:t>%</w:t>
            </w:r>
          </w:p>
        </w:tc>
      </w:tr>
      <w:tr w:rsidR="005C5333" w:rsidRPr="009F096A" w14:paraId="3A4E15F4" w14:textId="77777777" w:rsidTr="0000685F">
        <w:trPr>
          <w:cnfStyle w:val="000000010000" w:firstRow="0" w:lastRow="0" w:firstColumn="0" w:lastColumn="0" w:oddVBand="0" w:evenVBand="0" w:oddHBand="0" w:evenHBand="1" w:firstRowFirstColumn="0" w:firstRowLastColumn="0" w:lastRowFirstColumn="0" w:lastRowLastColumn="0"/>
          <w:trHeight w:val="280"/>
        </w:trPr>
        <w:tc>
          <w:tcPr>
            <w:tcW w:w="1640" w:type="dxa"/>
            <w:hideMark/>
          </w:tcPr>
          <w:p w14:paraId="60BDCE68" w14:textId="03C0D064" w:rsidR="00AB08B6" w:rsidRPr="009F096A" w:rsidRDefault="00AB08B6" w:rsidP="003D070F">
            <w:r w:rsidRPr="009F096A">
              <w:t xml:space="preserve">Persons </w:t>
            </w:r>
          </w:p>
        </w:tc>
        <w:tc>
          <w:tcPr>
            <w:tcW w:w="1215" w:type="dxa"/>
            <w:vAlign w:val="center"/>
            <w:hideMark/>
          </w:tcPr>
          <w:p w14:paraId="6CA44DB6" w14:textId="77777777" w:rsidR="00AB08B6" w:rsidRPr="009F096A" w:rsidRDefault="00AB08B6" w:rsidP="00557C2D">
            <w:pPr>
              <w:jc w:val="right"/>
            </w:pPr>
            <w:r w:rsidRPr="009F096A">
              <w:t>21,775</w:t>
            </w:r>
          </w:p>
        </w:tc>
        <w:tc>
          <w:tcPr>
            <w:tcW w:w="1215" w:type="dxa"/>
            <w:vAlign w:val="center"/>
            <w:hideMark/>
          </w:tcPr>
          <w:p w14:paraId="76462877" w14:textId="2EB145BF" w:rsidR="00AB08B6" w:rsidRPr="009F096A" w:rsidRDefault="00AB08B6" w:rsidP="00557C2D">
            <w:pPr>
              <w:jc w:val="right"/>
            </w:pPr>
            <w:r w:rsidRPr="009F096A">
              <w:t>3%</w:t>
            </w:r>
          </w:p>
        </w:tc>
        <w:tc>
          <w:tcPr>
            <w:tcW w:w="1215" w:type="dxa"/>
            <w:vAlign w:val="center"/>
            <w:hideMark/>
          </w:tcPr>
          <w:p w14:paraId="7C8B460D" w14:textId="77777777" w:rsidR="00AB08B6" w:rsidRPr="009F096A" w:rsidRDefault="00AB08B6" w:rsidP="00557C2D">
            <w:pPr>
              <w:jc w:val="right"/>
            </w:pPr>
            <w:r w:rsidRPr="009F096A">
              <w:t>60,085</w:t>
            </w:r>
          </w:p>
        </w:tc>
        <w:tc>
          <w:tcPr>
            <w:tcW w:w="1215" w:type="dxa"/>
            <w:vAlign w:val="center"/>
            <w:hideMark/>
          </w:tcPr>
          <w:p w14:paraId="060B656D" w14:textId="7B069ED7" w:rsidR="00AB08B6" w:rsidRPr="009F096A" w:rsidRDefault="0056043C" w:rsidP="00557C2D">
            <w:pPr>
              <w:jc w:val="right"/>
            </w:pPr>
            <w:r>
              <w:t>9</w:t>
            </w:r>
            <w:r w:rsidR="00AB08B6" w:rsidRPr="009F096A">
              <w:t>%</w:t>
            </w:r>
          </w:p>
        </w:tc>
        <w:tc>
          <w:tcPr>
            <w:tcW w:w="1215" w:type="dxa"/>
            <w:vAlign w:val="center"/>
            <w:hideMark/>
          </w:tcPr>
          <w:p w14:paraId="7E3EAE15" w14:textId="48088D99" w:rsidR="00AB08B6" w:rsidRPr="009F096A" w:rsidRDefault="00AB08B6" w:rsidP="00557C2D">
            <w:pPr>
              <w:jc w:val="right"/>
            </w:pPr>
            <w:r w:rsidRPr="009F096A">
              <w:t>81,8</w:t>
            </w:r>
            <w:r w:rsidR="00D84B4F">
              <w:t>40</w:t>
            </w:r>
          </w:p>
        </w:tc>
        <w:tc>
          <w:tcPr>
            <w:tcW w:w="1216" w:type="dxa"/>
            <w:vAlign w:val="center"/>
            <w:hideMark/>
          </w:tcPr>
          <w:p w14:paraId="45A95144" w14:textId="01A54DA1" w:rsidR="00AB08B6" w:rsidRPr="009F096A" w:rsidRDefault="00A91189" w:rsidP="00557C2D">
            <w:pPr>
              <w:jc w:val="right"/>
            </w:pPr>
            <w:r w:rsidRPr="009F096A">
              <w:t>1</w:t>
            </w:r>
            <w:r w:rsidR="00A018CE">
              <w:t>3</w:t>
            </w:r>
            <w:r w:rsidRPr="009F096A">
              <w:t>%</w:t>
            </w:r>
          </w:p>
        </w:tc>
      </w:tr>
    </w:tbl>
    <w:p w14:paraId="60ACFBF8" w14:textId="3A26C055" w:rsidR="00A91189" w:rsidRPr="00C44ECA" w:rsidRDefault="00A91189" w:rsidP="00C44ECA">
      <w:pPr>
        <w:pStyle w:val="Source"/>
        <w:rPr>
          <w:rFonts w:asciiTheme="minorHAnsi" w:hAnsiTheme="minorHAnsi" w:cstheme="minorHAnsi"/>
        </w:rPr>
      </w:pPr>
      <w:r w:rsidRPr="00C44ECA">
        <w:rPr>
          <w:rFonts w:asciiTheme="minorHAnsi" w:hAnsiTheme="minorHAnsi" w:cstheme="minorHAnsi"/>
        </w:rPr>
        <w:t>Source: ABS</w:t>
      </w:r>
      <w:r w:rsidR="00E9336F" w:rsidRPr="00C44ECA">
        <w:rPr>
          <w:rFonts w:asciiTheme="minorHAnsi" w:hAnsiTheme="minorHAnsi" w:cstheme="minorHAnsi"/>
        </w:rPr>
        <w:t>,</w:t>
      </w:r>
      <w:r w:rsidRPr="00C44ECA">
        <w:rPr>
          <w:rFonts w:asciiTheme="minorHAnsi" w:hAnsiTheme="minorHAnsi" w:cstheme="minorHAnsi"/>
        </w:rPr>
        <w:t xml:space="preserve"> </w:t>
      </w:r>
      <w:r w:rsidRPr="00901A26">
        <w:rPr>
          <w:rFonts w:asciiTheme="minorHAnsi" w:hAnsiTheme="minorHAnsi" w:cstheme="minorHAnsi"/>
          <w:i/>
          <w:iCs/>
        </w:rPr>
        <w:t>Census of Population and Housing</w:t>
      </w:r>
      <w:r w:rsidR="00901A26">
        <w:rPr>
          <w:rFonts w:asciiTheme="minorHAnsi" w:hAnsiTheme="minorHAnsi" w:cstheme="minorHAnsi"/>
        </w:rPr>
        <w:t>,</w:t>
      </w:r>
      <w:r w:rsidRPr="00C44ECA">
        <w:rPr>
          <w:rFonts w:asciiTheme="minorHAnsi" w:hAnsiTheme="minorHAnsi" w:cstheme="minorHAnsi"/>
        </w:rPr>
        <w:t xml:space="preserve"> 2021, TableBuilder</w:t>
      </w:r>
    </w:p>
    <w:p w14:paraId="674B4596" w14:textId="25F8C14D" w:rsidR="00A91189" w:rsidRPr="00E138E6" w:rsidRDefault="00A91189" w:rsidP="00C44ECA">
      <w:r w:rsidRPr="00E138E6">
        <w:t xml:space="preserve">The </w:t>
      </w:r>
      <w:r w:rsidRPr="0076703C">
        <w:t>Local Jobs Plan for the Mid North Coast Employment Region</w:t>
      </w:r>
      <w:r w:rsidRPr="00E138E6">
        <w:t xml:space="preserve"> identifies disengaged youth as a priority cohort and identifies collaborative initiatives to leverage existing youth programs and improve training and employment pathways such as apprenticeship and traineeships by better aligning to local workforce needs.  </w:t>
      </w:r>
    </w:p>
    <w:p w14:paraId="4DB98C4B" w14:textId="7A53BAE8" w:rsidR="00A91189" w:rsidRPr="00E138E6" w:rsidRDefault="00A91189" w:rsidP="00C44ECA">
      <w:r w:rsidRPr="00E138E6">
        <w:rPr>
          <w:rFonts w:asciiTheme="minorHAnsi" w:hAnsiTheme="minorHAnsi" w:cstheme="minorHAnsi"/>
        </w:rPr>
        <w:t xml:space="preserve">The Taree </w:t>
      </w:r>
      <w:r w:rsidR="00A85D02" w:rsidRPr="00E138E6">
        <w:rPr>
          <w:rFonts w:asciiTheme="minorHAnsi" w:hAnsiTheme="minorHAnsi" w:cstheme="minorHAnsi"/>
        </w:rPr>
        <w:t>Universit</w:t>
      </w:r>
      <w:r w:rsidR="00A85D02">
        <w:rPr>
          <w:rFonts w:asciiTheme="minorHAnsi" w:hAnsiTheme="minorHAnsi" w:cstheme="minorHAnsi"/>
        </w:rPr>
        <w:t>y</w:t>
      </w:r>
      <w:r w:rsidRPr="00E138E6">
        <w:rPr>
          <w:rFonts w:asciiTheme="minorHAnsi" w:hAnsiTheme="minorHAnsi" w:cstheme="minorHAnsi"/>
        </w:rPr>
        <w:t xml:space="preserve"> Campus TUC EduVenture Program can help to reduce future levels of youth disengagement in the region. The program involves working with current year 8 and 9 high school students to help encourage </w:t>
      </w:r>
      <w:r w:rsidR="000C0C37">
        <w:rPr>
          <w:rFonts w:asciiTheme="minorHAnsi" w:hAnsiTheme="minorHAnsi" w:cstheme="minorHAnsi"/>
        </w:rPr>
        <w:t>them</w:t>
      </w:r>
      <w:r w:rsidR="000C0C37" w:rsidRPr="00E138E6">
        <w:rPr>
          <w:rFonts w:asciiTheme="minorHAnsi" w:hAnsiTheme="minorHAnsi" w:cstheme="minorHAnsi"/>
        </w:rPr>
        <w:t xml:space="preserve"> </w:t>
      </w:r>
      <w:r w:rsidRPr="00E138E6">
        <w:rPr>
          <w:rFonts w:asciiTheme="minorHAnsi" w:hAnsiTheme="minorHAnsi" w:cstheme="minorHAnsi"/>
        </w:rPr>
        <w:t xml:space="preserve">to make educated choices associated with school and transitioning out of school and is discussed further </w:t>
      </w:r>
      <w:r w:rsidR="006923F5">
        <w:rPr>
          <w:rFonts w:asciiTheme="minorHAnsi" w:hAnsiTheme="minorHAnsi" w:cstheme="minorHAnsi"/>
        </w:rPr>
        <w:t xml:space="preserve">on </w:t>
      </w:r>
      <w:r w:rsidRPr="00E138E6">
        <w:rPr>
          <w:rFonts w:asciiTheme="minorHAnsi" w:hAnsiTheme="minorHAnsi" w:cstheme="minorHAnsi"/>
        </w:rPr>
        <w:t>in the</w:t>
      </w:r>
      <w:r w:rsidR="00D635DC">
        <w:rPr>
          <w:rFonts w:asciiTheme="minorHAnsi" w:hAnsiTheme="minorHAnsi" w:cstheme="minorHAnsi"/>
        </w:rPr>
        <w:t xml:space="preserve"> section on the region’s</w:t>
      </w:r>
      <w:r w:rsidRPr="00E138E6">
        <w:rPr>
          <w:rFonts w:asciiTheme="minorHAnsi" w:hAnsiTheme="minorHAnsi" w:cstheme="minorHAnsi"/>
        </w:rPr>
        <w:t xml:space="preserve"> </w:t>
      </w:r>
      <w:hyperlink w:anchor="_Taree_Universities_–" w:history="1">
        <w:r w:rsidR="00D635DC">
          <w:rPr>
            <w:rStyle w:val="Hyperlink"/>
            <w:rFonts w:asciiTheme="minorHAnsi" w:hAnsiTheme="minorHAnsi" w:cstheme="minorHAnsi"/>
          </w:rPr>
          <w:t>Higher Education system</w:t>
        </w:r>
      </w:hyperlink>
      <w:r w:rsidRPr="00E138E6">
        <w:rPr>
          <w:rFonts w:asciiTheme="minorHAnsi" w:hAnsiTheme="minorHAnsi" w:cstheme="minorHAnsi"/>
        </w:rPr>
        <w:t>.</w:t>
      </w:r>
    </w:p>
    <w:p w14:paraId="6247FC4D" w14:textId="77777777" w:rsidR="00A91189" w:rsidRPr="00C44ECA" w:rsidRDefault="00A91189" w:rsidP="00A91189">
      <w:pPr>
        <w:pStyle w:val="Heading2"/>
        <w:rPr>
          <w:rFonts w:asciiTheme="majorHAnsi" w:hAnsiTheme="majorHAnsi" w:cstheme="majorHAnsi"/>
        </w:rPr>
      </w:pPr>
      <w:bookmarkStart w:id="89" w:name="_Toc178173750"/>
      <w:r w:rsidRPr="00C44ECA">
        <w:rPr>
          <w:rFonts w:asciiTheme="majorHAnsi" w:eastAsia="Arial" w:hAnsiTheme="majorHAnsi" w:cstheme="majorHAnsi"/>
          <w:bCs/>
          <w:szCs w:val="32"/>
        </w:rPr>
        <w:t>The region’s health and care sector</w:t>
      </w:r>
      <w:bookmarkEnd w:id="89"/>
    </w:p>
    <w:p w14:paraId="7EA6F4C1" w14:textId="77777777" w:rsidR="00A91189" w:rsidRPr="00C44ECA" w:rsidRDefault="00A91189" w:rsidP="00A91189">
      <w:pPr>
        <w:pStyle w:val="Heading3"/>
        <w:rPr>
          <w:rFonts w:asciiTheme="majorHAnsi" w:hAnsiTheme="majorHAnsi" w:cstheme="majorHAnsi"/>
        </w:rPr>
      </w:pPr>
      <w:r w:rsidRPr="00C44ECA">
        <w:rPr>
          <w:rFonts w:asciiTheme="majorHAnsi" w:eastAsia="Arial" w:hAnsiTheme="majorHAnsi" w:cstheme="majorHAnsi"/>
          <w:bCs/>
          <w:szCs w:val="26"/>
        </w:rPr>
        <w:t>Importance of the region’s health care and social assistance industry</w:t>
      </w:r>
    </w:p>
    <w:p w14:paraId="660887B2" w14:textId="08FCA85D" w:rsidR="00A91189" w:rsidRPr="00E138E6" w:rsidRDefault="00A91189" w:rsidP="00C44ECA">
      <w:r w:rsidRPr="00E138E6">
        <w:t>The Mid North Coast</w:t>
      </w:r>
      <w:r w:rsidR="00464DE0">
        <w:t>’s</w:t>
      </w:r>
      <w:r w:rsidRPr="00E138E6">
        <w:t xml:space="preserve"> </w:t>
      </w:r>
      <w:r w:rsidR="00FC197C">
        <w:t>ageing</w:t>
      </w:r>
      <w:r w:rsidRPr="00E138E6">
        <w:t xml:space="preserve"> population has contributed to greater demand for access to health and care services. </w:t>
      </w:r>
    </w:p>
    <w:p w14:paraId="704AB3F8" w14:textId="79364000" w:rsidR="00A91189" w:rsidRPr="00E138E6" w:rsidRDefault="00A91189" w:rsidP="00557C2D">
      <w:pPr>
        <w:pStyle w:val="ListBullet"/>
      </w:pPr>
      <w:r w:rsidRPr="00E138E6">
        <w:t xml:space="preserve">There were </w:t>
      </w:r>
      <w:r w:rsidR="004A35D1">
        <w:t xml:space="preserve">around </w:t>
      </w:r>
      <w:r w:rsidRPr="00E138E6">
        <w:t>1,</w:t>
      </w:r>
      <w:r w:rsidR="004A35D1">
        <w:t>120</w:t>
      </w:r>
      <w:r w:rsidRPr="00E138E6">
        <w:t xml:space="preserve"> actively trading and employing health care and social assistance businesses located in the region in June 2023.</w:t>
      </w:r>
      <w:r>
        <w:rPr>
          <w:rStyle w:val="FootnoteReference"/>
          <w:rFonts w:eastAsia="Arial" w:cs="Arial"/>
        </w:rPr>
        <w:footnoteReference w:id="91"/>
      </w:r>
      <w:r w:rsidRPr="00E138E6">
        <w:t xml:space="preserve"> </w:t>
      </w:r>
    </w:p>
    <w:p w14:paraId="7CE7180B" w14:textId="77777777" w:rsidR="00A91189" w:rsidRPr="00E138E6" w:rsidRDefault="00A91189" w:rsidP="00557C2D">
      <w:pPr>
        <w:pStyle w:val="ListBullet"/>
      </w:pPr>
      <w:r w:rsidRPr="00E138E6">
        <w:t>In addition, the industry contributes almost 15</w:t>
      </w:r>
      <w:r>
        <w:t xml:space="preserve">% </w:t>
      </w:r>
      <w:r w:rsidRPr="00E138E6">
        <w:t>(or $2.36 billion) of the region’s Gross Regional Product.</w:t>
      </w:r>
      <w:r>
        <w:rPr>
          <w:rStyle w:val="FootnoteReference"/>
          <w:rFonts w:eastAsia="Arial" w:cs="Arial"/>
        </w:rPr>
        <w:footnoteReference w:id="92"/>
      </w:r>
      <w:r w:rsidRPr="00E138E6">
        <w:t xml:space="preserve">  </w:t>
      </w:r>
    </w:p>
    <w:p w14:paraId="48924E04" w14:textId="683841A8" w:rsidR="00A91189" w:rsidRPr="00C44ECA" w:rsidRDefault="00A91189" w:rsidP="00C44ECA">
      <w:r w:rsidRPr="00C44ECA">
        <w:t xml:space="preserve">Health </w:t>
      </w:r>
      <w:r w:rsidR="00B1071D" w:rsidRPr="00C44ECA">
        <w:t>C</w:t>
      </w:r>
      <w:r w:rsidRPr="00C44ECA">
        <w:t xml:space="preserve">are and </w:t>
      </w:r>
      <w:r w:rsidR="00B1071D" w:rsidRPr="00C44ECA">
        <w:t>S</w:t>
      </w:r>
      <w:r w:rsidRPr="00C44ECA">
        <w:t xml:space="preserve">ocial </w:t>
      </w:r>
      <w:r w:rsidR="00B1071D" w:rsidRPr="00C44ECA">
        <w:t>A</w:t>
      </w:r>
      <w:r w:rsidRPr="00C44ECA">
        <w:t xml:space="preserve">ssistance was the </w:t>
      </w:r>
      <w:r w:rsidR="000C6655" w:rsidRPr="00C44ECA">
        <w:t xml:space="preserve">region’s </w:t>
      </w:r>
      <w:r w:rsidRPr="00C44ECA">
        <w:t xml:space="preserve">largest employing industry in February 2024, </w:t>
      </w:r>
      <w:r w:rsidR="008F5A1D" w:rsidRPr="00C44ECA">
        <w:t xml:space="preserve">accounting for 21.7% (or 34,700) </w:t>
      </w:r>
      <w:r w:rsidRPr="00C44ECA">
        <w:t xml:space="preserve">of </w:t>
      </w:r>
      <w:r w:rsidR="000C6655" w:rsidRPr="00C44ECA">
        <w:t>total</w:t>
      </w:r>
      <w:r w:rsidRPr="00C44ECA">
        <w:t xml:space="preserve"> employment. The next largest employing industries were </w:t>
      </w:r>
      <w:r w:rsidR="00E71FE1" w:rsidRPr="00C44ECA">
        <w:t>R</w:t>
      </w:r>
      <w:r w:rsidRPr="00C44ECA">
        <w:t xml:space="preserve">etail </w:t>
      </w:r>
      <w:r w:rsidR="00E71FE1" w:rsidRPr="00C44ECA">
        <w:t>T</w:t>
      </w:r>
      <w:r w:rsidRPr="00C44ECA">
        <w:t>rade (11.8%</w:t>
      </w:r>
      <w:r w:rsidR="008F5A1D" w:rsidRPr="00C44ECA">
        <w:t xml:space="preserve"> or 18,900</w:t>
      </w:r>
      <w:r w:rsidRPr="00C44ECA">
        <w:t xml:space="preserve">) and </w:t>
      </w:r>
      <w:r w:rsidR="00E71FE1" w:rsidRPr="00C44ECA">
        <w:t>C</w:t>
      </w:r>
      <w:r w:rsidRPr="00C44ECA">
        <w:t>onstruction (10.7%</w:t>
      </w:r>
      <w:r w:rsidR="008F5A1D" w:rsidRPr="00C44ECA">
        <w:t xml:space="preserve"> or 17,100</w:t>
      </w:r>
      <w:r w:rsidRPr="00C44ECA">
        <w:t xml:space="preserve">) </w:t>
      </w:r>
      <w:r w:rsidR="00464DE0" w:rsidRPr="00C44ECA">
        <w:t>(</w:t>
      </w:r>
      <w:r w:rsidR="003C399B" w:rsidRPr="00C44ECA">
        <w:t>F</w:t>
      </w:r>
      <w:r w:rsidR="00464DE0" w:rsidRPr="00C44ECA">
        <w:t>igure</w:t>
      </w:r>
      <w:r w:rsidR="0051209E">
        <w:t> </w:t>
      </w:r>
      <w:r w:rsidR="0056228B" w:rsidRPr="00C44ECA">
        <w:t>4</w:t>
      </w:r>
      <w:r w:rsidR="00C44ECA">
        <w:t>7</w:t>
      </w:r>
      <w:r w:rsidR="00464DE0" w:rsidRPr="00C44ECA">
        <w:t>)</w:t>
      </w:r>
      <w:r w:rsidRPr="00C44ECA">
        <w:t>.</w:t>
      </w:r>
    </w:p>
    <w:p w14:paraId="2FC7B836" w14:textId="54D6DD67" w:rsidR="00A91189" w:rsidRPr="00C44ECA" w:rsidRDefault="00A91189" w:rsidP="00C44ECA">
      <w:pPr>
        <w:pStyle w:val="Caption"/>
        <w:rPr>
          <w:rFonts w:asciiTheme="minorHAnsi" w:hAnsiTheme="minorHAnsi" w:cstheme="minorHAnsi"/>
          <w:szCs w:val="20"/>
        </w:rPr>
      </w:pPr>
      <w:r w:rsidRPr="00C44ECA">
        <w:rPr>
          <w:rFonts w:asciiTheme="minorHAnsi" w:hAnsiTheme="minorHAnsi" w:cstheme="minorHAnsi"/>
          <w:szCs w:val="20"/>
        </w:rPr>
        <w:t xml:space="preserve">Figure </w:t>
      </w:r>
      <w:r w:rsidR="0056228B" w:rsidRPr="00C44ECA">
        <w:rPr>
          <w:rFonts w:asciiTheme="minorHAnsi" w:hAnsiTheme="minorHAnsi" w:cstheme="minorHAnsi"/>
          <w:szCs w:val="20"/>
        </w:rPr>
        <w:t>4</w:t>
      </w:r>
      <w:r w:rsidR="00C44ECA" w:rsidRPr="00C44ECA">
        <w:rPr>
          <w:rFonts w:asciiTheme="minorHAnsi" w:hAnsiTheme="minorHAnsi" w:cstheme="minorHAnsi"/>
          <w:szCs w:val="20"/>
        </w:rPr>
        <w:t>7</w:t>
      </w:r>
      <w:r w:rsidRPr="00C44ECA">
        <w:rPr>
          <w:rFonts w:asciiTheme="minorHAnsi" w:hAnsiTheme="minorHAnsi" w:cstheme="minorHAnsi"/>
          <w:szCs w:val="20"/>
        </w:rPr>
        <w:t xml:space="preserve">: Share of employment by industry, February 2024, Mid North Coast Employment Region and </w:t>
      </w:r>
      <w:r w:rsidR="00390D29" w:rsidRPr="00C44ECA">
        <w:rPr>
          <w:rFonts w:asciiTheme="minorHAnsi" w:hAnsiTheme="minorHAnsi" w:cstheme="minorHAnsi"/>
          <w:szCs w:val="20"/>
        </w:rPr>
        <w:t>n</w:t>
      </w:r>
      <w:r w:rsidRPr="00C44ECA">
        <w:rPr>
          <w:rFonts w:asciiTheme="minorHAnsi" w:hAnsiTheme="minorHAnsi" w:cstheme="minorHAnsi"/>
          <w:szCs w:val="20"/>
        </w:rPr>
        <w:t>on-metropolitan NSW</w:t>
      </w:r>
    </w:p>
    <w:p w14:paraId="1BF2B168" w14:textId="77777777" w:rsidR="00A91189" w:rsidRDefault="00A91189" w:rsidP="003D070F">
      <w:r>
        <w:rPr>
          <w:noProof/>
        </w:rPr>
        <w:drawing>
          <wp:inline distT="0" distB="0" distL="0" distR="0" wp14:anchorId="5306EE09" wp14:editId="61EBD808">
            <wp:extent cx="5731200" cy="3790950"/>
            <wp:effectExtent l="0" t="0" r="3175" b="0"/>
            <wp:docPr id="131888333" name="Chart 1" descr="Clustered column chart of ABS labour force data for the February 2024 quarter, four quarter averages, showing share of employment by industry for the Mid North Coast Employment Region and non-metropolitan New South Wales.  Shows Health Care and Social Assistance was the region’s largest employing industry, followed by Retail Trade and Construction. ">
              <a:extLst xmlns:a="http://schemas.openxmlformats.org/drawingml/2006/main">
                <a:ext uri="{FF2B5EF4-FFF2-40B4-BE49-F238E27FC236}">
                  <a16:creationId xmlns:a16="http://schemas.microsoft.com/office/drawing/2014/main" id="{C832A67C-E580-BEE6-0374-C41D256B47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488CA8B0" w14:textId="357AF305" w:rsidR="00A91189" w:rsidRPr="00C44ECA" w:rsidRDefault="00A91189" w:rsidP="00C44ECA">
      <w:pPr>
        <w:pStyle w:val="Source"/>
        <w:rPr>
          <w:rFonts w:asciiTheme="minorHAnsi" w:hAnsiTheme="minorHAnsi" w:cstheme="minorHAnsi"/>
        </w:rPr>
      </w:pPr>
      <w:r w:rsidRPr="00C44ECA">
        <w:rPr>
          <w:rFonts w:asciiTheme="minorHAnsi" w:hAnsiTheme="minorHAnsi" w:cstheme="minorHAnsi"/>
        </w:rPr>
        <w:t xml:space="preserve">Source: ABS, </w:t>
      </w:r>
      <w:r w:rsidRPr="00C44ECA">
        <w:rPr>
          <w:rFonts w:asciiTheme="minorHAnsi" w:hAnsiTheme="minorHAnsi" w:cstheme="minorHAnsi"/>
          <w:i/>
        </w:rPr>
        <w:t>Labour Force</w:t>
      </w:r>
      <w:r w:rsidR="00901A26">
        <w:rPr>
          <w:rFonts w:asciiTheme="minorHAnsi" w:hAnsiTheme="minorHAnsi" w:cstheme="minorHAnsi"/>
          <w:i/>
        </w:rPr>
        <w:t>, Australia,</w:t>
      </w:r>
      <w:r w:rsidRPr="00901A26">
        <w:rPr>
          <w:rFonts w:asciiTheme="minorHAnsi" w:hAnsiTheme="minorHAnsi" w:cstheme="minorHAnsi"/>
          <w:i/>
        </w:rPr>
        <w:t xml:space="preserve"> Detailed</w:t>
      </w:r>
      <w:r w:rsidRPr="00C44ECA">
        <w:rPr>
          <w:rFonts w:asciiTheme="minorHAnsi" w:hAnsiTheme="minorHAnsi" w:cstheme="minorHAnsi"/>
          <w:iCs/>
        </w:rPr>
        <w:t xml:space="preserve">, </w:t>
      </w:r>
      <w:r w:rsidRPr="00C44ECA">
        <w:rPr>
          <w:rFonts w:asciiTheme="minorHAnsi" w:hAnsiTheme="minorHAnsi" w:cstheme="minorHAnsi"/>
        </w:rPr>
        <w:t>February 2024</w:t>
      </w:r>
      <w:r w:rsidR="00703857" w:rsidRPr="00C44ECA">
        <w:rPr>
          <w:rFonts w:asciiTheme="minorHAnsi" w:hAnsiTheme="minorHAnsi" w:cstheme="minorHAnsi"/>
        </w:rPr>
        <w:t xml:space="preserve"> quarter</w:t>
      </w:r>
      <w:r w:rsidRPr="00C44ECA">
        <w:rPr>
          <w:rFonts w:asciiTheme="minorHAnsi" w:hAnsiTheme="minorHAnsi" w:cstheme="minorHAnsi"/>
        </w:rPr>
        <w:t xml:space="preserve">, </w:t>
      </w:r>
      <w:r w:rsidR="005C4C1E" w:rsidRPr="00C44ECA">
        <w:rPr>
          <w:rFonts w:asciiTheme="minorHAnsi" w:hAnsiTheme="minorHAnsi" w:cstheme="minorHAnsi"/>
        </w:rPr>
        <w:t>four</w:t>
      </w:r>
      <w:r w:rsidRPr="00C44ECA">
        <w:rPr>
          <w:rFonts w:asciiTheme="minorHAnsi" w:hAnsiTheme="minorHAnsi" w:cstheme="minorHAnsi"/>
        </w:rPr>
        <w:t xml:space="preserve"> quarter averages</w:t>
      </w:r>
    </w:p>
    <w:p w14:paraId="573053D5" w14:textId="77777777" w:rsidR="00A91189" w:rsidRPr="00C44ECA" w:rsidRDefault="00A91189" w:rsidP="00A91189">
      <w:pPr>
        <w:pStyle w:val="Heading3"/>
        <w:rPr>
          <w:rFonts w:asciiTheme="majorHAnsi" w:hAnsiTheme="majorHAnsi" w:cstheme="majorHAnsi"/>
        </w:rPr>
      </w:pPr>
      <w:r w:rsidRPr="00C44ECA">
        <w:rPr>
          <w:rFonts w:asciiTheme="majorHAnsi" w:eastAsia="Arial" w:hAnsiTheme="majorHAnsi" w:cstheme="majorHAnsi"/>
        </w:rPr>
        <w:t>Skill shortages in female-dominated health and care occupations</w:t>
      </w:r>
    </w:p>
    <w:p w14:paraId="740D01CB" w14:textId="77777777" w:rsidR="00A91189" w:rsidRPr="00E138E6" w:rsidRDefault="00A91189" w:rsidP="00C44ECA">
      <w:r w:rsidRPr="00E138E6">
        <w:t xml:space="preserve">The Mid North Coast’s demographic changes and persistently poor labour market conditions have seen local employers experience challenges finding suitability skilled workers to fill vacant positions. Recruitment difficulty is pronounced for many health and care occupations, as the region’s ageing population increases demand for services and labour in the sector.  </w:t>
      </w:r>
    </w:p>
    <w:p w14:paraId="320ACCC5" w14:textId="451986DE" w:rsidR="00A91189" w:rsidRPr="00E138E6" w:rsidRDefault="00FB2D2E" w:rsidP="00C44ECA">
      <w:r>
        <w:t>Job v</w:t>
      </w:r>
      <w:r w:rsidR="003C399B">
        <w:t>acancy</w:t>
      </w:r>
      <w:r w:rsidR="00A91189" w:rsidRPr="00E138E6">
        <w:t xml:space="preserve"> data for the Mid North Coast show</w:t>
      </w:r>
      <w:r w:rsidR="00A91189">
        <w:t>s</w:t>
      </w:r>
      <w:r w:rsidR="00A91189" w:rsidRPr="00E138E6">
        <w:t xml:space="preserve"> </w:t>
      </w:r>
      <w:r w:rsidR="00FA1635">
        <w:t>R</w:t>
      </w:r>
      <w:r w:rsidR="00A91189" w:rsidRPr="00E138E6">
        <w:t xml:space="preserve">egistered </w:t>
      </w:r>
      <w:r w:rsidR="00FA1635">
        <w:t>N</w:t>
      </w:r>
      <w:r w:rsidR="00A91189" w:rsidRPr="00E138E6">
        <w:t xml:space="preserve">urses as the top occupation in terms of online job advertisements, with </w:t>
      </w:r>
      <w:r w:rsidR="00FA1635">
        <w:t>A</w:t>
      </w:r>
      <w:r w:rsidR="00A91189" w:rsidRPr="00E138E6">
        <w:t xml:space="preserve">ged and </w:t>
      </w:r>
      <w:r w:rsidR="00FA1635">
        <w:t>D</w:t>
      </w:r>
      <w:r w:rsidR="00A91189" w:rsidRPr="00E138E6">
        <w:t xml:space="preserve">isabled </w:t>
      </w:r>
      <w:r w:rsidR="00FA1635">
        <w:t>C</w:t>
      </w:r>
      <w:r w:rsidR="00A91189" w:rsidRPr="00E138E6">
        <w:t xml:space="preserve">arers, </w:t>
      </w:r>
      <w:r w:rsidR="00F03D45">
        <w:t>N</w:t>
      </w:r>
      <w:r w:rsidR="00A91189" w:rsidRPr="00E138E6">
        <w:t xml:space="preserve">ursing </w:t>
      </w:r>
      <w:r w:rsidR="00F03D45">
        <w:t>S</w:t>
      </w:r>
      <w:r w:rsidR="00A91189" w:rsidRPr="00E138E6">
        <w:t xml:space="preserve">upport and </w:t>
      </w:r>
      <w:r w:rsidR="00F03D45">
        <w:t>P</w:t>
      </w:r>
      <w:r w:rsidR="00A91189" w:rsidRPr="00E138E6">
        <w:t xml:space="preserve">ersonal </w:t>
      </w:r>
      <w:r w:rsidR="00F03D45">
        <w:t>C</w:t>
      </w:r>
      <w:r w:rsidR="00A91189" w:rsidRPr="00E138E6">
        <w:t xml:space="preserve">are </w:t>
      </w:r>
      <w:r w:rsidR="00F03D45">
        <w:t>W</w:t>
      </w:r>
      <w:r w:rsidR="00A91189" w:rsidRPr="00E138E6">
        <w:t xml:space="preserve">orkers and </w:t>
      </w:r>
      <w:r w:rsidR="00F03D45">
        <w:t>C</w:t>
      </w:r>
      <w:r w:rsidR="00A91189" w:rsidRPr="00E138E6">
        <w:t xml:space="preserve">hild </w:t>
      </w:r>
      <w:r w:rsidR="00F03D45">
        <w:t>C</w:t>
      </w:r>
      <w:r w:rsidR="00A91189" w:rsidRPr="00E138E6">
        <w:t>arers amongst the top ten occupations.</w:t>
      </w:r>
      <w:r w:rsidR="00A91189">
        <w:rPr>
          <w:rStyle w:val="FootnoteReference"/>
        </w:rPr>
        <w:footnoteReference w:id="93"/>
      </w:r>
      <w:r w:rsidR="00A91189" w:rsidRPr="00E138E6">
        <w:t xml:space="preserve"> This demand has resulted in skill shortages, with those same occupations amongst the occupations identified as being in shortage </w:t>
      </w:r>
      <w:r w:rsidR="0038722D">
        <w:t>nationally, according</w:t>
      </w:r>
      <w:r w:rsidR="00A91189" w:rsidRPr="00E138E6">
        <w:t xml:space="preserve"> to JSA</w:t>
      </w:r>
      <w:r w:rsidR="00A91189">
        <w:t>’s</w:t>
      </w:r>
      <w:r w:rsidR="00A91189" w:rsidRPr="00E138E6">
        <w:t xml:space="preserve"> SPL 2023.</w:t>
      </w:r>
      <w:r w:rsidR="00A91189">
        <w:rPr>
          <w:rStyle w:val="FootnoteReference"/>
          <w:rFonts w:eastAsia="Arial" w:cs="Arial"/>
        </w:rPr>
        <w:footnoteReference w:id="94"/>
      </w:r>
      <w:r w:rsidR="00A91189" w:rsidRPr="00E138E6">
        <w:t xml:space="preserve"> </w:t>
      </w:r>
    </w:p>
    <w:p w14:paraId="635E7D80" w14:textId="556E82C2" w:rsidR="00A91189" w:rsidRPr="00E138E6" w:rsidRDefault="00A91189" w:rsidP="00C44ECA">
      <w:r w:rsidRPr="00E138E6">
        <w:t xml:space="preserve">The </w:t>
      </w:r>
      <w:r w:rsidRPr="003C399B">
        <w:t>Australian Universities Accord Final Report</w:t>
      </w:r>
      <w:r w:rsidRPr="00E138E6">
        <w:t xml:space="preserve"> cited academic research showing that regions across Australia face chronic shortages of rural doctors and allied health workers. It also cited a Royal Australian College of General Practitioners finding that the more rural a community is, the less access its population has to </w:t>
      </w:r>
      <w:r w:rsidR="00CC0A8C">
        <w:t>general practitioners</w:t>
      </w:r>
      <w:r w:rsidRPr="00E138E6">
        <w:t xml:space="preserve"> and health care, likely impacting health outcomes in the regions.</w:t>
      </w:r>
      <w:r>
        <w:rPr>
          <w:rStyle w:val="FootnoteReference"/>
          <w:rFonts w:eastAsia="Arial" w:cs="Arial"/>
        </w:rPr>
        <w:footnoteReference w:id="95"/>
      </w:r>
      <w:r w:rsidRPr="00E138E6">
        <w:t xml:space="preserve"> JSA data shows </w:t>
      </w:r>
      <w:r w:rsidR="00117606">
        <w:t>G</w:t>
      </w:r>
      <w:r w:rsidRPr="00E138E6">
        <w:t xml:space="preserve">eneral </w:t>
      </w:r>
      <w:r w:rsidR="00117606">
        <w:t>P</w:t>
      </w:r>
      <w:r w:rsidRPr="00E138E6">
        <w:t xml:space="preserve">ractitioners and </w:t>
      </w:r>
      <w:r w:rsidR="00117606">
        <w:t>R</w:t>
      </w:r>
      <w:r w:rsidRPr="00E138E6">
        <w:t xml:space="preserve">esident </w:t>
      </w:r>
      <w:r w:rsidR="00117606">
        <w:t>M</w:t>
      </w:r>
      <w:r w:rsidRPr="00E138E6">
        <w:t xml:space="preserve">edical </w:t>
      </w:r>
      <w:r w:rsidR="00117606">
        <w:t>O</w:t>
      </w:r>
      <w:r w:rsidRPr="00E138E6">
        <w:t>fficers were in shortage in the Mid North Coast in 2023, with 775 persons employed in the occupation in the region in March 2024 and 38 online job advertisements.</w:t>
      </w:r>
      <w:r>
        <w:rPr>
          <w:rStyle w:val="FootnoteReference"/>
        </w:rPr>
        <w:footnoteReference w:id="96"/>
      </w:r>
    </w:p>
    <w:p w14:paraId="3B0192D5" w14:textId="64915FAD" w:rsidR="00A91189" w:rsidRDefault="00A91189" w:rsidP="00C44ECA">
      <w:r>
        <w:t xml:space="preserve">Furthermore, </w:t>
      </w:r>
      <w:r w:rsidR="00E46614">
        <w:t xml:space="preserve">as at </w:t>
      </w:r>
      <w:r w:rsidR="009E225B">
        <w:t>24</w:t>
      </w:r>
      <w:r w:rsidR="00E46614">
        <w:t xml:space="preserve"> July 2024 </w:t>
      </w:r>
      <w:r>
        <w:t>e</w:t>
      </w:r>
      <w:r w:rsidRPr="00E138E6">
        <w:t>ach SA3 area within the Mid North Coast is</w:t>
      </w:r>
      <w:r w:rsidR="00DF074B">
        <w:t xml:space="preserve"> </w:t>
      </w:r>
      <w:r w:rsidRPr="00E138E6">
        <w:t xml:space="preserve">classified by the Department of Health as a </w:t>
      </w:r>
      <w:hyperlink r:id="rId140">
        <w:r w:rsidRPr="00E138E6">
          <w:rPr>
            <w:rStyle w:val="Hyperlink"/>
            <w:rFonts w:eastAsia="Arial" w:cs="Arial"/>
            <w:color w:val="013D74"/>
          </w:rPr>
          <w:t>Distribution Priority Area</w:t>
        </w:r>
      </w:hyperlink>
      <w:r w:rsidRPr="00E138E6">
        <w:t xml:space="preserve"> (DPA) indicating a lower level of general practitioner services.</w:t>
      </w:r>
      <w:r>
        <w:rPr>
          <w:rStyle w:val="FootnoteReference"/>
          <w:rFonts w:eastAsia="Arial" w:cs="Arial"/>
        </w:rPr>
        <w:footnoteReference w:id="97"/>
      </w:r>
      <w:r w:rsidRPr="00E138E6">
        <w:t xml:space="preserve"> </w:t>
      </w:r>
      <w:r w:rsidR="006E48E4">
        <w:t xml:space="preserve">As at </w:t>
      </w:r>
      <w:r w:rsidR="009E225B">
        <w:t>24</w:t>
      </w:r>
      <w:r w:rsidR="003B0BA6">
        <w:t xml:space="preserve"> </w:t>
      </w:r>
      <w:r w:rsidR="00395BBA">
        <w:t>July</w:t>
      </w:r>
      <w:r w:rsidR="006E48E4">
        <w:t xml:space="preserve"> 2024</w:t>
      </w:r>
      <w:r w:rsidR="00847F8C">
        <w:t xml:space="preserve"> also</w:t>
      </w:r>
      <w:r w:rsidR="006E48E4">
        <w:t>, e</w:t>
      </w:r>
      <w:r w:rsidRPr="00E138E6">
        <w:t xml:space="preserve">ach SA3 also appears on the </w:t>
      </w:r>
      <w:hyperlink r:id="rId141">
        <w:r w:rsidRPr="00E138E6">
          <w:rPr>
            <w:rStyle w:val="Hyperlink"/>
            <w:rFonts w:eastAsia="Arial" w:cs="Arial"/>
            <w:color w:val="013D74"/>
          </w:rPr>
          <w:t>District of Workforce Shortages</w:t>
        </w:r>
      </w:hyperlink>
      <w:r w:rsidRPr="00E138E6">
        <w:t xml:space="preserve"> (DWS) classification (which identifies areas with poor access to specialist medical practitioners) for one or more of the listed specialisations</w:t>
      </w:r>
      <w:r w:rsidRPr="4D294AEB">
        <w:t>.</w:t>
      </w:r>
    </w:p>
    <w:p w14:paraId="466ACE78" w14:textId="77777777" w:rsidR="00A91189" w:rsidRPr="00C44ECA" w:rsidRDefault="00A91189" w:rsidP="00A91189">
      <w:pPr>
        <w:pStyle w:val="Heading3"/>
        <w:rPr>
          <w:rFonts w:asciiTheme="majorHAnsi" w:hAnsiTheme="majorHAnsi" w:cstheme="majorHAnsi"/>
        </w:rPr>
      </w:pPr>
      <w:r w:rsidRPr="00C44ECA">
        <w:rPr>
          <w:rFonts w:asciiTheme="majorHAnsi" w:eastAsia="Arial" w:hAnsiTheme="majorHAnsi" w:cstheme="majorHAnsi"/>
          <w:bCs/>
          <w:szCs w:val="26"/>
        </w:rPr>
        <w:t xml:space="preserve">Meeting the skills challenges of the health and care workforce   </w:t>
      </w:r>
    </w:p>
    <w:p w14:paraId="0A7FAA50" w14:textId="77777777" w:rsidR="00A91189" w:rsidRPr="00E138E6" w:rsidRDefault="00A91189" w:rsidP="00C44ECA">
      <w:r w:rsidRPr="00E138E6">
        <w:t xml:space="preserve">The anticipated increased future demand for health and care services in the region may present future job opportunities but is likely to exacerbate recruitment challenges without more people with the necessary skills to fill jobs in demand. </w:t>
      </w:r>
    </w:p>
    <w:p w14:paraId="5EB574EF" w14:textId="10795ECD" w:rsidR="00A91189" w:rsidRDefault="00A91189" w:rsidP="00C44ECA">
      <w:r w:rsidRPr="00E138E6">
        <w:t xml:space="preserve">One way to support the expansion of the health and care workforce in the Mid North Coast, in order to meet strong current and future demand, would be to improve the gender balance of health and care related occupations. Many of the sector’s largest employing occupations in the region, including those in acute shortage, are heavily female dominated, including </w:t>
      </w:r>
      <w:r w:rsidR="00307E10">
        <w:t>A</w:t>
      </w:r>
      <w:r w:rsidRPr="00E138E6">
        <w:t xml:space="preserve">ged and </w:t>
      </w:r>
      <w:r w:rsidR="00307E10">
        <w:t>D</w:t>
      </w:r>
      <w:r w:rsidRPr="00E138E6">
        <w:t xml:space="preserve">isabled </w:t>
      </w:r>
      <w:r w:rsidR="00F90E74">
        <w:t>C</w:t>
      </w:r>
      <w:r w:rsidRPr="00E138E6">
        <w:t>arers (72</w:t>
      </w:r>
      <w:r>
        <w:t xml:space="preserve">% </w:t>
      </w:r>
      <w:r w:rsidRPr="00E138E6">
        <w:t xml:space="preserve">female employment share in the region), </w:t>
      </w:r>
      <w:r w:rsidR="00603293">
        <w:t>R</w:t>
      </w:r>
      <w:r w:rsidRPr="00E138E6">
        <w:t xml:space="preserve">egistered </w:t>
      </w:r>
      <w:r w:rsidR="00603293">
        <w:t>N</w:t>
      </w:r>
      <w:r w:rsidRPr="00E138E6">
        <w:t>urses (87</w:t>
      </w:r>
      <w:r>
        <w:t>%</w:t>
      </w:r>
      <w:r w:rsidRPr="00E138E6">
        <w:t xml:space="preserve">), </w:t>
      </w:r>
      <w:r w:rsidR="00603293">
        <w:t>N</w:t>
      </w:r>
      <w:r w:rsidRPr="00E138E6">
        <w:t xml:space="preserve">ursing </w:t>
      </w:r>
      <w:r w:rsidR="00603293">
        <w:t>S</w:t>
      </w:r>
      <w:r w:rsidRPr="00E138E6">
        <w:t xml:space="preserve">upport and </w:t>
      </w:r>
      <w:r w:rsidR="00307E10">
        <w:t>P</w:t>
      </w:r>
      <w:r w:rsidRPr="00E138E6">
        <w:t xml:space="preserve">ersonal </w:t>
      </w:r>
      <w:r w:rsidR="00307E10">
        <w:t>C</w:t>
      </w:r>
      <w:r w:rsidRPr="00E138E6">
        <w:t xml:space="preserve">are </w:t>
      </w:r>
      <w:r w:rsidR="00307E10">
        <w:t>W</w:t>
      </w:r>
      <w:r w:rsidRPr="00E138E6">
        <w:t>orkers (76</w:t>
      </w:r>
      <w:r>
        <w:t>%</w:t>
      </w:r>
      <w:r w:rsidRPr="00E138E6">
        <w:t xml:space="preserve">) and </w:t>
      </w:r>
      <w:r w:rsidR="00307E10">
        <w:t>C</w:t>
      </w:r>
      <w:r w:rsidRPr="00E138E6">
        <w:t xml:space="preserve">hild </w:t>
      </w:r>
      <w:r w:rsidR="00307E10">
        <w:t>C</w:t>
      </w:r>
      <w:r w:rsidRPr="00E138E6">
        <w:t>arers (95</w:t>
      </w:r>
      <w:r>
        <w:t>%</w:t>
      </w:r>
      <w:r w:rsidRPr="00E138E6">
        <w:t>).</w:t>
      </w:r>
      <w:r>
        <w:rPr>
          <w:rStyle w:val="FootnoteReference"/>
          <w:rFonts w:eastAsia="Arial" w:cs="Arial"/>
        </w:rPr>
        <w:footnoteReference w:id="98"/>
      </w:r>
      <w:r w:rsidRPr="00E138E6">
        <w:t xml:space="preserve"> </w:t>
      </w:r>
      <w:r>
        <w:t xml:space="preserve"> </w:t>
      </w:r>
      <w:r w:rsidRPr="00E138E6">
        <w:t xml:space="preserve">While there are many factors in play, a heavily gender skewed workforce may constrain labour supply, increasing the likelihood and severity of a skills shortage. Improving the gender balance of occupations by removing barriers that currently exist to keep segregation in place can help to improve skill shortages in the region.  </w:t>
      </w:r>
    </w:p>
    <w:p w14:paraId="7253E5AA" w14:textId="77777777" w:rsidR="00A91189" w:rsidRPr="00C44ECA" w:rsidRDefault="00A91189" w:rsidP="00557C2D">
      <w:pPr>
        <w:pStyle w:val="Heading4"/>
      </w:pPr>
      <w:r w:rsidRPr="00C44ECA">
        <w:t xml:space="preserve">Workforce </w:t>
      </w:r>
      <w:r w:rsidRPr="00557C2D">
        <w:t>strategies</w:t>
      </w:r>
      <w:r w:rsidRPr="00C44ECA">
        <w:t xml:space="preserve"> to address skill shortages in the sector</w:t>
      </w:r>
    </w:p>
    <w:p w14:paraId="179E99BB" w14:textId="5A829E09" w:rsidR="00A91189" w:rsidRPr="00CD1C34" w:rsidRDefault="00A91189" w:rsidP="00C44ECA">
      <w:r w:rsidRPr="001B442B">
        <w:t xml:space="preserve">The </w:t>
      </w:r>
      <w:hyperlink r:id="rId142">
        <w:r w:rsidRPr="001B442B">
          <w:rPr>
            <w:rStyle w:val="Hyperlink"/>
            <w:rFonts w:eastAsia="Arial" w:cs="Arial"/>
            <w:color w:val="013D74"/>
          </w:rPr>
          <w:t>National Medical Workforce Strategy 2021</w:t>
        </w:r>
        <w:r w:rsidR="007D1B04">
          <w:rPr>
            <w:rStyle w:val="Hyperlink"/>
            <w:rFonts w:eastAsia="Arial" w:cs="Arial"/>
            <w:color w:val="013D74"/>
          </w:rPr>
          <w:t>–</w:t>
        </w:r>
        <w:r w:rsidRPr="001B442B">
          <w:rPr>
            <w:rStyle w:val="Hyperlink"/>
            <w:rFonts w:eastAsia="Arial" w:cs="Arial"/>
            <w:color w:val="013D74"/>
          </w:rPr>
          <w:t>2031</w:t>
        </w:r>
      </w:hyperlink>
      <w:r w:rsidRPr="001B442B">
        <w:t xml:space="preserve"> seeks to ensure Australia’s health workforce is geographically well distributed and identifies many strategies to address the shortages of medical specialists that persist in many regional areas, including the Mid North Coast</w:t>
      </w:r>
      <w:r w:rsidRPr="4D294AEB">
        <w:t>.</w:t>
      </w:r>
      <w:r>
        <w:rPr>
          <w:rStyle w:val="FootnoteReference"/>
        </w:rPr>
        <w:footnoteReference w:id="99"/>
      </w:r>
      <w:r>
        <w:t xml:space="preserve"> </w:t>
      </w:r>
      <w:r w:rsidRPr="001B442B">
        <w:t xml:space="preserve">The Australian Government’s </w:t>
      </w:r>
      <w:hyperlink r:id="rId143">
        <w:r w:rsidRPr="001B442B">
          <w:rPr>
            <w:rStyle w:val="Hyperlink"/>
            <w:rFonts w:eastAsia="Arial" w:cs="Arial"/>
            <w:color w:val="013D74"/>
          </w:rPr>
          <w:t>Stronger Rural Health Strategy</w:t>
        </w:r>
      </w:hyperlink>
      <w:r w:rsidRPr="001B442B">
        <w:t xml:space="preserve">, first introduced as part of the 2018-19 Budget, aims to build a sustainable, high-quality health workforce that is distributed across the country, focusing on rural and remote communities, such as the Mid North Coast, that have difficulty attracting doctors, nurses and other allied health professionals. </w:t>
      </w:r>
      <w:r>
        <w:t>Under the Strategy</w:t>
      </w:r>
      <w:r w:rsidRPr="001B442B">
        <w:t xml:space="preserve">, the </w:t>
      </w:r>
      <w:hyperlink r:id="rId144">
        <w:r w:rsidRPr="001B442B">
          <w:rPr>
            <w:rStyle w:val="Hyperlink"/>
            <w:rFonts w:eastAsia="Arial" w:cs="Arial"/>
            <w:color w:val="013D74"/>
          </w:rPr>
          <w:t>National Rural Health Commissioner</w:t>
        </w:r>
      </w:hyperlink>
      <w:r w:rsidRPr="001B442B">
        <w:t xml:space="preserve"> has worked with the rural health sector and the </w:t>
      </w:r>
      <w:r w:rsidR="00F90E74">
        <w:t>general practi</w:t>
      </w:r>
      <w:r w:rsidR="00804574">
        <w:t>tioner</w:t>
      </w:r>
      <w:r w:rsidRPr="001B442B">
        <w:t xml:space="preserve"> colleges to develop a </w:t>
      </w:r>
      <w:hyperlink r:id="rId145">
        <w:r w:rsidRPr="001B442B">
          <w:rPr>
            <w:rStyle w:val="Hyperlink"/>
            <w:rFonts w:eastAsia="Arial" w:cs="Arial"/>
            <w:color w:val="013D74"/>
          </w:rPr>
          <w:t>National Rural Generalist Pathway</w:t>
        </w:r>
      </w:hyperlink>
      <w:r w:rsidRPr="001B442B">
        <w:t xml:space="preserve"> which recognises the extra requirements and skills of rural generalists and supports them to meet the diverse health needs of regional, rural and remote Australians.</w:t>
      </w:r>
    </w:p>
    <w:p w14:paraId="3A7C4EDC" w14:textId="4AE8C38F" w:rsidR="00A91189" w:rsidRPr="00FD32C6" w:rsidRDefault="00A91189" w:rsidP="00C44ECA">
      <w:r>
        <w:t>At a local level, the</w:t>
      </w:r>
      <w:r w:rsidRPr="001B442B">
        <w:t xml:space="preserve"> NSW Government’s </w:t>
      </w:r>
      <w:hyperlink r:id="rId146" w:history="1">
        <w:r w:rsidRPr="009527A6">
          <w:rPr>
            <w:rStyle w:val="Hyperlink"/>
            <w:rFonts w:eastAsia="Arial" w:cs="Arial"/>
          </w:rPr>
          <w:t>Mid North Coast Local Health District Strategic Plan 2022</w:t>
        </w:r>
        <w:r w:rsidR="007D1B04">
          <w:rPr>
            <w:rStyle w:val="Hyperlink"/>
            <w:rFonts w:eastAsia="Arial" w:cs="Arial"/>
          </w:rPr>
          <w:t>–</w:t>
        </w:r>
        <w:r w:rsidRPr="009527A6">
          <w:rPr>
            <w:rStyle w:val="Hyperlink"/>
            <w:rFonts w:eastAsia="Arial" w:cs="Arial"/>
          </w:rPr>
          <w:t>2032</w:t>
        </w:r>
      </w:hyperlink>
      <w:r w:rsidRPr="001B442B">
        <w:t xml:space="preserve"> outlines workforce planning strategies to enhance timely recruitment and appropriate retention of qualified employees. Those strategies include succession planning and partnering with education and training providers to identify emerging roles and plan for occupations likely to be in short supply</w:t>
      </w:r>
      <w:r>
        <w:t xml:space="preserve"> in the Mid North Coast</w:t>
      </w:r>
      <w:r w:rsidRPr="001B442B">
        <w:t>.</w:t>
      </w:r>
    </w:p>
    <w:p w14:paraId="2A4F1DA9" w14:textId="0610F7B7" w:rsidR="00A91189" w:rsidRPr="00C44ECA" w:rsidRDefault="00A91189" w:rsidP="00A91189">
      <w:pPr>
        <w:pStyle w:val="Heading2"/>
        <w:rPr>
          <w:rFonts w:asciiTheme="majorHAnsi" w:hAnsiTheme="majorHAnsi" w:cstheme="majorHAnsi"/>
        </w:rPr>
      </w:pPr>
      <w:bookmarkStart w:id="90" w:name="_Toc178173751"/>
      <w:r w:rsidRPr="00C44ECA">
        <w:rPr>
          <w:rFonts w:asciiTheme="majorHAnsi" w:eastAsia="Arial" w:hAnsiTheme="majorHAnsi" w:cstheme="majorHAnsi"/>
          <w:bCs/>
          <w:szCs w:val="32"/>
        </w:rPr>
        <w:t xml:space="preserve">Performance of the region’s Vocational Education and Training (VET) </w:t>
      </w:r>
      <w:r w:rsidR="000F6044" w:rsidRPr="00C44ECA">
        <w:rPr>
          <w:rFonts w:asciiTheme="majorHAnsi" w:eastAsia="Arial" w:hAnsiTheme="majorHAnsi" w:cstheme="majorHAnsi"/>
          <w:bCs/>
          <w:szCs w:val="32"/>
        </w:rPr>
        <w:t>s</w:t>
      </w:r>
      <w:r w:rsidRPr="00C44ECA">
        <w:rPr>
          <w:rFonts w:asciiTheme="majorHAnsi" w:eastAsia="Arial" w:hAnsiTheme="majorHAnsi" w:cstheme="majorHAnsi"/>
          <w:bCs/>
          <w:szCs w:val="32"/>
        </w:rPr>
        <w:t>ystem</w:t>
      </w:r>
      <w:bookmarkEnd w:id="90"/>
      <w:r w:rsidRPr="00C44ECA">
        <w:rPr>
          <w:rFonts w:asciiTheme="majorHAnsi" w:eastAsia="Arial" w:hAnsiTheme="majorHAnsi" w:cstheme="majorHAnsi"/>
          <w:bCs/>
          <w:szCs w:val="32"/>
        </w:rPr>
        <w:t xml:space="preserve"> </w:t>
      </w:r>
    </w:p>
    <w:p w14:paraId="3831ACDE" w14:textId="77777777" w:rsidR="00A91189" w:rsidRPr="00C44ECA" w:rsidRDefault="00A91189" w:rsidP="00A91189">
      <w:pPr>
        <w:pStyle w:val="Heading3"/>
        <w:rPr>
          <w:rFonts w:asciiTheme="majorHAnsi" w:hAnsiTheme="majorHAnsi" w:cstheme="majorHAnsi"/>
        </w:rPr>
      </w:pPr>
      <w:r w:rsidRPr="00C44ECA">
        <w:rPr>
          <w:rFonts w:asciiTheme="majorHAnsi" w:eastAsia="Arial" w:hAnsiTheme="majorHAnsi" w:cstheme="majorHAnsi"/>
          <w:bCs/>
          <w:szCs w:val="26"/>
        </w:rPr>
        <w:t>Is the VET system easily accessible for students across the region?</w:t>
      </w:r>
    </w:p>
    <w:p w14:paraId="64C19DA2" w14:textId="77777777" w:rsidR="00A91189" w:rsidRPr="001B442B" w:rsidRDefault="00A91189" w:rsidP="00C44ECA">
      <w:r w:rsidRPr="001B442B">
        <w:t xml:space="preserve">The number and geographic dispersion of TAFE campuses and other RTOs appears to provide current and prospective students across the region with good access to VET training opportunities. </w:t>
      </w:r>
    </w:p>
    <w:p w14:paraId="72C939A6" w14:textId="77777777" w:rsidR="00A91189" w:rsidRPr="001B442B" w:rsidRDefault="00A91189" w:rsidP="00C44ECA">
      <w:r w:rsidRPr="001B442B">
        <w:t xml:space="preserve">TAFE NSW has eight campuses in the region, including two each in the larger LGAs of Coffs Harbour and Port-Macquarie-Hastings. The remaining </w:t>
      </w:r>
      <w:r>
        <w:t>4</w:t>
      </w:r>
      <w:r w:rsidRPr="001B442B">
        <w:t xml:space="preserve"> campuses are located at Great Lakes, Kempsey, Nambucca Heads and Taree.</w:t>
      </w:r>
      <w:r>
        <w:rPr>
          <w:rStyle w:val="FootnoteReference"/>
          <w:rFonts w:eastAsia="Arial" w:cs="Arial"/>
        </w:rPr>
        <w:footnoteReference w:id="100"/>
      </w:r>
      <w:r w:rsidRPr="001B442B">
        <w:t xml:space="preserve"> </w:t>
      </w:r>
    </w:p>
    <w:p w14:paraId="2CB5816D" w14:textId="284184EC" w:rsidR="00A91189" w:rsidRPr="008B7FCE" w:rsidRDefault="00A91189" w:rsidP="00C44ECA">
      <w:r w:rsidRPr="001B442B">
        <w:t>There are 27 other current RTOs headquartered in a region</w:t>
      </w:r>
      <w:r w:rsidR="006F2D35">
        <w:t>, and of these</w:t>
      </w:r>
      <w:r w:rsidRPr="001B442B">
        <w:t xml:space="preserve"> 11 have their head office located in the Port Macquarie and Coffs Harbour postcodes, while the remaining 16 RTOs are spread across 13 different postcodes across the Mid North Coast</w:t>
      </w:r>
      <w:r>
        <w:t>.</w:t>
      </w:r>
      <w:r>
        <w:rPr>
          <w:rStyle w:val="FootnoteReference"/>
          <w:rFonts w:eastAsia="Arial" w:cs="Arial"/>
        </w:rPr>
        <w:footnoteReference w:id="101"/>
      </w:r>
      <w:r w:rsidRPr="4D294AEB">
        <w:t xml:space="preserve">  </w:t>
      </w:r>
    </w:p>
    <w:p w14:paraId="4A3310A2" w14:textId="77777777" w:rsidR="00A91189" w:rsidRPr="00C44ECA" w:rsidRDefault="00A91189" w:rsidP="00A91189">
      <w:pPr>
        <w:pStyle w:val="Heading3"/>
        <w:rPr>
          <w:rFonts w:asciiTheme="majorHAnsi" w:hAnsiTheme="majorHAnsi" w:cstheme="majorHAnsi"/>
        </w:rPr>
      </w:pPr>
      <w:r w:rsidRPr="00C44ECA">
        <w:rPr>
          <w:rFonts w:asciiTheme="majorHAnsi" w:eastAsia="Arial" w:hAnsiTheme="majorHAnsi" w:cstheme="majorHAnsi"/>
        </w:rPr>
        <w:t xml:space="preserve">Is the VET system training locals to meet the region’s workforce needs? </w:t>
      </w:r>
    </w:p>
    <w:p w14:paraId="2411EF1E" w14:textId="63B3862D" w:rsidR="00A91189" w:rsidRPr="001B442B" w:rsidRDefault="00A91189" w:rsidP="00C44ECA">
      <w:r w:rsidRPr="001B442B">
        <w:t>Some 72</w:t>
      </w:r>
      <w:r>
        <w:t xml:space="preserve">% </w:t>
      </w:r>
      <w:r w:rsidRPr="001B442B">
        <w:t>of the 7,800 VET program completions by Mid North Coast residents in 2022 were at Certificate III or higher level, only slightly below the 76</w:t>
      </w:r>
      <w:r>
        <w:t xml:space="preserve">% </w:t>
      </w:r>
      <w:r w:rsidRPr="001B442B">
        <w:t xml:space="preserve">for all NSW residents </w:t>
      </w:r>
      <w:r w:rsidR="00FC197C" w:rsidRPr="00C51BD6">
        <w:t>(</w:t>
      </w:r>
      <w:r w:rsidR="00C24440" w:rsidRPr="00C51BD6">
        <w:t>T</w:t>
      </w:r>
      <w:r w:rsidR="00FC197C" w:rsidRPr="00C51BD6">
        <w:t xml:space="preserve">able </w:t>
      </w:r>
      <w:r w:rsidR="00F2683A" w:rsidRPr="00C51BD6">
        <w:t>1</w:t>
      </w:r>
      <w:r w:rsidR="00C51BD6" w:rsidRPr="00C51BD6">
        <w:t>5</w:t>
      </w:r>
      <w:r w:rsidR="00C226EE">
        <w:t>)</w:t>
      </w:r>
      <w:r w:rsidR="00FC197C" w:rsidRPr="00C51BD6">
        <w:t>.</w:t>
      </w:r>
    </w:p>
    <w:p w14:paraId="5F0F2AB0" w14:textId="1A5DC5CD" w:rsidR="00A91189" w:rsidRPr="00C44ECA" w:rsidRDefault="00A91189" w:rsidP="00C44ECA">
      <w:pPr>
        <w:pStyle w:val="Caption"/>
        <w:rPr>
          <w:rFonts w:asciiTheme="minorHAnsi" w:hAnsiTheme="minorHAnsi" w:cstheme="minorHAnsi"/>
          <w:szCs w:val="20"/>
        </w:rPr>
      </w:pPr>
      <w:r w:rsidRPr="00C44ECA">
        <w:rPr>
          <w:rFonts w:asciiTheme="minorHAnsi" w:hAnsiTheme="minorHAnsi" w:cstheme="minorHAnsi"/>
          <w:szCs w:val="20"/>
        </w:rPr>
        <w:t xml:space="preserve">Table </w:t>
      </w:r>
      <w:r w:rsidR="00F2683A" w:rsidRPr="00C44ECA">
        <w:rPr>
          <w:rFonts w:asciiTheme="minorHAnsi" w:hAnsiTheme="minorHAnsi" w:cstheme="minorHAnsi"/>
          <w:szCs w:val="20"/>
        </w:rPr>
        <w:t>1</w:t>
      </w:r>
      <w:r w:rsidR="00C51BD6" w:rsidRPr="00C44ECA">
        <w:rPr>
          <w:rFonts w:asciiTheme="minorHAnsi" w:hAnsiTheme="minorHAnsi" w:cstheme="minorHAnsi"/>
          <w:szCs w:val="20"/>
        </w:rPr>
        <w:t>5</w:t>
      </w:r>
      <w:r w:rsidRPr="00C44ECA">
        <w:rPr>
          <w:rFonts w:asciiTheme="minorHAnsi" w:hAnsiTheme="minorHAnsi" w:cstheme="minorHAnsi"/>
          <w:szCs w:val="20"/>
        </w:rPr>
        <w:t xml:space="preserve">: VET Program completions </w:t>
      </w:r>
      <w:r w:rsidR="00AC71FE" w:rsidRPr="00C44ECA">
        <w:rPr>
          <w:rFonts w:asciiTheme="minorHAnsi" w:hAnsiTheme="minorHAnsi" w:cstheme="minorHAnsi"/>
          <w:szCs w:val="20"/>
        </w:rPr>
        <w:t xml:space="preserve">by students </w:t>
      </w:r>
      <w:r w:rsidR="00976174" w:rsidRPr="00C44ECA">
        <w:rPr>
          <w:rFonts w:asciiTheme="minorHAnsi" w:hAnsiTheme="minorHAnsi" w:cstheme="minorHAnsi"/>
          <w:szCs w:val="20"/>
        </w:rPr>
        <w:t>i</w:t>
      </w:r>
      <w:r w:rsidR="00AC71FE" w:rsidRPr="00C44ECA">
        <w:rPr>
          <w:rFonts w:asciiTheme="minorHAnsi" w:hAnsiTheme="minorHAnsi" w:cstheme="minorHAnsi"/>
          <w:szCs w:val="20"/>
        </w:rPr>
        <w:t xml:space="preserve">n the Mid North Coast Employment Region, </w:t>
      </w:r>
      <w:r w:rsidRPr="00C44ECA">
        <w:rPr>
          <w:rFonts w:asciiTheme="minorHAnsi" w:hAnsiTheme="minorHAnsi" w:cstheme="minorHAnsi"/>
          <w:szCs w:val="20"/>
        </w:rPr>
        <w:t xml:space="preserve">by </w:t>
      </w:r>
      <w:r w:rsidR="003948FC" w:rsidRPr="00C44ECA">
        <w:rPr>
          <w:rFonts w:asciiTheme="minorHAnsi" w:hAnsiTheme="minorHAnsi" w:cstheme="minorHAnsi"/>
          <w:szCs w:val="20"/>
        </w:rPr>
        <w:t>P</w:t>
      </w:r>
      <w:r w:rsidRPr="00C44ECA">
        <w:rPr>
          <w:rFonts w:asciiTheme="minorHAnsi" w:hAnsiTheme="minorHAnsi" w:cstheme="minorHAnsi"/>
          <w:szCs w:val="20"/>
        </w:rPr>
        <w:t xml:space="preserve">rogram level and </w:t>
      </w:r>
      <w:r w:rsidR="003948FC" w:rsidRPr="00C44ECA">
        <w:rPr>
          <w:rFonts w:asciiTheme="minorHAnsi" w:hAnsiTheme="minorHAnsi" w:cstheme="minorHAnsi"/>
          <w:szCs w:val="20"/>
        </w:rPr>
        <w:t>P</w:t>
      </w:r>
      <w:r w:rsidRPr="00C44ECA">
        <w:rPr>
          <w:rFonts w:asciiTheme="minorHAnsi" w:hAnsiTheme="minorHAnsi" w:cstheme="minorHAnsi"/>
          <w:szCs w:val="20"/>
        </w:rPr>
        <w:t xml:space="preserve">rovider </w:t>
      </w:r>
      <w:r w:rsidR="00524EB3" w:rsidRPr="00C44ECA">
        <w:rPr>
          <w:rFonts w:asciiTheme="minorHAnsi" w:hAnsiTheme="minorHAnsi" w:cstheme="minorHAnsi"/>
          <w:szCs w:val="20"/>
        </w:rPr>
        <w:t>t</w:t>
      </w:r>
      <w:r w:rsidRPr="00C44ECA">
        <w:rPr>
          <w:rFonts w:asciiTheme="minorHAnsi" w:hAnsiTheme="minorHAnsi" w:cstheme="minorHAnsi"/>
          <w:szCs w:val="20"/>
        </w:rPr>
        <w:t xml:space="preserve">ype, </w:t>
      </w:r>
      <w:r w:rsidR="00AC71FE" w:rsidRPr="00C44ECA">
        <w:rPr>
          <w:rFonts w:asciiTheme="minorHAnsi" w:hAnsiTheme="minorHAnsi" w:cstheme="minorHAnsi"/>
          <w:szCs w:val="20"/>
        </w:rPr>
        <w:t>2022</w:t>
      </w:r>
    </w:p>
    <w:tbl>
      <w:tblPr>
        <w:tblStyle w:val="JSATable1"/>
        <w:tblW w:w="8240" w:type="dxa"/>
        <w:tblLook w:val="04A0" w:firstRow="1" w:lastRow="0" w:firstColumn="1" w:lastColumn="0" w:noHBand="0" w:noVBand="1"/>
      </w:tblPr>
      <w:tblGrid>
        <w:gridCol w:w="1840"/>
        <w:gridCol w:w="1280"/>
        <w:gridCol w:w="1280"/>
        <w:gridCol w:w="1280"/>
        <w:gridCol w:w="1280"/>
        <w:gridCol w:w="1280"/>
      </w:tblGrid>
      <w:tr w:rsidR="00A91189" w:rsidRPr="00371E36" w14:paraId="63EB4264" w14:textId="77777777" w:rsidTr="00AE114B">
        <w:trPr>
          <w:cnfStyle w:val="100000000000" w:firstRow="1" w:lastRow="0" w:firstColumn="0" w:lastColumn="0" w:oddVBand="0" w:evenVBand="0" w:oddHBand="0" w:evenHBand="0" w:firstRowFirstColumn="0" w:firstRowLastColumn="0" w:lastRowFirstColumn="0" w:lastRowLastColumn="0"/>
          <w:trHeight w:val="560"/>
        </w:trPr>
        <w:tc>
          <w:tcPr>
            <w:tcW w:w="1840" w:type="dxa"/>
            <w:noWrap/>
            <w:hideMark/>
          </w:tcPr>
          <w:p w14:paraId="63E58524" w14:textId="77777777" w:rsidR="00A91189" w:rsidRPr="00371E36" w:rsidRDefault="00A91189" w:rsidP="006E7A8D">
            <w:r w:rsidRPr="00371E36">
              <w:t> </w:t>
            </w:r>
          </w:p>
        </w:tc>
        <w:tc>
          <w:tcPr>
            <w:tcW w:w="1280" w:type="dxa"/>
            <w:vAlign w:val="center"/>
            <w:hideMark/>
          </w:tcPr>
          <w:p w14:paraId="7731A2CC" w14:textId="77777777" w:rsidR="00A91189" w:rsidRPr="00371E36" w:rsidRDefault="00A91189" w:rsidP="00557C2D">
            <w:pPr>
              <w:jc w:val="right"/>
              <w:rPr>
                <w:rFonts w:eastAsia="Times New Roman" w:cs="Arial"/>
              </w:rPr>
            </w:pPr>
            <w:r w:rsidRPr="00371E36">
              <w:rPr>
                <w:rFonts w:eastAsia="Times New Roman" w:cs="Arial"/>
              </w:rPr>
              <w:t>Diploma or higher</w:t>
            </w:r>
          </w:p>
        </w:tc>
        <w:tc>
          <w:tcPr>
            <w:tcW w:w="1280" w:type="dxa"/>
            <w:vAlign w:val="center"/>
            <w:hideMark/>
          </w:tcPr>
          <w:p w14:paraId="463F5B74" w14:textId="77777777" w:rsidR="00A91189" w:rsidRPr="00371E36" w:rsidRDefault="00A91189" w:rsidP="00557C2D">
            <w:pPr>
              <w:jc w:val="right"/>
              <w:rPr>
                <w:rFonts w:eastAsia="Times New Roman" w:cs="Arial"/>
              </w:rPr>
            </w:pPr>
            <w:r w:rsidRPr="00371E36">
              <w:rPr>
                <w:rFonts w:eastAsia="Times New Roman" w:cs="Arial"/>
              </w:rPr>
              <w:t>Cert IV</w:t>
            </w:r>
          </w:p>
        </w:tc>
        <w:tc>
          <w:tcPr>
            <w:tcW w:w="1280" w:type="dxa"/>
            <w:noWrap/>
            <w:vAlign w:val="center"/>
            <w:hideMark/>
          </w:tcPr>
          <w:p w14:paraId="07A447FC" w14:textId="77777777" w:rsidR="00A91189" w:rsidRPr="00371E36" w:rsidRDefault="00A91189" w:rsidP="00557C2D">
            <w:pPr>
              <w:jc w:val="right"/>
              <w:rPr>
                <w:rFonts w:eastAsia="Times New Roman" w:cs="Arial"/>
              </w:rPr>
            </w:pPr>
            <w:r w:rsidRPr="00371E36">
              <w:rPr>
                <w:rFonts w:eastAsia="Times New Roman" w:cs="Arial"/>
              </w:rPr>
              <w:t>Cert III</w:t>
            </w:r>
          </w:p>
        </w:tc>
        <w:tc>
          <w:tcPr>
            <w:tcW w:w="1280" w:type="dxa"/>
            <w:noWrap/>
            <w:vAlign w:val="center"/>
            <w:hideMark/>
          </w:tcPr>
          <w:p w14:paraId="446A5607" w14:textId="77777777" w:rsidR="00A91189" w:rsidRPr="00371E36" w:rsidRDefault="00A91189" w:rsidP="00557C2D">
            <w:pPr>
              <w:jc w:val="right"/>
              <w:rPr>
                <w:rFonts w:eastAsia="Times New Roman" w:cs="Arial"/>
              </w:rPr>
            </w:pPr>
            <w:r w:rsidRPr="00371E36">
              <w:rPr>
                <w:rFonts w:eastAsia="Times New Roman" w:cs="Arial"/>
              </w:rPr>
              <w:t>Cert I/II</w:t>
            </w:r>
          </w:p>
        </w:tc>
        <w:tc>
          <w:tcPr>
            <w:tcW w:w="1280" w:type="dxa"/>
            <w:noWrap/>
            <w:vAlign w:val="center"/>
            <w:hideMark/>
          </w:tcPr>
          <w:p w14:paraId="3E732F52" w14:textId="77777777" w:rsidR="00A91189" w:rsidRPr="00371E36" w:rsidRDefault="00A91189" w:rsidP="00557C2D">
            <w:pPr>
              <w:jc w:val="right"/>
              <w:rPr>
                <w:rFonts w:eastAsia="Times New Roman" w:cs="Arial"/>
              </w:rPr>
            </w:pPr>
            <w:r w:rsidRPr="00371E36">
              <w:rPr>
                <w:rFonts w:eastAsia="Times New Roman" w:cs="Arial"/>
              </w:rPr>
              <w:t>All levels</w:t>
            </w:r>
          </w:p>
        </w:tc>
      </w:tr>
      <w:tr w:rsidR="00A91189" w:rsidRPr="00371E36" w14:paraId="4780B4BE" w14:textId="77777777" w:rsidTr="00AE114B">
        <w:trPr>
          <w:trHeight w:val="290"/>
        </w:trPr>
        <w:tc>
          <w:tcPr>
            <w:tcW w:w="1840" w:type="dxa"/>
            <w:noWrap/>
            <w:vAlign w:val="center"/>
            <w:hideMark/>
          </w:tcPr>
          <w:p w14:paraId="535EDBDB" w14:textId="77777777" w:rsidR="00A91189" w:rsidRPr="00AE114B" w:rsidRDefault="00A91189" w:rsidP="00AE114B">
            <w:pPr>
              <w:rPr>
                <w:rFonts w:eastAsia="Times New Roman" w:cs="Arial"/>
                <w:sz w:val="20"/>
                <w:szCs w:val="20"/>
              </w:rPr>
            </w:pPr>
            <w:r w:rsidRPr="00AE114B">
              <w:rPr>
                <w:rFonts w:eastAsia="Times New Roman" w:cs="Arial"/>
                <w:sz w:val="20"/>
                <w:szCs w:val="20"/>
              </w:rPr>
              <w:t>Non-TAFE</w:t>
            </w:r>
          </w:p>
        </w:tc>
        <w:tc>
          <w:tcPr>
            <w:tcW w:w="1280" w:type="dxa"/>
            <w:noWrap/>
            <w:vAlign w:val="center"/>
            <w:hideMark/>
          </w:tcPr>
          <w:p w14:paraId="79253F1D" w14:textId="10B1D13B" w:rsidR="00A91189" w:rsidRPr="00AE114B" w:rsidRDefault="00A91189" w:rsidP="00557C2D">
            <w:pPr>
              <w:jc w:val="right"/>
            </w:pPr>
            <w:r w:rsidRPr="00AE114B">
              <w:t>410</w:t>
            </w:r>
          </w:p>
        </w:tc>
        <w:tc>
          <w:tcPr>
            <w:tcW w:w="1280" w:type="dxa"/>
            <w:noWrap/>
            <w:vAlign w:val="center"/>
            <w:hideMark/>
          </w:tcPr>
          <w:p w14:paraId="24F34495" w14:textId="78E9FA79" w:rsidR="00A91189" w:rsidRPr="00AE114B" w:rsidRDefault="00A91189" w:rsidP="00557C2D">
            <w:pPr>
              <w:jc w:val="right"/>
            </w:pPr>
            <w:r w:rsidRPr="00AE114B">
              <w:t>825</w:t>
            </w:r>
          </w:p>
        </w:tc>
        <w:tc>
          <w:tcPr>
            <w:tcW w:w="1280" w:type="dxa"/>
            <w:noWrap/>
            <w:vAlign w:val="center"/>
            <w:hideMark/>
          </w:tcPr>
          <w:p w14:paraId="239AC426" w14:textId="47E6785E" w:rsidR="00A91189" w:rsidRPr="00AE114B" w:rsidRDefault="00A91189" w:rsidP="00557C2D">
            <w:pPr>
              <w:jc w:val="right"/>
            </w:pPr>
            <w:r w:rsidRPr="00AE114B">
              <w:t>1,540</w:t>
            </w:r>
          </w:p>
        </w:tc>
        <w:tc>
          <w:tcPr>
            <w:tcW w:w="1280" w:type="dxa"/>
            <w:noWrap/>
            <w:vAlign w:val="center"/>
            <w:hideMark/>
          </w:tcPr>
          <w:p w14:paraId="0363AC3E" w14:textId="16F05BDA" w:rsidR="00A91189" w:rsidRPr="00AE114B" w:rsidRDefault="00A91189" w:rsidP="00557C2D">
            <w:pPr>
              <w:jc w:val="right"/>
            </w:pPr>
            <w:r w:rsidRPr="00AE114B">
              <w:t>1,195</w:t>
            </w:r>
          </w:p>
        </w:tc>
        <w:tc>
          <w:tcPr>
            <w:tcW w:w="1280" w:type="dxa"/>
            <w:noWrap/>
            <w:vAlign w:val="center"/>
            <w:hideMark/>
          </w:tcPr>
          <w:p w14:paraId="21D3701C" w14:textId="11E96C3F" w:rsidR="00A91189" w:rsidRPr="00AE114B" w:rsidRDefault="00A91189" w:rsidP="00557C2D">
            <w:pPr>
              <w:jc w:val="right"/>
            </w:pPr>
            <w:r w:rsidRPr="00AE114B">
              <w:t>3,970</w:t>
            </w:r>
          </w:p>
        </w:tc>
      </w:tr>
      <w:tr w:rsidR="00A91189" w:rsidRPr="00371E36" w14:paraId="7D14011C" w14:textId="77777777" w:rsidTr="00AE114B">
        <w:trPr>
          <w:cnfStyle w:val="000000010000" w:firstRow="0" w:lastRow="0" w:firstColumn="0" w:lastColumn="0" w:oddVBand="0" w:evenVBand="0" w:oddHBand="0" w:evenHBand="1" w:firstRowFirstColumn="0" w:firstRowLastColumn="0" w:lastRowFirstColumn="0" w:lastRowLastColumn="0"/>
          <w:trHeight w:val="300"/>
        </w:trPr>
        <w:tc>
          <w:tcPr>
            <w:tcW w:w="1840" w:type="dxa"/>
            <w:noWrap/>
            <w:vAlign w:val="center"/>
            <w:hideMark/>
          </w:tcPr>
          <w:p w14:paraId="2FA2BD4F" w14:textId="77777777" w:rsidR="00A91189" w:rsidRPr="00AE114B" w:rsidRDefault="00A91189" w:rsidP="00AE114B">
            <w:pPr>
              <w:rPr>
                <w:rFonts w:eastAsia="Times New Roman" w:cs="Arial"/>
                <w:sz w:val="20"/>
                <w:szCs w:val="20"/>
              </w:rPr>
            </w:pPr>
          </w:p>
        </w:tc>
        <w:tc>
          <w:tcPr>
            <w:tcW w:w="1280" w:type="dxa"/>
            <w:noWrap/>
            <w:vAlign w:val="center"/>
            <w:hideMark/>
          </w:tcPr>
          <w:p w14:paraId="114542D7" w14:textId="071857DB" w:rsidR="00A91189" w:rsidRPr="00AE114B" w:rsidRDefault="00A91189" w:rsidP="00557C2D">
            <w:pPr>
              <w:jc w:val="right"/>
            </w:pPr>
            <w:r w:rsidRPr="00AE114B">
              <w:t>10%</w:t>
            </w:r>
          </w:p>
        </w:tc>
        <w:tc>
          <w:tcPr>
            <w:tcW w:w="1280" w:type="dxa"/>
            <w:noWrap/>
            <w:vAlign w:val="center"/>
            <w:hideMark/>
          </w:tcPr>
          <w:p w14:paraId="2921DBFE" w14:textId="2E8A7801" w:rsidR="00A91189" w:rsidRPr="00AE114B" w:rsidRDefault="00A91189" w:rsidP="00557C2D">
            <w:pPr>
              <w:jc w:val="right"/>
            </w:pPr>
            <w:r w:rsidRPr="00AE114B">
              <w:t>2</w:t>
            </w:r>
            <w:r w:rsidR="004A371C">
              <w:t>1</w:t>
            </w:r>
            <w:r w:rsidRPr="00AE114B">
              <w:t>%</w:t>
            </w:r>
          </w:p>
        </w:tc>
        <w:tc>
          <w:tcPr>
            <w:tcW w:w="1280" w:type="dxa"/>
            <w:noWrap/>
            <w:vAlign w:val="center"/>
            <w:hideMark/>
          </w:tcPr>
          <w:p w14:paraId="1301675C" w14:textId="292F3F4C" w:rsidR="00A91189" w:rsidRPr="00AE114B" w:rsidRDefault="00A91189" w:rsidP="00557C2D">
            <w:pPr>
              <w:jc w:val="right"/>
            </w:pPr>
            <w:r w:rsidRPr="00AE114B">
              <w:t>3</w:t>
            </w:r>
            <w:r w:rsidR="004A371C">
              <w:t>9</w:t>
            </w:r>
            <w:r w:rsidRPr="00AE114B">
              <w:t>%</w:t>
            </w:r>
          </w:p>
        </w:tc>
        <w:tc>
          <w:tcPr>
            <w:tcW w:w="1280" w:type="dxa"/>
            <w:noWrap/>
            <w:vAlign w:val="center"/>
            <w:hideMark/>
          </w:tcPr>
          <w:p w14:paraId="37E6DDDC" w14:textId="149C1CC8" w:rsidR="00A91189" w:rsidRPr="00AE114B" w:rsidRDefault="00A91189" w:rsidP="00557C2D">
            <w:pPr>
              <w:jc w:val="right"/>
            </w:pPr>
            <w:r w:rsidRPr="00AE114B">
              <w:t>30%</w:t>
            </w:r>
          </w:p>
        </w:tc>
        <w:tc>
          <w:tcPr>
            <w:tcW w:w="1280" w:type="dxa"/>
            <w:noWrap/>
            <w:vAlign w:val="center"/>
            <w:hideMark/>
          </w:tcPr>
          <w:p w14:paraId="2EDA058F" w14:textId="77777777" w:rsidR="00A91189" w:rsidRPr="00AE114B" w:rsidRDefault="00A91189" w:rsidP="00557C2D">
            <w:pPr>
              <w:jc w:val="right"/>
            </w:pPr>
            <w:r w:rsidRPr="00AE114B">
              <w:t>100%</w:t>
            </w:r>
          </w:p>
        </w:tc>
      </w:tr>
      <w:tr w:rsidR="00A91189" w:rsidRPr="00371E36" w14:paraId="78AF9E16" w14:textId="77777777" w:rsidTr="00AE114B">
        <w:trPr>
          <w:trHeight w:val="290"/>
        </w:trPr>
        <w:tc>
          <w:tcPr>
            <w:tcW w:w="1840" w:type="dxa"/>
            <w:noWrap/>
            <w:vAlign w:val="center"/>
            <w:hideMark/>
          </w:tcPr>
          <w:p w14:paraId="037B77ED" w14:textId="77777777" w:rsidR="00A91189" w:rsidRPr="00AE114B" w:rsidRDefault="00A91189" w:rsidP="00AE114B">
            <w:pPr>
              <w:rPr>
                <w:rFonts w:eastAsia="Times New Roman" w:cs="Arial"/>
                <w:sz w:val="20"/>
                <w:szCs w:val="20"/>
              </w:rPr>
            </w:pPr>
            <w:r w:rsidRPr="00AE114B">
              <w:rPr>
                <w:rFonts w:eastAsia="Times New Roman" w:cs="Arial"/>
                <w:sz w:val="20"/>
                <w:szCs w:val="20"/>
              </w:rPr>
              <w:t>TAFE Institutes</w:t>
            </w:r>
          </w:p>
        </w:tc>
        <w:tc>
          <w:tcPr>
            <w:tcW w:w="1280" w:type="dxa"/>
            <w:noWrap/>
            <w:vAlign w:val="center"/>
            <w:hideMark/>
          </w:tcPr>
          <w:p w14:paraId="32B4702D" w14:textId="33F5A7AA" w:rsidR="00A91189" w:rsidRPr="00AE114B" w:rsidRDefault="00A91189" w:rsidP="00557C2D">
            <w:pPr>
              <w:jc w:val="right"/>
            </w:pPr>
            <w:r w:rsidRPr="00AE114B">
              <w:t>375</w:t>
            </w:r>
          </w:p>
        </w:tc>
        <w:tc>
          <w:tcPr>
            <w:tcW w:w="1280" w:type="dxa"/>
            <w:noWrap/>
            <w:vAlign w:val="center"/>
            <w:hideMark/>
          </w:tcPr>
          <w:p w14:paraId="4F404736" w14:textId="6A61BBAE" w:rsidR="00A91189" w:rsidRPr="00AE114B" w:rsidRDefault="00A91189" w:rsidP="00557C2D">
            <w:pPr>
              <w:jc w:val="right"/>
            </w:pPr>
            <w:r w:rsidRPr="00AE114B">
              <w:t>580</w:t>
            </w:r>
          </w:p>
        </w:tc>
        <w:tc>
          <w:tcPr>
            <w:tcW w:w="1280" w:type="dxa"/>
            <w:noWrap/>
            <w:vAlign w:val="center"/>
            <w:hideMark/>
          </w:tcPr>
          <w:p w14:paraId="6FF8CCCA" w14:textId="7824EB97" w:rsidR="00A91189" w:rsidRPr="00AE114B" w:rsidRDefault="00A91189" w:rsidP="00557C2D">
            <w:pPr>
              <w:jc w:val="right"/>
            </w:pPr>
            <w:r w:rsidRPr="00AE114B">
              <w:t>1,880</w:t>
            </w:r>
          </w:p>
        </w:tc>
        <w:tc>
          <w:tcPr>
            <w:tcW w:w="1280" w:type="dxa"/>
            <w:noWrap/>
            <w:vAlign w:val="center"/>
            <w:hideMark/>
          </w:tcPr>
          <w:p w14:paraId="36D549FC" w14:textId="2B765BCD" w:rsidR="00A91189" w:rsidRPr="00AE114B" w:rsidRDefault="00A91189" w:rsidP="00557C2D">
            <w:pPr>
              <w:jc w:val="right"/>
            </w:pPr>
            <w:r w:rsidRPr="00AE114B">
              <w:t>995</w:t>
            </w:r>
          </w:p>
        </w:tc>
        <w:tc>
          <w:tcPr>
            <w:tcW w:w="1280" w:type="dxa"/>
            <w:noWrap/>
            <w:vAlign w:val="center"/>
            <w:hideMark/>
          </w:tcPr>
          <w:p w14:paraId="2F8411E7" w14:textId="5795AD28" w:rsidR="00A91189" w:rsidRPr="00AE114B" w:rsidRDefault="00A91189" w:rsidP="00557C2D">
            <w:pPr>
              <w:jc w:val="right"/>
            </w:pPr>
            <w:r w:rsidRPr="00AE114B">
              <w:t>3,830</w:t>
            </w:r>
          </w:p>
        </w:tc>
      </w:tr>
      <w:tr w:rsidR="00A91189" w:rsidRPr="00371E36" w14:paraId="1723B413" w14:textId="77777777" w:rsidTr="00AE114B">
        <w:trPr>
          <w:cnfStyle w:val="000000010000" w:firstRow="0" w:lastRow="0" w:firstColumn="0" w:lastColumn="0" w:oddVBand="0" w:evenVBand="0" w:oddHBand="0" w:evenHBand="1" w:firstRowFirstColumn="0" w:firstRowLastColumn="0" w:lastRowFirstColumn="0" w:lastRowLastColumn="0"/>
          <w:trHeight w:val="300"/>
        </w:trPr>
        <w:tc>
          <w:tcPr>
            <w:tcW w:w="1840" w:type="dxa"/>
            <w:noWrap/>
            <w:vAlign w:val="center"/>
            <w:hideMark/>
          </w:tcPr>
          <w:p w14:paraId="0450A3AA" w14:textId="77777777" w:rsidR="00A91189" w:rsidRPr="00AE114B" w:rsidRDefault="00A91189" w:rsidP="00AE114B">
            <w:pPr>
              <w:rPr>
                <w:rFonts w:eastAsia="Times New Roman" w:cs="Arial"/>
                <w:sz w:val="20"/>
                <w:szCs w:val="20"/>
              </w:rPr>
            </w:pPr>
          </w:p>
        </w:tc>
        <w:tc>
          <w:tcPr>
            <w:tcW w:w="1280" w:type="dxa"/>
            <w:noWrap/>
            <w:vAlign w:val="center"/>
            <w:hideMark/>
          </w:tcPr>
          <w:p w14:paraId="24A35301" w14:textId="4408D3C9" w:rsidR="00A91189" w:rsidRPr="00AE114B" w:rsidRDefault="004A371C" w:rsidP="00557C2D">
            <w:pPr>
              <w:jc w:val="right"/>
            </w:pPr>
            <w:r>
              <w:t>10</w:t>
            </w:r>
            <w:r w:rsidR="00A91189" w:rsidRPr="00AE114B">
              <w:t>%</w:t>
            </w:r>
          </w:p>
        </w:tc>
        <w:tc>
          <w:tcPr>
            <w:tcW w:w="1280" w:type="dxa"/>
            <w:noWrap/>
            <w:vAlign w:val="center"/>
            <w:hideMark/>
          </w:tcPr>
          <w:p w14:paraId="28B40137" w14:textId="21B1A987" w:rsidR="00A91189" w:rsidRPr="00AE114B" w:rsidRDefault="00A91189" w:rsidP="00557C2D">
            <w:pPr>
              <w:jc w:val="right"/>
            </w:pPr>
            <w:r w:rsidRPr="00AE114B">
              <w:t>15%</w:t>
            </w:r>
          </w:p>
        </w:tc>
        <w:tc>
          <w:tcPr>
            <w:tcW w:w="1280" w:type="dxa"/>
            <w:noWrap/>
            <w:vAlign w:val="center"/>
            <w:hideMark/>
          </w:tcPr>
          <w:p w14:paraId="1C9F6922" w14:textId="37C15BE9" w:rsidR="00A91189" w:rsidRPr="00AE114B" w:rsidRDefault="00A91189" w:rsidP="00557C2D">
            <w:pPr>
              <w:jc w:val="right"/>
            </w:pPr>
            <w:r w:rsidRPr="00AE114B">
              <w:t>49%</w:t>
            </w:r>
          </w:p>
        </w:tc>
        <w:tc>
          <w:tcPr>
            <w:tcW w:w="1280" w:type="dxa"/>
            <w:noWrap/>
            <w:vAlign w:val="center"/>
            <w:hideMark/>
          </w:tcPr>
          <w:p w14:paraId="2A910223" w14:textId="0FEFD882" w:rsidR="00A91189" w:rsidRPr="00AE114B" w:rsidRDefault="00A91189" w:rsidP="00557C2D">
            <w:pPr>
              <w:jc w:val="right"/>
            </w:pPr>
            <w:r w:rsidRPr="00AE114B">
              <w:t>26%</w:t>
            </w:r>
          </w:p>
        </w:tc>
        <w:tc>
          <w:tcPr>
            <w:tcW w:w="1280" w:type="dxa"/>
            <w:noWrap/>
            <w:vAlign w:val="center"/>
            <w:hideMark/>
          </w:tcPr>
          <w:p w14:paraId="180BC8D1" w14:textId="77777777" w:rsidR="00A91189" w:rsidRPr="00AE114B" w:rsidRDefault="00A91189" w:rsidP="00557C2D">
            <w:pPr>
              <w:jc w:val="right"/>
            </w:pPr>
            <w:r w:rsidRPr="00AE114B">
              <w:t>100%</w:t>
            </w:r>
          </w:p>
        </w:tc>
      </w:tr>
      <w:tr w:rsidR="00A91189" w:rsidRPr="00371E36" w14:paraId="0D534E04" w14:textId="77777777" w:rsidTr="00AE114B">
        <w:trPr>
          <w:trHeight w:val="290"/>
        </w:trPr>
        <w:tc>
          <w:tcPr>
            <w:tcW w:w="1840" w:type="dxa"/>
            <w:noWrap/>
            <w:vAlign w:val="center"/>
            <w:hideMark/>
          </w:tcPr>
          <w:p w14:paraId="4FBFEE94" w14:textId="77777777" w:rsidR="00A91189" w:rsidRPr="00AE114B" w:rsidRDefault="00A91189" w:rsidP="00AE114B">
            <w:pPr>
              <w:rPr>
                <w:rFonts w:eastAsia="Times New Roman" w:cs="Arial"/>
                <w:sz w:val="20"/>
                <w:szCs w:val="20"/>
              </w:rPr>
            </w:pPr>
            <w:r w:rsidRPr="00AE114B">
              <w:rPr>
                <w:rFonts w:eastAsia="Times New Roman" w:cs="Arial"/>
                <w:sz w:val="20"/>
                <w:szCs w:val="20"/>
              </w:rPr>
              <w:t>All VET</w:t>
            </w:r>
          </w:p>
        </w:tc>
        <w:tc>
          <w:tcPr>
            <w:tcW w:w="1280" w:type="dxa"/>
            <w:noWrap/>
            <w:vAlign w:val="center"/>
            <w:hideMark/>
          </w:tcPr>
          <w:p w14:paraId="11308E04" w14:textId="77777777" w:rsidR="00A91189" w:rsidRPr="00AE114B" w:rsidRDefault="00A91189" w:rsidP="00557C2D">
            <w:pPr>
              <w:jc w:val="right"/>
            </w:pPr>
            <w:r w:rsidRPr="00AE114B">
              <w:t>785</w:t>
            </w:r>
          </w:p>
        </w:tc>
        <w:tc>
          <w:tcPr>
            <w:tcW w:w="1280" w:type="dxa"/>
            <w:noWrap/>
            <w:vAlign w:val="center"/>
            <w:hideMark/>
          </w:tcPr>
          <w:p w14:paraId="0EC4F8A9" w14:textId="77777777" w:rsidR="00A91189" w:rsidRPr="00AE114B" w:rsidRDefault="00A91189" w:rsidP="00557C2D">
            <w:pPr>
              <w:jc w:val="right"/>
            </w:pPr>
            <w:r w:rsidRPr="00AE114B">
              <w:t>1,405</w:t>
            </w:r>
          </w:p>
        </w:tc>
        <w:tc>
          <w:tcPr>
            <w:tcW w:w="1280" w:type="dxa"/>
            <w:noWrap/>
            <w:vAlign w:val="center"/>
            <w:hideMark/>
          </w:tcPr>
          <w:p w14:paraId="358430A1" w14:textId="77777777" w:rsidR="00A91189" w:rsidRPr="00AE114B" w:rsidRDefault="00A91189" w:rsidP="00557C2D">
            <w:pPr>
              <w:jc w:val="right"/>
            </w:pPr>
            <w:r w:rsidRPr="00AE114B">
              <w:t>3,420</w:t>
            </w:r>
          </w:p>
        </w:tc>
        <w:tc>
          <w:tcPr>
            <w:tcW w:w="1280" w:type="dxa"/>
            <w:noWrap/>
            <w:vAlign w:val="center"/>
            <w:hideMark/>
          </w:tcPr>
          <w:p w14:paraId="2B4A6409" w14:textId="77777777" w:rsidR="00A91189" w:rsidRPr="00AE114B" w:rsidRDefault="00A91189" w:rsidP="00557C2D">
            <w:pPr>
              <w:jc w:val="right"/>
            </w:pPr>
            <w:r w:rsidRPr="00AE114B">
              <w:t>2,190</w:t>
            </w:r>
          </w:p>
        </w:tc>
        <w:tc>
          <w:tcPr>
            <w:tcW w:w="1280" w:type="dxa"/>
            <w:noWrap/>
            <w:vAlign w:val="center"/>
            <w:hideMark/>
          </w:tcPr>
          <w:p w14:paraId="5FEC750D" w14:textId="77777777" w:rsidR="00A91189" w:rsidRPr="00AE114B" w:rsidRDefault="00A91189" w:rsidP="00557C2D">
            <w:pPr>
              <w:jc w:val="right"/>
            </w:pPr>
            <w:r w:rsidRPr="00AE114B">
              <w:t>7,800</w:t>
            </w:r>
          </w:p>
        </w:tc>
      </w:tr>
      <w:tr w:rsidR="00A91189" w:rsidRPr="00371E36" w14:paraId="2F5971A6" w14:textId="77777777" w:rsidTr="00AE114B">
        <w:trPr>
          <w:cnfStyle w:val="000000010000" w:firstRow="0" w:lastRow="0" w:firstColumn="0" w:lastColumn="0" w:oddVBand="0" w:evenVBand="0" w:oddHBand="0" w:evenHBand="1" w:firstRowFirstColumn="0" w:firstRowLastColumn="0" w:lastRowFirstColumn="0" w:lastRowLastColumn="0"/>
          <w:trHeight w:val="300"/>
        </w:trPr>
        <w:tc>
          <w:tcPr>
            <w:tcW w:w="1840" w:type="dxa"/>
            <w:noWrap/>
            <w:vAlign w:val="center"/>
            <w:hideMark/>
          </w:tcPr>
          <w:p w14:paraId="4FE49E35" w14:textId="77777777" w:rsidR="00A91189" w:rsidRPr="00AE114B" w:rsidRDefault="00A91189" w:rsidP="00AE114B">
            <w:pPr>
              <w:rPr>
                <w:rFonts w:eastAsia="Times New Roman" w:cs="Arial"/>
                <w:sz w:val="20"/>
                <w:szCs w:val="20"/>
              </w:rPr>
            </w:pPr>
          </w:p>
        </w:tc>
        <w:tc>
          <w:tcPr>
            <w:tcW w:w="1280" w:type="dxa"/>
            <w:noWrap/>
            <w:vAlign w:val="center"/>
            <w:hideMark/>
          </w:tcPr>
          <w:p w14:paraId="10963E49" w14:textId="7F51A50D" w:rsidR="00A91189" w:rsidRPr="00AE114B" w:rsidRDefault="00A91189" w:rsidP="00557C2D">
            <w:pPr>
              <w:jc w:val="right"/>
            </w:pPr>
            <w:r w:rsidRPr="00AE114B">
              <w:t>10%</w:t>
            </w:r>
          </w:p>
        </w:tc>
        <w:tc>
          <w:tcPr>
            <w:tcW w:w="1280" w:type="dxa"/>
            <w:noWrap/>
            <w:vAlign w:val="center"/>
            <w:hideMark/>
          </w:tcPr>
          <w:p w14:paraId="6EE020A0" w14:textId="7A35DBE8" w:rsidR="00A91189" w:rsidRPr="00AE114B" w:rsidRDefault="00A91189" w:rsidP="00557C2D">
            <w:pPr>
              <w:jc w:val="right"/>
            </w:pPr>
            <w:r w:rsidRPr="00AE114B">
              <w:t>18%</w:t>
            </w:r>
          </w:p>
        </w:tc>
        <w:tc>
          <w:tcPr>
            <w:tcW w:w="1280" w:type="dxa"/>
            <w:noWrap/>
            <w:vAlign w:val="center"/>
            <w:hideMark/>
          </w:tcPr>
          <w:p w14:paraId="27509D7A" w14:textId="2ACF38BB" w:rsidR="00A91189" w:rsidRPr="00AE114B" w:rsidRDefault="00A91189" w:rsidP="00557C2D">
            <w:pPr>
              <w:jc w:val="right"/>
            </w:pPr>
            <w:r w:rsidRPr="00AE114B">
              <w:t>4</w:t>
            </w:r>
            <w:r w:rsidR="004A371C">
              <w:t>4</w:t>
            </w:r>
            <w:r w:rsidRPr="00AE114B">
              <w:t>%</w:t>
            </w:r>
          </w:p>
        </w:tc>
        <w:tc>
          <w:tcPr>
            <w:tcW w:w="1280" w:type="dxa"/>
            <w:noWrap/>
            <w:vAlign w:val="center"/>
            <w:hideMark/>
          </w:tcPr>
          <w:p w14:paraId="5AB614D4" w14:textId="6AC0317A" w:rsidR="00A91189" w:rsidRPr="00AE114B" w:rsidRDefault="00A91189" w:rsidP="00557C2D">
            <w:pPr>
              <w:jc w:val="right"/>
            </w:pPr>
            <w:r w:rsidRPr="00AE114B">
              <w:t>28%</w:t>
            </w:r>
          </w:p>
        </w:tc>
        <w:tc>
          <w:tcPr>
            <w:tcW w:w="1280" w:type="dxa"/>
            <w:noWrap/>
            <w:vAlign w:val="center"/>
            <w:hideMark/>
          </w:tcPr>
          <w:p w14:paraId="1649FC1C" w14:textId="77777777" w:rsidR="00A91189" w:rsidRPr="00AE114B" w:rsidRDefault="00A91189" w:rsidP="00557C2D">
            <w:pPr>
              <w:jc w:val="right"/>
            </w:pPr>
            <w:r w:rsidRPr="00AE114B">
              <w:t>100%</w:t>
            </w:r>
          </w:p>
        </w:tc>
      </w:tr>
    </w:tbl>
    <w:p w14:paraId="1569BEFB" w14:textId="4B3D0482" w:rsidR="00A91189" w:rsidRPr="00C44ECA" w:rsidRDefault="00A91189" w:rsidP="00C44ECA">
      <w:pPr>
        <w:pStyle w:val="Source"/>
        <w:rPr>
          <w:rFonts w:asciiTheme="minorHAnsi" w:hAnsiTheme="minorHAnsi" w:cstheme="minorHAnsi"/>
        </w:rPr>
      </w:pPr>
      <w:r w:rsidRPr="00C44ECA">
        <w:rPr>
          <w:rFonts w:asciiTheme="minorHAnsi" w:hAnsiTheme="minorHAnsi" w:cstheme="minorHAnsi"/>
        </w:rPr>
        <w:t>Source: NCVER</w:t>
      </w:r>
      <w:r w:rsidR="00886289" w:rsidRPr="00C44ECA">
        <w:rPr>
          <w:rFonts w:asciiTheme="minorHAnsi" w:hAnsiTheme="minorHAnsi" w:cstheme="minorHAnsi"/>
        </w:rPr>
        <w:t xml:space="preserve">, </w:t>
      </w:r>
      <w:r w:rsidR="00886289" w:rsidRPr="00C44ECA">
        <w:rPr>
          <w:rFonts w:asciiTheme="minorHAnsi" w:hAnsiTheme="minorHAnsi" w:cstheme="minorHAnsi"/>
          <w:i/>
          <w:iCs/>
        </w:rPr>
        <w:t xml:space="preserve">Total VET Students and Courses, </w:t>
      </w:r>
      <w:r w:rsidR="00886289" w:rsidRPr="00C44ECA">
        <w:rPr>
          <w:rFonts w:asciiTheme="minorHAnsi" w:hAnsiTheme="minorHAnsi" w:cstheme="minorHAnsi"/>
        </w:rPr>
        <w:t>program completions,</w:t>
      </w:r>
      <w:r w:rsidRPr="00C44ECA">
        <w:rPr>
          <w:rFonts w:asciiTheme="minorHAnsi" w:hAnsiTheme="minorHAnsi" w:cstheme="minorHAnsi"/>
        </w:rPr>
        <w:t xml:space="preserve"> 2022</w:t>
      </w:r>
      <w:r w:rsidR="00886289" w:rsidRPr="00C44ECA">
        <w:rPr>
          <w:rFonts w:asciiTheme="minorHAnsi" w:hAnsiTheme="minorHAnsi" w:cstheme="minorHAnsi"/>
        </w:rPr>
        <w:t>, VOCSTATS</w:t>
      </w:r>
      <w:r w:rsidRPr="00C44ECA">
        <w:rPr>
          <w:rFonts w:asciiTheme="minorHAnsi" w:hAnsiTheme="minorHAnsi" w:cstheme="minorHAnsi"/>
        </w:rPr>
        <w:t xml:space="preserve"> </w:t>
      </w:r>
    </w:p>
    <w:p w14:paraId="14D05636" w14:textId="77777777" w:rsidR="00A91189" w:rsidRPr="009A66EB" w:rsidRDefault="00A91189" w:rsidP="00B84505">
      <w:pPr>
        <w:pStyle w:val="Source"/>
      </w:pPr>
      <w:r w:rsidRPr="00EF4ED1">
        <w:t>Note: all cells in table have been rounded to nearest 5</w:t>
      </w:r>
    </w:p>
    <w:p w14:paraId="178823D8" w14:textId="5CA1108B" w:rsidR="00A91189" w:rsidRPr="00EF4ED1" w:rsidRDefault="00A91189" w:rsidP="00C44ECA">
      <w:r w:rsidRPr="00EF4ED1">
        <w:t xml:space="preserve">Of the around 7,800 VET program completions by students residing in the Mid North Coast, just under one half </w:t>
      </w:r>
      <w:r w:rsidR="007C5C5C">
        <w:t>(</w:t>
      </w:r>
      <w:r w:rsidR="00351305">
        <w:t>49%)</w:t>
      </w:r>
      <w:r w:rsidRPr="00EF4ED1">
        <w:t xml:space="preserve"> were from TAFEs </w:t>
      </w:r>
      <w:r w:rsidR="00E728AD">
        <w:t>(</w:t>
      </w:r>
      <w:r w:rsidRPr="00EF4ED1">
        <w:t xml:space="preserve">Table </w:t>
      </w:r>
      <w:r w:rsidR="00AE7584">
        <w:t>15</w:t>
      </w:r>
      <w:r w:rsidR="00E728AD">
        <w:t>)</w:t>
      </w:r>
      <w:r w:rsidRPr="00EF4ED1">
        <w:t xml:space="preserve">. The proportion of VET program completions from locals attending TAFE Institutes </w:t>
      </w:r>
      <w:r w:rsidR="0026492B">
        <w:t>is expected to</w:t>
      </w:r>
      <w:r w:rsidRPr="00EF4ED1">
        <w:t xml:space="preserve"> increase going forward. Under the </w:t>
      </w:r>
      <w:hyperlink r:id="rId147">
        <w:r w:rsidRPr="00EF4ED1">
          <w:rPr>
            <w:rStyle w:val="Hyperlink"/>
            <w:rFonts w:eastAsia="Arial" w:cs="Arial"/>
            <w:color w:val="013D74"/>
          </w:rPr>
          <w:t>Fee-Free TAFE Skills Agreement</w:t>
        </w:r>
      </w:hyperlink>
      <w:r w:rsidRPr="00EF4ED1">
        <w:t>, the Australian Government has partnered with states and territories to deliver over $1.5 billion funding for 500,000 Fee-Free TAFE and VET places across Australia over 2023 to 2026.</w:t>
      </w:r>
    </w:p>
    <w:p w14:paraId="5CD3E138" w14:textId="77777777" w:rsidR="00A91189" w:rsidRPr="00EF4ED1" w:rsidRDefault="00A91189" w:rsidP="00C44ECA">
      <w:r w:rsidRPr="00EF4ED1">
        <w:t>The Fee-Free TAFE Skills Agreement sets out training places across a number of areas of national priority, including several key employing sectors in shortage in the Mid North Coast such as care (including aged care, health care and disability care, and early childhood education and care) and construction.</w:t>
      </w:r>
    </w:p>
    <w:p w14:paraId="477413AF" w14:textId="101872C2" w:rsidR="00A91189" w:rsidRPr="00EF4ED1" w:rsidRDefault="00A91189" w:rsidP="00C44ECA">
      <w:r w:rsidRPr="00EF4ED1">
        <w:t xml:space="preserve">In 2022, residents of the Mid North Coast obtained over 1,800 VET program completions relevant to the top </w:t>
      </w:r>
      <w:r w:rsidR="00397803">
        <w:t>twelve</w:t>
      </w:r>
      <w:r w:rsidRPr="00EF4ED1">
        <w:t xml:space="preserve"> employing occupations in </w:t>
      </w:r>
      <w:r w:rsidR="00397803">
        <w:t>shortage in</w:t>
      </w:r>
      <w:r w:rsidRPr="00EF4ED1">
        <w:t xml:space="preserve"> the region at skill levels 2</w:t>
      </w:r>
      <w:r w:rsidR="007D1B04">
        <w:t>–</w:t>
      </w:r>
      <w:r w:rsidR="0026492B">
        <w:t>4</w:t>
      </w:r>
      <w:r w:rsidRPr="00EF4ED1">
        <w:t xml:space="preserve">. This included more than 1,100 VET completions in respect of the top three occupations (at skill levels 3 and 4) in the </w:t>
      </w:r>
      <w:r w:rsidR="008553B0">
        <w:t>H</w:t>
      </w:r>
      <w:r w:rsidRPr="00EF4ED1">
        <w:t xml:space="preserve">ealth </w:t>
      </w:r>
      <w:r w:rsidR="008553B0">
        <w:t>C</w:t>
      </w:r>
      <w:r w:rsidRPr="00EF4ED1">
        <w:t xml:space="preserve">are and </w:t>
      </w:r>
      <w:r w:rsidR="008553B0">
        <w:t>S</w:t>
      </w:r>
      <w:r w:rsidRPr="00EF4ED1">
        <w:t xml:space="preserve">ocial </w:t>
      </w:r>
      <w:r w:rsidR="00282D43">
        <w:t>A</w:t>
      </w:r>
      <w:r w:rsidRPr="00EF4ED1">
        <w:t xml:space="preserve">ssistance industry, i.e. </w:t>
      </w:r>
      <w:r w:rsidR="00282D43">
        <w:t>N</w:t>
      </w:r>
      <w:r w:rsidRPr="00EF4ED1">
        <w:t xml:space="preserve">ursing </w:t>
      </w:r>
      <w:r w:rsidR="00282D43">
        <w:t>S</w:t>
      </w:r>
      <w:r w:rsidRPr="00EF4ED1">
        <w:t xml:space="preserve">upport and </w:t>
      </w:r>
      <w:r w:rsidR="00282D43">
        <w:t>P</w:t>
      </w:r>
      <w:r w:rsidRPr="00EF4ED1">
        <w:t xml:space="preserve">ersonal </w:t>
      </w:r>
      <w:r w:rsidR="00282D43">
        <w:t>C</w:t>
      </w:r>
      <w:r w:rsidRPr="00EF4ED1">
        <w:t xml:space="preserve">are </w:t>
      </w:r>
      <w:r w:rsidR="00F91E16">
        <w:t>W</w:t>
      </w:r>
      <w:r w:rsidRPr="00EF4ED1">
        <w:t>orker</w:t>
      </w:r>
      <w:r w:rsidR="002D03D9">
        <w:t>s</w:t>
      </w:r>
      <w:r w:rsidRPr="00EF4ED1">
        <w:t xml:space="preserve">, </w:t>
      </w:r>
      <w:r w:rsidR="002D03D9">
        <w:t>C</w:t>
      </w:r>
      <w:r w:rsidRPr="00EF4ED1">
        <w:t xml:space="preserve">hild </w:t>
      </w:r>
      <w:r w:rsidR="002D03D9">
        <w:t>C</w:t>
      </w:r>
      <w:r w:rsidRPr="00EF4ED1">
        <w:t>arer</w:t>
      </w:r>
      <w:r w:rsidR="002D03D9">
        <w:t>s</w:t>
      </w:r>
      <w:r w:rsidRPr="00EF4ED1">
        <w:t xml:space="preserve">, and </w:t>
      </w:r>
      <w:r w:rsidR="002D03D9">
        <w:t>A</w:t>
      </w:r>
      <w:r w:rsidRPr="00EF4ED1">
        <w:t xml:space="preserve">ged and </w:t>
      </w:r>
      <w:r w:rsidR="002D03D9">
        <w:t>D</w:t>
      </w:r>
      <w:r w:rsidRPr="00EF4ED1">
        <w:t xml:space="preserve">isabled </w:t>
      </w:r>
      <w:r w:rsidR="002D03D9">
        <w:t>C</w:t>
      </w:r>
      <w:r w:rsidRPr="00EF4ED1">
        <w:t>arer</w:t>
      </w:r>
      <w:r w:rsidR="002D03D9">
        <w:t>s</w:t>
      </w:r>
      <w:r w:rsidRPr="00EF4ED1">
        <w:t xml:space="preserve"> </w:t>
      </w:r>
      <w:r w:rsidR="00FC197C" w:rsidRPr="00B81A24">
        <w:t>(</w:t>
      </w:r>
      <w:r w:rsidR="00C24440" w:rsidRPr="00B81A24">
        <w:t>T</w:t>
      </w:r>
      <w:r w:rsidR="00FC197C" w:rsidRPr="00B81A24">
        <w:t xml:space="preserve">able </w:t>
      </w:r>
      <w:r w:rsidR="00F2683A" w:rsidRPr="00B81A24">
        <w:t>1</w:t>
      </w:r>
      <w:r w:rsidR="00B81A24" w:rsidRPr="00B81A24">
        <w:t>6</w:t>
      </w:r>
      <w:r w:rsidR="0026492B">
        <w:t>)</w:t>
      </w:r>
      <w:r w:rsidR="00FC197C" w:rsidRPr="00B81A24">
        <w:t>.</w:t>
      </w:r>
    </w:p>
    <w:p w14:paraId="4B240175" w14:textId="58E6E973" w:rsidR="00A91189" w:rsidRPr="00EF4ED1" w:rsidRDefault="00A91189" w:rsidP="00C44ECA">
      <w:r>
        <w:t>T</w:t>
      </w:r>
      <w:r w:rsidRPr="00EF4ED1">
        <w:t xml:space="preserve">he region’s VET system supported the workforce needs of the local construction industry by delivering almost 400 VET completions </w:t>
      </w:r>
      <w:r>
        <w:t xml:space="preserve">in 2022 </w:t>
      </w:r>
      <w:r w:rsidRPr="00EF4ED1">
        <w:t xml:space="preserve">relevant to the heavily male-dominated skill level 3 occupations of </w:t>
      </w:r>
      <w:r w:rsidR="00B81656">
        <w:t>P</w:t>
      </w:r>
      <w:r w:rsidRPr="00EF4ED1">
        <w:t xml:space="preserve">lumber, </w:t>
      </w:r>
      <w:r w:rsidR="00B81656">
        <w:t>C</w:t>
      </w:r>
      <w:r w:rsidRPr="00EF4ED1">
        <w:t xml:space="preserve">arpenter and </w:t>
      </w:r>
      <w:r w:rsidR="00B81656">
        <w:t>J</w:t>
      </w:r>
      <w:r w:rsidRPr="00EF4ED1">
        <w:t>oiner</w:t>
      </w:r>
      <w:r w:rsidR="00B81656">
        <w:t>,</w:t>
      </w:r>
      <w:r w:rsidRPr="00EF4ED1">
        <w:t xml:space="preserve"> and </w:t>
      </w:r>
      <w:r w:rsidR="00B81656">
        <w:t>E</w:t>
      </w:r>
      <w:r w:rsidRPr="00EF4ED1">
        <w:t xml:space="preserve">lectrician </w:t>
      </w:r>
      <w:r w:rsidR="00FC197C" w:rsidRPr="00B81A24">
        <w:t xml:space="preserve">(see </w:t>
      </w:r>
      <w:r w:rsidR="00C24440" w:rsidRPr="00B81A24">
        <w:t>T</w:t>
      </w:r>
      <w:r w:rsidR="00FC197C" w:rsidRPr="00B81A24">
        <w:t xml:space="preserve">able </w:t>
      </w:r>
      <w:r w:rsidR="00F2683A" w:rsidRPr="00B81A24">
        <w:t>1</w:t>
      </w:r>
      <w:r w:rsidR="00B81A24" w:rsidRPr="00B81A24">
        <w:t>6</w:t>
      </w:r>
      <w:r w:rsidR="0026492B">
        <w:t>)</w:t>
      </w:r>
      <w:r w:rsidR="00FC197C" w:rsidRPr="00B81A24">
        <w:t>.</w:t>
      </w:r>
    </w:p>
    <w:p w14:paraId="3F58BA06" w14:textId="6C4A7A8A" w:rsidR="00A91189" w:rsidRPr="006D634A" w:rsidRDefault="00A91189" w:rsidP="00C44ECA">
      <w:r w:rsidRPr="00EF4ED1">
        <w:t xml:space="preserve">While these data appear to show the VET system is helping to train locals in fields relevant to key occupations in demand at skill levels 3 and 4, retaining students to live and work locally after their VET training is complete is key to addressing the identified skills shortages in the region. To assess </w:t>
      </w:r>
      <w:r w:rsidR="00A80017">
        <w:t xml:space="preserve">the extent to which this occurs </w:t>
      </w:r>
      <w:r w:rsidRPr="00EF4ED1">
        <w:t xml:space="preserve">requires </w:t>
      </w:r>
      <w:r w:rsidR="00834975">
        <w:t xml:space="preserve">analysis of </w:t>
      </w:r>
      <w:r w:rsidRPr="00EF4ED1">
        <w:t>VET students’ post-completion outcomes (e.g. in terms of their transitions to further education or employment occupation, in the region or elsewhere). In 2024</w:t>
      </w:r>
      <w:r w:rsidR="007D1B04">
        <w:rPr>
          <w:rFonts w:cs="Arial"/>
          <w:kern w:val="2"/>
          <w14:ligatures w14:val="standardContextual"/>
        </w:rPr>
        <w:t>–</w:t>
      </w:r>
      <w:r w:rsidRPr="00EF4ED1">
        <w:t xml:space="preserve">25, JSA intends to </w:t>
      </w:r>
      <w:r w:rsidR="00834975">
        <w:t xml:space="preserve">analyse linked administrative data </w:t>
      </w:r>
      <w:r w:rsidR="00C0666A">
        <w:t>to explore this in more detail.</w:t>
      </w:r>
      <w:r w:rsidRPr="4D294AEB">
        <w:t xml:space="preserve">  </w:t>
      </w:r>
    </w:p>
    <w:p w14:paraId="4B3256C3" w14:textId="5E2E9EDD" w:rsidR="00A91189" w:rsidRDefault="00FC197C" w:rsidP="003D070F">
      <w:r>
        <w:br w:type="page"/>
      </w:r>
    </w:p>
    <w:p w14:paraId="18C281F5" w14:textId="7D48A556" w:rsidR="00A91189" w:rsidRPr="00C44ECA" w:rsidRDefault="00A91189" w:rsidP="00C44ECA">
      <w:pPr>
        <w:pStyle w:val="Caption"/>
        <w:rPr>
          <w:rFonts w:asciiTheme="minorHAnsi" w:hAnsiTheme="minorHAnsi" w:cstheme="minorHAnsi"/>
          <w:szCs w:val="20"/>
        </w:rPr>
      </w:pPr>
      <w:r w:rsidRPr="00C44ECA">
        <w:rPr>
          <w:rFonts w:asciiTheme="minorHAnsi" w:hAnsiTheme="minorHAnsi" w:cstheme="minorHAnsi"/>
          <w:szCs w:val="20"/>
        </w:rPr>
        <w:t xml:space="preserve">Table </w:t>
      </w:r>
      <w:r w:rsidR="00F2683A" w:rsidRPr="00C44ECA">
        <w:rPr>
          <w:rFonts w:asciiTheme="minorHAnsi" w:hAnsiTheme="minorHAnsi" w:cstheme="minorHAnsi"/>
          <w:szCs w:val="20"/>
        </w:rPr>
        <w:t>1</w:t>
      </w:r>
      <w:r w:rsidR="00B81A24" w:rsidRPr="00C44ECA">
        <w:rPr>
          <w:rFonts w:asciiTheme="minorHAnsi" w:hAnsiTheme="minorHAnsi" w:cstheme="minorHAnsi"/>
          <w:szCs w:val="20"/>
        </w:rPr>
        <w:t>6</w:t>
      </w:r>
      <w:r w:rsidR="00F2683A" w:rsidRPr="00C44ECA">
        <w:rPr>
          <w:rFonts w:asciiTheme="minorHAnsi" w:hAnsiTheme="minorHAnsi" w:cstheme="minorHAnsi"/>
          <w:szCs w:val="20"/>
        </w:rPr>
        <w:t>:</w:t>
      </w:r>
      <w:r w:rsidRPr="00C44ECA">
        <w:rPr>
          <w:rFonts w:asciiTheme="minorHAnsi" w:hAnsiTheme="minorHAnsi" w:cstheme="minorHAnsi"/>
          <w:szCs w:val="20"/>
        </w:rPr>
        <w:t xml:space="preserve"> </w:t>
      </w:r>
      <w:r w:rsidR="00774760" w:rsidRPr="00C44ECA">
        <w:rPr>
          <w:rFonts w:asciiTheme="minorHAnsi" w:hAnsiTheme="minorHAnsi" w:cstheme="minorHAnsi"/>
          <w:szCs w:val="20"/>
        </w:rPr>
        <w:t>Skill level 2</w:t>
      </w:r>
      <w:r w:rsidR="007D1B04">
        <w:rPr>
          <w:rFonts w:asciiTheme="minorHAnsi" w:hAnsiTheme="minorHAnsi" w:cstheme="minorHAnsi"/>
          <w:szCs w:val="20"/>
        </w:rPr>
        <w:t>–</w:t>
      </w:r>
      <w:r w:rsidR="00774760" w:rsidRPr="00C44ECA">
        <w:rPr>
          <w:rFonts w:asciiTheme="minorHAnsi" w:hAnsiTheme="minorHAnsi" w:cstheme="minorHAnsi"/>
          <w:szCs w:val="20"/>
        </w:rPr>
        <w:t>4 c</w:t>
      </w:r>
      <w:r w:rsidRPr="00C44ECA">
        <w:rPr>
          <w:rFonts w:asciiTheme="minorHAnsi" w:hAnsiTheme="minorHAnsi" w:cstheme="minorHAnsi"/>
          <w:szCs w:val="20"/>
        </w:rPr>
        <w:t xml:space="preserve">ommon occupations in </w:t>
      </w:r>
      <w:r w:rsidR="006B7A4F" w:rsidRPr="00C44ECA">
        <w:rPr>
          <w:rFonts w:asciiTheme="minorHAnsi" w:hAnsiTheme="minorHAnsi" w:cstheme="minorHAnsi"/>
          <w:szCs w:val="20"/>
        </w:rPr>
        <w:t>shortage</w:t>
      </w:r>
      <w:r w:rsidRPr="00C44ECA">
        <w:rPr>
          <w:rFonts w:asciiTheme="minorHAnsi" w:hAnsiTheme="minorHAnsi" w:cstheme="minorHAnsi"/>
          <w:szCs w:val="20"/>
        </w:rPr>
        <w:t xml:space="preserve"> </w:t>
      </w:r>
      <w:r w:rsidR="00817D0B" w:rsidRPr="00C44ECA">
        <w:rPr>
          <w:rFonts w:asciiTheme="minorHAnsi" w:hAnsiTheme="minorHAnsi" w:cstheme="minorHAnsi"/>
          <w:szCs w:val="20"/>
        </w:rPr>
        <w:t xml:space="preserve">in </w:t>
      </w:r>
      <w:r w:rsidRPr="00C44ECA">
        <w:rPr>
          <w:rFonts w:asciiTheme="minorHAnsi" w:hAnsiTheme="minorHAnsi" w:cstheme="minorHAnsi"/>
          <w:szCs w:val="20"/>
        </w:rPr>
        <w:t xml:space="preserve">the </w:t>
      </w:r>
      <w:r w:rsidR="007E1166" w:rsidRPr="00C44ECA">
        <w:rPr>
          <w:rFonts w:asciiTheme="minorHAnsi" w:hAnsiTheme="minorHAnsi" w:cstheme="minorHAnsi"/>
          <w:szCs w:val="20"/>
        </w:rPr>
        <w:t>five</w:t>
      </w:r>
      <w:r w:rsidRPr="00C44ECA">
        <w:rPr>
          <w:rFonts w:asciiTheme="minorHAnsi" w:hAnsiTheme="minorHAnsi" w:cstheme="minorHAnsi"/>
          <w:szCs w:val="20"/>
        </w:rPr>
        <w:t xml:space="preserve"> largest employing industries</w:t>
      </w:r>
      <w:r w:rsidR="00AE6C17" w:rsidRPr="00C44ECA">
        <w:rPr>
          <w:rFonts w:asciiTheme="minorHAnsi" w:hAnsiTheme="minorHAnsi" w:cstheme="minorHAnsi"/>
          <w:szCs w:val="20"/>
        </w:rPr>
        <w:t>*</w:t>
      </w:r>
      <w:r w:rsidRPr="00C44ECA">
        <w:rPr>
          <w:rFonts w:asciiTheme="minorHAnsi" w:hAnsiTheme="minorHAnsi" w:cstheme="minorHAnsi"/>
          <w:szCs w:val="20"/>
        </w:rPr>
        <w:t xml:space="preserve"> in the Mid-North Coast Employment </w:t>
      </w:r>
      <w:r w:rsidR="00580A12" w:rsidRPr="00C44ECA">
        <w:rPr>
          <w:rFonts w:asciiTheme="minorHAnsi" w:hAnsiTheme="minorHAnsi" w:cstheme="minorHAnsi"/>
          <w:szCs w:val="20"/>
        </w:rPr>
        <w:t>R</w:t>
      </w:r>
      <w:r w:rsidRPr="00C44ECA">
        <w:rPr>
          <w:rFonts w:asciiTheme="minorHAnsi" w:hAnsiTheme="minorHAnsi" w:cstheme="minorHAnsi"/>
          <w:szCs w:val="20"/>
        </w:rPr>
        <w:t>egion</w:t>
      </w:r>
    </w:p>
    <w:tbl>
      <w:tblPr>
        <w:tblStyle w:val="JSATable1"/>
        <w:tblW w:w="5000" w:type="pct"/>
        <w:tblLayout w:type="fixed"/>
        <w:tblLook w:val="04A0" w:firstRow="1" w:lastRow="0" w:firstColumn="1" w:lastColumn="0" w:noHBand="0" w:noVBand="1"/>
      </w:tblPr>
      <w:tblGrid>
        <w:gridCol w:w="1418"/>
        <w:gridCol w:w="1227"/>
        <w:gridCol w:w="1041"/>
        <w:gridCol w:w="1417"/>
        <w:gridCol w:w="1276"/>
        <w:gridCol w:w="1276"/>
        <w:gridCol w:w="1371"/>
      </w:tblGrid>
      <w:tr w:rsidR="00BA0010" w:rsidRPr="00557C2D" w14:paraId="244C146E" w14:textId="77777777" w:rsidTr="00557C2D">
        <w:trPr>
          <w:cnfStyle w:val="100000000000" w:firstRow="1" w:lastRow="0" w:firstColumn="0" w:lastColumn="0" w:oddVBand="0" w:evenVBand="0" w:oddHBand="0" w:evenHBand="0" w:firstRowFirstColumn="0" w:firstRowLastColumn="0" w:lastRowFirstColumn="0" w:lastRowLastColumn="0"/>
          <w:trHeight w:val="793"/>
        </w:trPr>
        <w:tc>
          <w:tcPr>
            <w:tcW w:w="1418" w:type="dxa"/>
            <w:vMerge w:val="restart"/>
            <w:hideMark/>
          </w:tcPr>
          <w:p w14:paraId="79005C02" w14:textId="070BC80D" w:rsidR="00A91189" w:rsidRPr="00557C2D" w:rsidRDefault="007E1166">
            <w:pPr>
              <w:rPr>
                <w:rFonts w:eastAsia="Times New Roman" w:cs="Arial"/>
                <w:b/>
                <w:sz w:val="18"/>
                <w:szCs w:val="18"/>
              </w:rPr>
            </w:pPr>
            <w:r w:rsidRPr="00557C2D">
              <w:rPr>
                <w:rFonts w:eastAsia="Times New Roman" w:cs="Arial"/>
                <w:b/>
                <w:sz w:val="18"/>
                <w:szCs w:val="18"/>
              </w:rPr>
              <w:t>O</w:t>
            </w:r>
            <w:r w:rsidR="00A91189" w:rsidRPr="00557C2D">
              <w:rPr>
                <w:rFonts w:eastAsia="Times New Roman" w:cs="Arial"/>
                <w:b/>
                <w:sz w:val="18"/>
                <w:szCs w:val="18"/>
              </w:rPr>
              <w:t>ccupation</w:t>
            </w:r>
          </w:p>
        </w:tc>
        <w:tc>
          <w:tcPr>
            <w:tcW w:w="1227" w:type="dxa"/>
            <w:vMerge w:val="restart"/>
            <w:hideMark/>
          </w:tcPr>
          <w:p w14:paraId="1DD6A7EC" w14:textId="77777777" w:rsidR="00A91189" w:rsidRPr="00557C2D" w:rsidRDefault="00A91189">
            <w:pPr>
              <w:rPr>
                <w:rFonts w:eastAsia="Times New Roman" w:cs="Arial"/>
                <w:b/>
                <w:sz w:val="18"/>
                <w:szCs w:val="18"/>
              </w:rPr>
            </w:pPr>
            <w:r w:rsidRPr="00557C2D">
              <w:rPr>
                <w:rFonts w:eastAsia="Times New Roman" w:cs="Arial"/>
                <w:b/>
                <w:sz w:val="18"/>
                <w:szCs w:val="18"/>
              </w:rPr>
              <w:t>Indicative Skill Level (ANZSCO)</w:t>
            </w:r>
          </w:p>
        </w:tc>
        <w:tc>
          <w:tcPr>
            <w:tcW w:w="1041" w:type="dxa"/>
            <w:vMerge w:val="restart"/>
            <w:hideMark/>
          </w:tcPr>
          <w:p w14:paraId="4EF4D17D" w14:textId="339B13EE" w:rsidR="00A91189" w:rsidRPr="00557C2D" w:rsidRDefault="00A91189">
            <w:pPr>
              <w:rPr>
                <w:rFonts w:eastAsia="Times New Roman" w:cs="Arial"/>
                <w:b/>
                <w:sz w:val="18"/>
                <w:szCs w:val="18"/>
              </w:rPr>
            </w:pPr>
            <w:r w:rsidRPr="00557C2D">
              <w:rPr>
                <w:rFonts w:eastAsia="Times New Roman" w:cs="Arial"/>
                <w:b/>
                <w:sz w:val="18"/>
                <w:szCs w:val="18"/>
              </w:rPr>
              <w:t xml:space="preserve">Female employment share </w:t>
            </w:r>
            <w:r w:rsidRPr="00557C2D">
              <w:rPr>
                <w:rFonts w:eastAsia="Times New Roman" w:cs="Arial"/>
                <w:b/>
                <w:sz w:val="18"/>
                <w:szCs w:val="18"/>
              </w:rPr>
              <w:br/>
              <w:t xml:space="preserve"> (August 2021)~ (%)</w:t>
            </w:r>
          </w:p>
        </w:tc>
        <w:tc>
          <w:tcPr>
            <w:tcW w:w="1417" w:type="dxa"/>
            <w:vMerge w:val="restart"/>
            <w:hideMark/>
          </w:tcPr>
          <w:p w14:paraId="21159090" w14:textId="054E1B81" w:rsidR="00A91189" w:rsidRPr="00557C2D" w:rsidRDefault="0008494E">
            <w:pPr>
              <w:rPr>
                <w:rFonts w:eastAsia="Times New Roman" w:cs="Arial"/>
                <w:b/>
                <w:sz w:val="18"/>
                <w:szCs w:val="18"/>
              </w:rPr>
            </w:pPr>
            <w:r w:rsidRPr="00557C2D">
              <w:rPr>
                <w:rFonts w:eastAsia="Times New Roman" w:cs="Arial"/>
                <w:b/>
                <w:sz w:val="18"/>
                <w:szCs w:val="18"/>
              </w:rPr>
              <w:t>Main employing i</w:t>
            </w:r>
            <w:r w:rsidR="00A91189" w:rsidRPr="00557C2D">
              <w:rPr>
                <w:rFonts w:eastAsia="Times New Roman" w:cs="Arial"/>
                <w:b/>
                <w:sz w:val="18"/>
                <w:szCs w:val="18"/>
              </w:rPr>
              <w:t>ndustr</w:t>
            </w:r>
            <w:r w:rsidR="00A234B8" w:rsidRPr="00557C2D">
              <w:rPr>
                <w:rFonts w:eastAsia="Times New Roman" w:cs="Arial"/>
                <w:b/>
                <w:sz w:val="18"/>
                <w:szCs w:val="18"/>
              </w:rPr>
              <w:t>y</w:t>
            </w:r>
            <w:r w:rsidRPr="00557C2D">
              <w:rPr>
                <w:rFonts w:eastAsia="Times New Roman" w:cs="Arial"/>
                <w:b/>
                <w:sz w:val="18"/>
                <w:szCs w:val="18"/>
              </w:rPr>
              <w:t xml:space="preserve"> of </w:t>
            </w:r>
            <w:r w:rsidR="00A91189" w:rsidRPr="00557C2D">
              <w:rPr>
                <w:rFonts w:eastAsia="Times New Roman" w:cs="Arial"/>
                <w:b/>
                <w:sz w:val="18"/>
                <w:szCs w:val="18"/>
              </w:rPr>
              <w:t>occupation</w:t>
            </w:r>
            <w:r w:rsidR="00A91189" w:rsidRPr="00557C2D">
              <w:rPr>
                <w:rFonts w:eastAsia="Times New Roman" w:cs="Arial"/>
                <w:b/>
                <w:sz w:val="18"/>
                <w:szCs w:val="18"/>
              </w:rPr>
              <w:br/>
              <w:t xml:space="preserve"> (2022)*</w:t>
            </w:r>
          </w:p>
        </w:tc>
        <w:tc>
          <w:tcPr>
            <w:tcW w:w="1276" w:type="dxa"/>
            <w:vMerge w:val="restart"/>
            <w:hideMark/>
          </w:tcPr>
          <w:p w14:paraId="5357AA38" w14:textId="77777777" w:rsidR="00A91189" w:rsidRPr="00557C2D" w:rsidRDefault="00A91189">
            <w:pPr>
              <w:rPr>
                <w:rFonts w:eastAsia="Times New Roman" w:cs="Arial"/>
                <w:b/>
                <w:sz w:val="18"/>
                <w:szCs w:val="18"/>
              </w:rPr>
            </w:pPr>
            <w:r w:rsidRPr="00557C2D">
              <w:rPr>
                <w:rFonts w:eastAsia="Times New Roman" w:cs="Arial"/>
                <w:b/>
                <w:sz w:val="18"/>
                <w:szCs w:val="18"/>
              </w:rPr>
              <w:t xml:space="preserve">Employed persons </w:t>
            </w:r>
            <w:r w:rsidRPr="00557C2D">
              <w:rPr>
                <w:rFonts w:eastAsia="Times New Roman" w:cs="Arial"/>
                <w:b/>
                <w:sz w:val="18"/>
                <w:szCs w:val="18"/>
              </w:rPr>
              <w:br/>
              <w:t>(Mar 2024)^</w:t>
            </w:r>
          </w:p>
        </w:tc>
        <w:tc>
          <w:tcPr>
            <w:tcW w:w="1276" w:type="dxa"/>
            <w:vMerge w:val="restart"/>
            <w:hideMark/>
          </w:tcPr>
          <w:p w14:paraId="652A123D" w14:textId="77777777" w:rsidR="00A91189" w:rsidRPr="00557C2D" w:rsidRDefault="00A91189">
            <w:pPr>
              <w:rPr>
                <w:rFonts w:eastAsia="Times New Roman" w:cs="Arial"/>
                <w:b/>
                <w:sz w:val="18"/>
                <w:szCs w:val="18"/>
              </w:rPr>
            </w:pPr>
            <w:r w:rsidRPr="00557C2D">
              <w:rPr>
                <w:rFonts w:eastAsia="Times New Roman" w:cs="Arial"/>
                <w:b/>
                <w:sz w:val="18"/>
                <w:szCs w:val="18"/>
              </w:rPr>
              <w:t>Occupational shortage status and shortage driver (2023)#</w:t>
            </w:r>
          </w:p>
        </w:tc>
        <w:tc>
          <w:tcPr>
            <w:tcW w:w="1371" w:type="dxa"/>
            <w:vMerge w:val="restart"/>
            <w:hideMark/>
          </w:tcPr>
          <w:p w14:paraId="1A0A9D95" w14:textId="77777777" w:rsidR="00A91189" w:rsidRPr="00557C2D" w:rsidRDefault="00A91189" w:rsidP="003D070F">
            <w:pPr>
              <w:rPr>
                <w:b/>
                <w:sz w:val="18"/>
                <w:szCs w:val="18"/>
              </w:rPr>
            </w:pPr>
            <w:r w:rsidRPr="00557C2D">
              <w:rPr>
                <w:b/>
                <w:sz w:val="18"/>
                <w:szCs w:val="18"/>
              </w:rPr>
              <w:t>VET program completions relating to occupation (2022)^^</w:t>
            </w:r>
          </w:p>
        </w:tc>
      </w:tr>
      <w:tr w:rsidR="001C6A2B" w:rsidRPr="00557C2D" w14:paraId="5548C598" w14:textId="77777777" w:rsidTr="00557C2D">
        <w:trPr>
          <w:trHeight w:val="610"/>
        </w:trPr>
        <w:tc>
          <w:tcPr>
            <w:tcW w:w="1418" w:type="dxa"/>
            <w:vMerge/>
            <w:hideMark/>
          </w:tcPr>
          <w:p w14:paraId="15B87563" w14:textId="77777777" w:rsidR="00A91189" w:rsidRPr="00557C2D" w:rsidRDefault="00A91189">
            <w:pPr>
              <w:rPr>
                <w:rFonts w:eastAsia="Times New Roman" w:cs="Arial"/>
                <w:b/>
                <w:sz w:val="18"/>
                <w:szCs w:val="18"/>
              </w:rPr>
            </w:pPr>
          </w:p>
        </w:tc>
        <w:tc>
          <w:tcPr>
            <w:tcW w:w="1227" w:type="dxa"/>
            <w:vMerge/>
            <w:hideMark/>
          </w:tcPr>
          <w:p w14:paraId="607C1DFF" w14:textId="77777777" w:rsidR="00A91189" w:rsidRPr="00557C2D" w:rsidRDefault="00A91189">
            <w:pPr>
              <w:rPr>
                <w:rFonts w:eastAsia="Times New Roman" w:cs="Arial"/>
                <w:b/>
                <w:sz w:val="18"/>
                <w:szCs w:val="18"/>
              </w:rPr>
            </w:pPr>
          </w:p>
        </w:tc>
        <w:tc>
          <w:tcPr>
            <w:tcW w:w="1041" w:type="dxa"/>
            <w:vMerge/>
            <w:hideMark/>
          </w:tcPr>
          <w:p w14:paraId="1497A0F9" w14:textId="77777777" w:rsidR="00A91189" w:rsidRPr="00557C2D" w:rsidRDefault="00A91189">
            <w:pPr>
              <w:rPr>
                <w:rFonts w:eastAsia="Times New Roman" w:cs="Arial"/>
                <w:b/>
                <w:sz w:val="18"/>
                <w:szCs w:val="18"/>
              </w:rPr>
            </w:pPr>
          </w:p>
        </w:tc>
        <w:tc>
          <w:tcPr>
            <w:tcW w:w="1417" w:type="dxa"/>
            <w:vMerge/>
            <w:hideMark/>
          </w:tcPr>
          <w:p w14:paraId="18072210" w14:textId="77777777" w:rsidR="00A91189" w:rsidRPr="00557C2D" w:rsidRDefault="00A91189">
            <w:pPr>
              <w:rPr>
                <w:rFonts w:eastAsia="Times New Roman" w:cs="Arial"/>
                <w:b/>
                <w:sz w:val="18"/>
                <w:szCs w:val="18"/>
              </w:rPr>
            </w:pPr>
          </w:p>
        </w:tc>
        <w:tc>
          <w:tcPr>
            <w:tcW w:w="1276" w:type="dxa"/>
            <w:vMerge/>
            <w:hideMark/>
          </w:tcPr>
          <w:p w14:paraId="64B27CBA" w14:textId="77777777" w:rsidR="00A91189" w:rsidRPr="00557C2D" w:rsidRDefault="00A91189">
            <w:pPr>
              <w:rPr>
                <w:rFonts w:eastAsia="Times New Roman" w:cs="Arial"/>
                <w:b/>
                <w:sz w:val="18"/>
                <w:szCs w:val="18"/>
              </w:rPr>
            </w:pPr>
          </w:p>
        </w:tc>
        <w:tc>
          <w:tcPr>
            <w:tcW w:w="1276" w:type="dxa"/>
            <w:vMerge/>
            <w:hideMark/>
          </w:tcPr>
          <w:p w14:paraId="2E67DF43" w14:textId="77777777" w:rsidR="00A91189" w:rsidRPr="00557C2D" w:rsidRDefault="00A91189">
            <w:pPr>
              <w:rPr>
                <w:rFonts w:eastAsia="Times New Roman" w:cs="Arial"/>
                <w:b/>
                <w:sz w:val="18"/>
                <w:szCs w:val="18"/>
              </w:rPr>
            </w:pPr>
          </w:p>
        </w:tc>
        <w:tc>
          <w:tcPr>
            <w:tcW w:w="1371" w:type="dxa"/>
            <w:vMerge/>
            <w:hideMark/>
          </w:tcPr>
          <w:p w14:paraId="61ECD232" w14:textId="77777777" w:rsidR="00A91189" w:rsidRPr="00557C2D" w:rsidRDefault="00A91189">
            <w:pPr>
              <w:rPr>
                <w:rFonts w:eastAsia="Times New Roman" w:cs="Arial"/>
                <w:b/>
                <w:sz w:val="18"/>
                <w:szCs w:val="18"/>
              </w:rPr>
            </w:pPr>
          </w:p>
        </w:tc>
      </w:tr>
      <w:tr w:rsidR="00BA0010" w:rsidRPr="00557C2D" w14:paraId="090E0899" w14:textId="77777777" w:rsidTr="00557C2D">
        <w:trPr>
          <w:cnfStyle w:val="000000010000" w:firstRow="0" w:lastRow="0" w:firstColumn="0" w:lastColumn="0" w:oddVBand="0" w:evenVBand="0" w:oddHBand="0" w:evenHBand="1" w:firstRowFirstColumn="0" w:firstRowLastColumn="0" w:lastRowFirstColumn="0" w:lastRowLastColumn="0"/>
          <w:trHeight w:val="737"/>
        </w:trPr>
        <w:tc>
          <w:tcPr>
            <w:tcW w:w="1418" w:type="dxa"/>
            <w:vAlign w:val="center"/>
            <w:hideMark/>
          </w:tcPr>
          <w:p w14:paraId="63D1349A" w14:textId="77777777" w:rsidR="00A91189" w:rsidRPr="00557C2D" w:rsidRDefault="00A91189">
            <w:pPr>
              <w:rPr>
                <w:rFonts w:eastAsia="Times New Roman" w:cs="Arial"/>
                <w:sz w:val="18"/>
                <w:szCs w:val="18"/>
              </w:rPr>
            </w:pPr>
            <w:r w:rsidRPr="00557C2D">
              <w:rPr>
                <w:rFonts w:eastAsia="Times New Roman" w:cs="Arial"/>
                <w:sz w:val="18"/>
                <w:szCs w:val="18"/>
              </w:rPr>
              <w:t>Aged and Disabled Carers</w:t>
            </w:r>
          </w:p>
        </w:tc>
        <w:tc>
          <w:tcPr>
            <w:tcW w:w="1227" w:type="dxa"/>
            <w:vAlign w:val="center"/>
            <w:hideMark/>
          </w:tcPr>
          <w:p w14:paraId="6BDBF6B9" w14:textId="77777777" w:rsidR="00A91189" w:rsidRPr="00557C2D" w:rsidRDefault="00A91189" w:rsidP="00B84505">
            <w:pPr>
              <w:jc w:val="center"/>
              <w:rPr>
                <w:sz w:val="18"/>
                <w:szCs w:val="18"/>
              </w:rPr>
            </w:pPr>
            <w:r w:rsidRPr="00557C2D">
              <w:rPr>
                <w:sz w:val="18"/>
                <w:szCs w:val="18"/>
              </w:rPr>
              <w:t>4</w:t>
            </w:r>
          </w:p>
        </w:tc>
        <w:tc>
          <w:tcPr>
            <w:tcW w:w="1041" w:type="dxa"/>
            <w:vAlign w:val="center"/>
            <w:hideMark/>
          </w:tcPr>
          <w:p w14:paraId="7094FDEE" w14:textId="77777777" w:rsidR="00A91189" w:rsidRPr="00557C2D" w:rsidRDefault="00A91189" w:rsidP="00B84505">
            <w:pPr>
              <w:jc w:val="right"/>
              <w:rPr>
                <w:sz w:val="18"/>
                <w:szCs w:val="18"/>
              </w:rPr>
            </w:pPr>
            <w:r w:rsidRPr="00557C2D">
              <w:rPr>
                <w:sz w:val="18"/>
                <w:szCs w:val="18"/>
              </w:rPr>
              <w:t>72%</w:t>
            </w:r>
          </w:p>
        </w:tc>
        <w:tc>
          <w:tcPr>
            <w:tcW w:w="1417" w:type="dxa"/>
            <w:vAlign w:val="center"/>
            <w:hideMark/>
          </w:tcPr>
          <w:p w14:paraId="1EDE94DD" w14:textId="77777777" w:rsidR="00A91189" w:rsidRPr="00557C2D" w:rsidRDefault="00A91189">
            <w:pPr>
              <w:rPr>
                <w:rFonts w:eastAsia="Times New Roman" w:cs="Arial"/>
                <w:sz w:val="18"/>
                <w:szCs w:val="18"/>
              </w:rPr>
            </w:pPr>
            <w:r w:rsidRPr="00557C2D">
              <w:rPr>
                <w:rFonts w:eastAsia="Times New Roman" w:cs="Arial"/>
                <w:sz w:val="18"/>
                <w:szCs w:val="18"/>
              </w:rPr>
              <w:t>Health care and social assistance</w:t>
            </w:r>
          </w:p>
        </w:tc>
        <w:tc>
          <w:tcPr>
            <w:tcW w:w="1276" w:type="dxa"/>
            <w:vAlign w:val="center"/>
            <w:hideMark/>
          </w:tcPr>
          <w:p w14:paraId="5C01B06F" w14:textId="2081DC70" w:rsidR="00A91189" w:rsidRPr="00557C2D" w:rsidRDefault="007F36BC" w:rsidP="00B84505">
            <w:pPr>
              <w:jc w:val="right"/>
              <w:rPr>
                <w:sz w:val="18"/>
                <w:szCs w:val="18"/>
              </w:rPr>
            </w:pPr>
            <w:r w:rsidRPr="00557C2D">
              <w:rPr>
                <w:sz w:val="18"/>
                <w:szCs w:val="18"/>
              </w:rPr>
              <w:t>6.532</w:t>
            </w:r>
          </w:p>
        </w:tc>
        <w:tc>
          <w:tcPr>
            <w:tcW w:w="1276" w:type="dxa"/>
            <w:vAlign w:val="center"/>
            <w:hideMark/>
          </w:tcPr>
          <w:p w14:paraId="47DA7D79" w14:textId="77777777" w:rsidR="00A91189" w:rsidRPr="00557C2D" w:rsidRDefault="00A91189">
            <w:pPr>
              <w:rPr>
                <w:rFonts w:eastAsia="Times New Roman" w:cs="Arial"/>
                <w:sz w:val="18"/>
                <w:szCs w:val="18"/>
              </w:rPr>
            </w:pPr>
            <w:r w:rsidRPr="00557C2D">
              <w:rPr>
                <w:rFonts w:eastAsia="Times New Roman" w:cs="Arial"/>
                <w:sz w:val="18"/>
                <w:szCs w:val="18"/>
              </w:rPr>
              <w:t>Shortage - Retention Gap</w:t>
            </w:r>
          </w:p>
        </w:tc>
        <w:tc>
          <w:tcPr>
            <w:tcW w:w="1371" w:type="dxa"/>
            <w:vAlign w:val="center"/>
            <w:hideMark/>
          </w:tcPr>
          <w:p w14:paraId="240C5B0F" w14:textId="77777777" w:rsidR="00A91189" w:rsidRPr="00557C2D" w:rsidRDefault="00A91189" w:rsidP="00B84505">
            <w:pPr>
              <w:jc w:val="right"/>
              <w:rPr>
                <w:sz w:val="18"/>
                <w:szCs w:val="18"/>
              </w:rPr>
            </w:pPr>
            <w:r w:rsidRPr="00557C2D">
              <w:rPr>
                <w:sz w:val="18"/>
                <w:szCs w:val="18"/>
              </w:rPr>
              <w:t>90</w:t>
            </w:r>
          </w:p>
        </w:tc>
      </w:tr>
      <w:tr w:rsidR="00C404A3" w:rsidRPr="00557C2D" w14:paraId="58F75C4B" w14:textId="77777777" w:rsidTr="00557C2D">
        <w:trPr>
          <w:trHeight w:val="737"/>
        </w:trPr>
        <w:tc>
          <w:tcPr>
            <w:tcW w:w="1418" w:type="dxa"/>
            <w:vAlign w:val="center"/>
            <w:hideMark/>
          </w:tcPr>
          <w:p w14:paraId="7A6C8742" w14:textId="77777777" w:rsidR="00A91189" w:rsidRPr="00557C2D" w:rsidRDefault="00A91189">
            <w:pPr>
              <w:rPr>
                <w:rFonts w:eastAsia="Times New Roman" w:cs="Arial"/>
                <w:sz w:val="18"/>
                <w:szCs w:val="18"/>
              </w:rPr>
            </w:pPr>
            <w:r w:rsidRPr="00557C2D">
              <w:rPr>
                <w:rFonts w:eastAsia="Times New Roman" w:cs="Arial"/>
                <w:sz w:val="18"/>
                <w:szCs w:val="18"/>
              </w:rPr>
              <w:t>Retail Managers</w:t>
            </w:r>
          </w:p>
        </w:tc>
        <w:tc>
          <w:tcPr>
            <w:tcW w:w="1227" w:type="dxa"/>
            <w:vAlign w:val="center"/>
            <w:hideMark/>
          </w:tcPr>
          <w:p w14:paraId="308DD93A" w14:textId="77777777" w:rsidR="00A91189" w:rsidRPr="00557C2D" w:rsidRDefault="00A91189" w:rsidP="00B84505">
            <w:pPr>
              <w:jc w:val="center"/>
              <w:rPr>
                <w:sz w:val="18"/>
                <w:szCs w:val="18"/>
              </w:rPr>
            </w:pPr>
            <w:r w:rsidRPr="00557C2D">
              <w:rPr>
                <w:sz w:val="18"/>
                <w:szCs w:val="18"/>
              </w:rPr>
              <w:t>2</w:t>
            </w:r>
          </w:p>
        </w:tc>
        <w:tc>
          <w:tcPr>
            <w:tcW w:w="1041" w:type="dxa"/>
            <w:vAlign w:val="center"/>
            <w:hideMark/>
          </w:tcPr>
          <w:p w14:paraId="4CD34F6D" w14:textId="77777777" w:rsidR="00A91189" w:rsidRPr="00557C2D" w:rsidRDefault="00A91189" w:rsidP="00B84505">
            <w:pPr>
              <w:jc w:val="right"/>
              <w:rPr>
                <w:sz w:val="18"/>
                <w:szCs w:val="18"/>
              </w:rPr>
            </w:pPr>
            <w:r w:rsidRPr="00557C2D">
              <w:rPr>
                <w:sz w:val="18"/>
                <w:szCs w:val="18"/>
              </w:rPr>
              <w:t>52%</w:t>
            </w:r>
          </w:p>
        </w:tc>
        <w:tc>
          <w:tcPr>
            <w:tcW w:w="1417" w:type="dxa"/>
            <w:vAlign w:val="center"/>
            <w:hideMark/>
          </w:tcPr>
          <w:p w14:paraId="619ADBC4" w14:textId="30F26D7C" w:rsidR="00A91189" w:rsidRPr="00557C2D" w:rsidRDefault="00A91189">
            <w:pPr>
              <w:rPr>
                <w:rFonts w:eastAsia="Times New Roman" w:cs="Arial"/>
                <w:sz w:val="18"/>
                <w:szCs w:val="18"/>
              </w:rPr>
            </w:pPr>
            <w:r w:rsidRPr="00557C2D">
              <w:rPr>
                <w:rFonts w:eastAsia="Times New Roman" w:cs="Arial"/>
                <w:sz w:val="18"/>
                <w:szCs w:val="18"/>
              </w:rPr>
              <w:t>Retail trade</w:t>
            </w:r>
          </w:p>
        </w:tc>
        <w:tc>
          <w:tcPr>
            <w:tcW w:w="1276" w:type="dxa"/>
            <w:vAlign w:val="center"/>
            <w:hideMark/>
          </w:tcPr>
          <w:p w14:paraId="0CEDDFDF" w14:textId="59ECB616" w:rsidR="00A91189" w:rsidRPr="00557C2D" w:rsidRDefault="00A91189" w:rsidP="00B84505">
            <w:pPr>
              <w:jc w:val="right"/>
              <w:rPr>
                <w:sz w:val="18"/>
                <w:szCs w:val="18"/>
              </w:rPr>
            </w:pPr>
            <w:r w:rsidRPr="00557C2D">
              <w:rPr>
                <w:sz w:val="18"/>
                <w:szCs w:val="18"/>
              </w:rPr>
              <w:t>3,</w:t>
            </w:r>
            <w:r w:rsidR="007F36BC" w:rsidRPr="00557C2D">
              <w:rPr>
                <w:sz w:val="18"/>
                <w:szCs w:val="18"/>
              </w:rPr>
              <w:t>462</w:t>
            </w:r>
          </w:p>
        </w:tc>
        <w:tc>
          <w:tcPr>
            <w:tcW w:w="1276" w:type="dxa"/>
            <w:vAlign w:val="center"/>
            <w:hideMark/>
          </w:tcPr>
          <w:p w14:paraId="1CB2368B" w14:textId="77777777" w:rsidR="00A91189" w:rsidRPr="00557C2D" w:rsidRDefault="00A91189">
            <w:pPr>
              <w:rPr>
                <w:rFonts w:eastAsia="Times New Roman" w:cs="Arial"/>
                <w:sz w:val="18"/>
                <w:szCs w:val="18"/>
              </w:rPr>
            </w:pPr>
            <w:r w:rsidRPr="00557C2D">
              <w:rPr>
                <w:rFonts w:eastAsia="Times New Roman" w:cs="Arial"/>
                <w:sz w:val="18"/>
                <w:szCs w:val="18"/>
              </w:rPr>
              <w:t>Shortage - Short Training Gap</w:t>
            </w:r>
          </w:p>
        </w:tc>
        <w:tc>
          <w:tcPr>
            <w:tcW w:w="1371" w:type="dxa"/>
            <w:vAlign w:val="center"/>
            <w:hideMark/>
          </w:tcPr>
          <w:p w14:paraId="7BE345BD" w14:textId="77777777" w:rsidR="00A91189" w:rsidRPr="00557C2D" w:rsidRDefault="00A91189" w:rsidP="00B84505">
            <w:pPr>
              <w:jc w:val="right"/>
              <w:rPr>
                <w:sz w:val="18"/>
                <w:szCs w:val="18"/>
              </w:rPr>
            </w:pPr>
            <w:r w:rsidRPr="00557C2D">
              <w:rPr>
                <w:sz w:val="18"/>
                <w:szCs w:val="18"/>
              </w:rPr>
              <w:t>34</w:t>
            </w:r>
          </w:p>
        </w:tc>
      </w:tr>
      <w:tr w:rsidR="00BA0010" w:rsidRPr="00557C2D" w14:paraId="1230BAAE" w14:textId="77777777" w:rsidTr="00557C2D">
        <w:trPr>
          <w:cnfStyle w:val="000000010000" w:firstRow="0" w:lastRow="0" w:firstColumn="0" w:lastColumn="0" w:oddVBand="0" w:evenVBand="0" w:oddHBand="0" w:evenHBand="1" w:firstRowFirstColumn="0" w:firstRowLastColumn="0" w:lastRowFirstColumn="0" w:lastRowLastColumn="0"/>
          <w:trHeight w:val="737"/>
        </w:trPr>
        <w:tc>
          <w:tcPr>
            <w:tcW w:w="1418" w:type="dxa"/>
            <w:vAlign w:val="center"/>
            <w:hideMark/>
          </w:tcPr>
          <w:p w14:paraId="249C942C" w14:textId="77777777" w:rsidR="00A91189" w:rsidRPr="00557C2D" w:rsidRDefault="00A91189">
            <w:pPr>
              <w:rPr>
                <w:rFonts w:eastAsia="Times New Roman" w:cs="Arial"/>
                <w:sz w:val="18"/>
                <w:szCs w:val="18"/>
              </w:rPr>
            </w:pPr>
            <w:r w:rsidRPr="00557C2D">
              <w:rPr>
                <w:rFonts w:eastAsia="Times New Roman" w:cs="Arial"/>
                <w:sz w:val="18"/>
                <w:szCs w:val="18"/>
              </w:rPr>
              <w:t>Truck Drivers</w:t>
            </w:r>
          </w:p>
        </w:tc>
        <w:tc>
          <w:tcPr>
            <w:tcW w:w="1227" w:type="dxa"/>
            <w:vAlign w:val="center"/>
            <w:hideMark/>
          </w:tcPr>
          <w:p w14:paraId="25ED172E" w14:textId="77777777" w:rsidR="00A91189" w:rsidRPr="00557C2D" w:rsidRDefault="00A91189" w:rsidP="00B84505">
            <w:pPr>
              <w:jc w:val="center"/>
              <w:rPr>
                <w:sz w:val="18"/>
                <w:szCs w:val="18"/>
              </w:rPr>
            </w:pPr>
            <w:r w:rsidRPr="00557C2D">
              <w:rPr>
                <w:sz w:val="18"/>
                <w:szCs w:val="18"/>
              </w:rPr>
              <w:t>4</w:t>
            </w:r>
          </w:p>
        </w:tc>
        <w:tc>
          <w:tcPr>
            <w:tcW w:w="1041" w:type="dxa"/>
            <w:vAlign w:val="center"/>
            <w:hideMark/>
          </w:tcPr>
          <w:p w14:paraId="139F0639" w14:textId="77777777" w:rsidR="00A91189" w:rsidRPr="00557C2D" w:rsidRDefault="00A91189" w:rsidP="00B84505">
            <w:pPr>
              <w:jc w:val="right"/>
              <w:rPr>
                <w:sz w:val="18"/>
                <w:szCs w:val="18"/>
              </w:rPr>
            </w:pPr>
            <w:r w:rsidRPr="00557C2D">
              <w:rPr>
                <w:sz w:val="18"/>
                <w:szCs w:val="18"/>
              </w:rPr>
              <w:t>2%</w:t>
            </w:r>
          </w:p>
        </w:tc>
        <w:tc>
          <w:tcPr>
            <w:tcW w:w="1417" w:type="dxa"/>
            <w:vAlign w:val="center"/>
            <w:hideMark/>
          </w:tcPr>
          <w:p w14:paraId="56BE6942" w14:textId="77777777" w:rsidR="00A91189" w:rsidRPr="00557C2D" w:rsidRDefault="00A91189">
            <w:pPr>
              <w:rPr>
                <w:rFonts w:eastAsia="Times New Roman" w:cs="Arial"/>
                <w:sz w:val="18"/>
                <w:szCs w:val="18"/>
              </w:rPr>
            </w:pPr>
            <w:r w:rsidRPr="00557C2D">
              <w:rPr>
                <w:rFonts w:eastAsia="Times New Roman" w:cs="Arial"/>
                <w:sz w:val="18"/>
                <w:szCs w:val="18"/>
              </w:rPr>
              <w:t>Construction</w:t>
            </w:r>
          </w:p>
        </w:tc>
        <w:tc>
          <w:tcPr>
            <w:tcW w:w="1276" w:type="dxa"/>
            <w:vAlign w:val="center"/>
            <w:hideMark/>
          </w:tcPr>
          <w:p w14:paraId="61D8FDCA" w14:textId="691252D1" w:rsidR="00A91189" w:rsidRPr="00557C2D" w:rsidRDefault="00A91189" w:rsidP="00B84505">
            <w:pPr>
              <w:jc w:val="right"/>
              <w:rPr>
                <w:sz w:val="18"/>
                <w:szCs w:val="18"/>
              </w:rPr>
            </w:pPr>
            <w:r w:rsidRPr="00557C2D">
              <w:rPr>
                <w:sz w:val="18"/>
                <w:szCs w:val="18"/>
              </w:rPr>
              <w:t>2,</w:t>
            </w:r>
            <w:r w:rsidR="007F36BC" w:rsidRPr="00557C2D">
              <w:rPr>
                <w:sz w:val="18"/>
                <w:szCs w:val="18"/>
              </w:rPr>
              <w:t>662</w:t>
            </w:r>
          </w:p>
        </w:tc>
        <w:tc>
          <w:tcPr>
            <w:tcW w:w="1276" w:type="dxa"/>
            <w:vAlign w:val="center"/>
            <w:hideMark/>
          </w:tcPr>
          <w:p w14:paraId="5C8D0F0A" w14:textId="77777777" w:rsidR="00A91189" w:rsidRPr="00557C2D" w:rsidRDefault="00A91189">
            <w:pPr>
              <w:rPr>
                <w:rFonts w:eastAsia="Times New Roman" w:cs="Arial"/>
                <w:sz w:val="18"/>
                <w:szCs w:val="18"/>
              </w:rPr>
            </w:pPr>
            <w:r w:rsidRPr="00557C2D">
              <w:rPr>
                <w:rFonts w:eastAsia="Times New Roman" w:cs="Arial"/>
                <w:sz w:val="18"/>
                <w:szCs w:val="18"/>
              </w:rPr>
              <w:t>Shortage - Short Training Gap</w:t>
            </w:r>
          </w:p>
        </w:tc>
        <w:tc>
          <w:tcPr>
            <w:tcW w:w="1371" w:type="dxa"/>
            <w:vAlign w:val="center"/>
            <w:hideMark/>
          </w:tcPr>
          <w:p w14:paraId="2A86D89D" w14:textId="77777777" w:rsidR="00A91189" w:rsidRPr="00557C2D" w:rsidRDefault="00A91189" w:rsidP="00B84505">
            <w:pPr>
              <w:jc w:val="right"/>
              <w:rPr>
                <w:sz w:val="18"/>
                <w:szCs w:val="18"/>
              </w:rPr>
            </w:pPr>
            <w:r w:rsidRPr="00557C2D">
              <w:rPr>
                <w:sz w:val="18"/>
                <w:szCs w:val="18"/>
              </w:rPr>
              <w:t>22</w:t>
            </w:r>
          </w:p>
        </w:tc>
      </w:tr>
      <w:tr w:rsidR="00C404A3" w:rsidRPr="00557C2D" w14:paraId="522EEE96" w14:textId="77777777" w:rsidTr="00557C2D">
        <w:trPr>
          <w:trHeight w:val="737"/>
        </w:trPr>
        <w:tc>
          <w:tcPr>
            <w:tcW w:w="1418" w:type="dxa"/>
            <w:vAlign w:val="center"/>
            <w:hideMark/>
          </w:tcPr>
          <w:p w14:paraId="72766F2A" w14:textId="77777777" w:rsidR="00A91189" w:rsidRPr="00557C2D" w:rsidRDefault="00A91189">
            <w:pPr>
              <w:rPr>
                <w:rFonts w:eastAsia="Times New Roman" w:cs="Arial"/>
                <w:sz w:val="18"/>
                <w:szCs w:val="18"/>
              </w:rPr>
            </w:pPr>
            <w:r w:rsidRPr="00557C2D">
              <w:rPr>
                <w:rFonts w:eastAsia="Times New Roman" w:cs="Arial"/>
                <w:sz w:val="18"/>
                <w:szCs w:val="18"/>
              </w:rPr>
              <w:t>Carpenters and Joiners</w:t>
            </w:r>
          </w:p>
        </w:tc>
        <w:tc>
          <w:tcPr>
            <w:tcW w:w="1227" w:type="dxa"/>
            <w:vAlign w:val="center"/>
            <w:hideMark/>
          </w:tcPr>
          <w:p w14:paraId="449382D0" w14:textId="77777777" w:rsidR="00A91189" w:rsidRPr="00557C2D" w:rsidRDefault="00A91189" w:rsidP="00B84505">
            <w:pPr>
              <w:jc w:val="center"/>
              <w:rPr>
                <w:sz w:val="18"/>
                <w:szCs w:val="18"/>
              </w:rPr>
            </w:pPr>
            <w:r w:rsidRPr="00557C2D">
              <w:rPr>
                <w:sz w:val="18"/>
                <w:szCs w:val="18"/>
              </w:rPr>
              <w:t>3</w:t>
            </w:r>
          </w:p>
        </w:tc>
        <w:tc>
          <w:tcPr>
            <w:tcW w:w="1041" w:type="dxa"/>
            <w:vAlign w:val="center"/>
            <w:hideMark/>
          </w:tcPr>
          <w:p w14:paraId="6A0E3668" w14:textId="77777777" w:rsidR="00A91189" w:rsidRPr="00557C2D" w:rsidRDefault="00A91189" w:rsidP="00B84505">
            <w:pPr>
              <w:jc w:val="right"/>
              <w:rPr>
                <w:sz w:val="18"/>
                <w:szCs w:val="18"/>
              </w:rPr>
            </w:pPr>
            <w:r w:rsidRPr="00557C2D">
              <w:rPr>
                <w:sz w:val="18"/>
                <w:szCs w:val="18"/>
              </w:rPr>
              <w:t>&lt;1%</w:t>
            </w:r>
          </w:p>
        </w:tc>
        <w:tc>
          <w:tcPr>
            <w:tcW w:w="1417" w:type="dxa"/>
            <w:vAlign w:val="center"/>
            <w:hideMark/>
          </w:tcPr>
          <w:p w14:paraId="3E4A339C" w14:textId="77777777" w:rsidR="00A91189" w:rsidRPr="00557C2D" w:rsidRDefault="00A91189">
            <w:pPr>
              <w:rPr>
                <w:rFonts w:eastAsia="Times New Roman" w:cs="Arial"/>
                <w:sz w:val="18"/>
                <w:szCs w:val="18"/>
              </w:rPr>
            </w:pPr>
            <w:r w:rsidRPr="00557C2D">
              <w:rPr>
                <w:rFonts w:eastAsia="Times New Roman" w:cs="Arial"/>
                <w:sz w:val="18"/>
                <w:szCs w:val="18"/>
              </w:rPr>
              <w:t>Construction</w:t>
            </w:r>
          </w:p>
        </w:tc>
        <w:tc>
          <w:tcPr>
            <w:tcW w:w="1276" w:type="dxa"/>
            <w:vAlign w:val="center"/>
            <w:hideMark/>
          </w:tcPr>
          <w:p w14:paraId="3FAABCDE" w14:textId="7EFFFA2F" w:rsidR="00A91189" w:rsidRPr="00557C2D" w:rsidRDefault="00A91189" w:rsidP="00B84505">
            <w:pPr>
              <w:jc w:val="right"/>
              <w:rPr>
                <w:sz w:val="18"/>
                <w:szCs w:val="18"/>
              </w:rPr>
            </w:pPr>
            <w:r w:rsidRPr="00557C2D">
              <w:rPr>
                <w:sz w:val="18"/>
                <w:szCs w:val="18"/>
              </w:rPr>
              <w:t>2,</w:t>
            </w:r>
            <w:r w:rsidR="007F36BC" w:rsidRPr="00557C2D">
              <w:rPr>
                <w:sz w:val="18"/>
                <w:szCs w:val="18"/>
              </w:rPr>
              <w:t>328</w:t>
            </w:r>
          </w:p>
        </w:tc>
        <w:tc>
          <w:tcPr>
            <w:tcW w:w="1276" w:type="dxa"/>
            <w:vAlign w:val="center"/>
            <w:hideMark/>
          </w:tcPr>
          <w:p w14:paraId="141C5848" w14:textId="77777777" w:rsidR="00A91189" w:rsidRPr="00557C2D" w:rsidRDefault="00A91189">
            <w:pPr>
              <w:rPr>
                <w:rFonts w:eastAsia="Times New Roman" w:cs="Arial"/>
                <w:sz w:val="18"/>
                <w:szCs w:val="18"/>
              </w:rPr>
            </w:pPr>
            <w:r w:rsidRPr="00557C2D">
              <w:rPr>
                <w:rFonts w:eastAsia="Times New Roman" w:cs="Arial"/>
                <w:sz w:val="18"/>
                <w:szCs w:val="18"/>
              </w:rPr>
              <w:t>Shortage - Long Training Gap</w:t>
            </w:r>
          </w:p>
        </w:tc>
        <w:tc>
          <w:tcPr>
            <w:tcW w:w="1371" w:type="dxa"/>
            <w:vAlign w:val="center"/>
            <w:hideMark/>
          </w:tcPr>
          <w:p w14:paraId="1E738E83" w14:textId="77777777" w:rsidR="00A91189" w:rsidRPr="00557C2D" w:rsidRDefault="00A91189" w:rsidP="00B84505">
            <w:pPr>
              <w:jc w:val="right"/>
              <w:rPr>
                <w:sz w:val="18"/>
                <w:szCs w:val="18"/>
              </w:rPr>
            </w:pPr>
            <w:r w:rsidRPr="00557C2D">
              <w:rPr>
                <w:sz w:val="18"/>
                <w:szCs w:val="18"/>
              </w:rPr>
              <w:t>185</w:t>
            </w:r>
          </w:p>
        </w:tc>
      </w:tr>
      <w:tr w:rsidR="00BA0010" w:rsidRPr="00557C2D" w14:paraId="7B7AF9FB" w14:textId="77777777" w:rsidTr="00557C2D">
        <w:trPr>
          <w:cnfStyle w:val="000000010000" w:firstRow="0" w:lastRow="0" w:firstColumn="0" w:lastColumn="0" w:oddVBand="0" w:evenVBand="0" w:oddHBand="0" w:evenHBand="1" w:firstRowFirstColumn="0" w:firstRowLastColumn="0" w:lastRowFirstColumn="0" w:lastRowLastColumn="0"/>
          <w:trHeight w:val="737"/>
        </w:trPr>
        <w:tc>
          <w:tcPr>
            <w:tcW w:w="1418" w:type="dxa"/>
            <w:vAlign w:val="center"/>
            <w:hideMark/>
          </w:tcPr>
          <w:p w14:paraId="6D83D6C4" w14:textId="77777777" w:rsidR="00A91189" w:rsidRPr="00557C2D" w:rsidRDefault="00A91189">
            <w:pPr>
              <w:rPr>
                <w:rFonts w:eastAsia="Times New Roman" w:cs="Arial"/>
                <w:sz w:val="18"/>
                <w:szCs w:val="18"/>
              </w:rPr>
            </w:pPr>
            <w:r w:rsidRPr="00557C2D">
              <w:rPr>
                <w:rFonts w:eastAsia="Times New Roman" w:cs="Arial"/>
                <w:sz w:val="18"/>
                <w:szCs w:val="18"/>
              </w:rPr>
              <w:t>Nursing Support and Personal Care Workers</w:t>
            </w:r>
          </w:p>
        </w:tc>
        <w:tc>
          <w:tcPr>
            <w:tcW w:w="1227" w:type="dxa"/>
            <w:vAlign w:val="center"/>
            <w:hideMark/>
          </w:tcPr>
          <w:p w14:paraId="75D31B14" w14:textId="77777777" w:rsidR="00A91189" w:rsidRPr="00557C2D" w:rsidRDefault="00A91189" w:rsidP="00B84505">
            <w:pPr>
              <w:jc w:val="center"/>
              <w:rPr>
                <w:sz w:val="18"/>
                <w:szCs w:val="18"/>
              </w:rPr>
            </w:pPr>
            <w:r w:rsidRPr="00557C2D">
              <w:rPr>
                <w:sz w:val="18"/>
                <w:szCs w:val="18"/>
              </w:rPr>
              <w:t>4</w:t>
            </w:r>
          </w:p>
        </w:tc>
        <w:tc>
          <w:tcPr>
            <w:tcW w:w="1041" w:type="dxa"/>
            <w:vAlign w:val="center"/>
            <w:hideMark/>
          </w:tcPr>
          <w:p w14:paraId="3EC2D476" w14:textId="77777777" w:rsidR="00A91189" w:rsidRPr="00557C2D" w:rsidRDefault="00A91189" w:rsidP="00B84505">
            <w:pPr>
              <w:jc w:val="right"/>
              <w:rPr>
                <w:sz w:val="18"/>
                <w:szCs w:val="18"/>
              </w:rPr>
            </w:pPr>
            <w:r w:rsidRPr="00557C2D">
              <w:rPr>
                <w:sz w:val="18"/>
                <w:szCs w:val="18"/>
              </w:rPr>
              <w:t>76%</w:t>
            </w:r>
          </w:p>
        </w:tc>
        <w:tc>
          <w:tcPr>
            <w:tcW w:w="1417" w:type="dxa"/>
            <w:vAlign w:val="center"/>
            <w:hideMark/>
          </w:tcPr>
          <w:p w14:paraId="535D98FE" w14:textId="77777777" w:rsidR="00A91189" w:rsidRPr="00557C2D" w:rsidRDefault="00A91189">
            <w:pPr>
              <w:rPr>
                <w:rFonts w:eastAsia="Times New Roman" w:cs="Arial"/>
                <w:sz w:val="18"/>
                <w:szCs w:val="18"/>
              </w:rPr>
            </w:pPr>
            <w:r w:rsidRPr="00557C2D">
              <w:rPr>
                <w:rFonts w:eastAsia="Times New Roman" w:cs="Arial"/>
                <w:sz w:val="18"/>
                <w:szCs w:val="18"/>
              </w:rPr>
              <w:t>Health care and social assistance</w:t>
            </w:r>
          </w:p>
        </w:tc>
        <w:tc>
          <w:tcPr>
            <w:tcW w:w="1276" w:type="dxa"/>
            <w:vAlign w:val="center"/>
            <w:hideMark/>
          </w:tcPr>
          <w:p w14:paraId="48C33837" w14:textId="20B49F64" w:rsidR="00A91189" w:rsidRPr="00557C2D" w:rsidRDefault="00A91189" w:rsidP="00B84505">
            <w:pPr>
              <w:jc w:val="right"/>
              <w:rPr>
                <w:sz w:val="18"/>
                <w:szCs w:val="18"/>
              </w:rPr>
            </w:pPr>
            <w:r w:rsidRPr="00557C2D">
              <w:rPr>
                <w:sz w:val="18"/>
                <w:szCs w:val="18"/>
              </w:rPr>
              <w:t>2,</w:t>
            </w:r>
            <w:r w:rsidR="007F36BC" w:rsidRPr="00557C2D">
              <w:rPr>
                <w:sz w:val="18"/>
                <w:szCs w:val="18"/>
              </w:rPr>
              <w:t>113</w:t>
            </w:r>
          </w:p>
        </w:tc>
        <w:tc>
          <w:tcPr>
            <w:tcW w:w="1276" w:type="dxa"/>
            <w:vAlign w:val="center"/>
            <w:hideMark/>
          </w:tcPr>
          <w:p w14:paraId="04507E0F" w14:textId="77777777" w:rsidR="00A91189" w:rsidRPr="00557C2D" w:rsidRDefault="00A91189">
            <w:pPr>
              <w:rPr>
                <w:rFonts w:eastAsia="Times New Roman" w:cs="Arial"/>
                <w:sz w:val="18"/>
                <w:szCs w:val="18"/>
              </w:rPr>
            </w:pPr>
            <w:r w:rsidRPr="00557C2D">
              <w:rPr>
                <w:rFonts w:eastAsia="Times New Roman" w:cs="Arial"/>
                <w:sz w:val="18"/>
                <w:szCs w:val="18"/>
              </w:rPr>
              <w:t>Shortage - Retention Gap</w:t>
            </w:r>
          </w:p>
        </w:tc>
        <w:tc>
          <w:tcPr>
            <w:tcW w:w="1371" w:type="dxa"/>
            <w:vAlign w:val="center"/>
            <w:hideMark/>
          </w:tcPr>
          <w:p w14:paraId="1F00C464" w14:textId="77777777" w:rsidR="00A91189" w:rsidRPr="00557C2D" w:rsidRDefault="00A91189" w:rsidP="00B84505">
            <w:pPr>
              <w:jc w:val="right"/>
              <w:rPr>
                <w:sz w:val="18"/>
                <w:szCs w:val="18"/>
              </w:rPr>
            </w:pPr>
            <w:r w:rsidRPr="00557C2D">
              <w:rPr>
                <w:sz w:val="18"/>
                <w:szCs w:val="18"/>
              </w:rPr>
              <w:t>612</w:t>
            </w:r>
          </w:p>
        </w:tc>
      </w:tr>
      <w:tr w:rsidR="00C404A3" w:rsidRPr="00557C2D" w14:paraId="0BEF9CF4" w14:textId="77777777" w:rsidTr="00557C2D">
        <w:trPr>
          <w:trHeight w:val="737"/>
        </w:trPr>
        <w:tc>
          <w:tcPr>
            <w:tcW w:w="1418" w:type="dxa"/>
            <w:vAlign w:val="center"/>
            <w:hideMark/>
          </w:tcPr>
          <w:p w14:paraId="37D5013A" w14:textId="77777777" w:rsidR="00A91189" w:rsidRPr="00557C2D" w:rsidRDefault="00A91189">
            <w:pPr>
              <w:rPr>
                <w:rFonts w:eastAsia="Times New Roman" w:cs="Arial"/>
                <w:sz w:val="18"/>
                <w:szCs w:val="18"/>
              </w:rPr>
            </w:pPr>
            <w:r w:rsidRPr="00557C2D">
              <w:rPr>
                <w:rFonts w:eastAsia="Times New Roman" w:cs="Arial"/>
                <w:sz w:val="18"/>
                <w:szCs w:val="18"/>
              </w:rPr>
              <w:t>Child Carers</w:t>
            </w:r>
          </w:p>
        </w:tc>
        <w:tc>
          <w:tcPr>
            <w:tcW w:w="1227" w:type="dxa"/>
            <w:vAlign w:val="center"/>
            <w:hideMark/>
          </w:tcPr>
          <w:p w14:paraId="019CEF68" w14:textId="77777777" w:rsidR="00A91189" w:rsidRPr="00557C2D" w:rsidRDefault="00A91189" w:rsidP="00B84505">
            <w:pPr>
              <w:jc w:val="center"/>
              <w:rPr>
                <w:sz w:val="18"/>
                <w:szCs w:val="18"/>
              </w:rPr>
            </w:pPr>
            <w:r w:rsidRPr="00557C2D">
              <w:rPr>
                <w:sz w:val="18"/>
                <w:szCs w:val="18"/>
              </w:rPr>
              <w:t>3</w:t>
            </w:r>
          </w:p>
        </w:tc>
        <w:tc>
          <w:tcPr>
            <w:tcW w:w="1041" w:type="dxa"/>
            <w:vAlign w:val="center"/>
            <w:hideMark/>
          </w:tcPr>
          <w:p w14:paraId="7C991A61" w14:textId="77777777" w:rsidR="00A91189" w:rsidRPr="00557C2D" w:rsidRDefault="00A91189" w:rsidP="00B84505">
            <w:pPr>
              <w:jc w:val="right"/>
              <w:rPr>
                <w:sz w:val="18"/>
                <w:szCs w:val="18"/>
              </w:rPr>
            </w:pPr>
            <w:r w:rsidRPr="00557C2D">
              <w:rPr>
                <w:sz w:val="18"/>
                <w:szCs w:val="18"/>
              </w:rPr>
              <w:t>95%</w:t>
            </w:r>
          </w:p>
        </w:tc>
        <w:tc>
          <w:tcPr>
            <w:tcW w:w="1417" w:type="dxa"/>
            <w:vAlign w:val="center"/>
            <w:hideMark/>
          </w:tcPr>
          <w:p w14:paraId="189604E3" w14:textId="77777777" w:rsidR="00A91189" w:rsidRPr="00557C2D" w:rsidRDefault="00A91189">
            <w:pPr>
              <w:rPr>
                <w:rFonts w:eastAsia="Times New Roman" w:cs="Arial"/>
                <w:sz w:val="18"/>
                <w:szCs w:val="18"/>
              </w:rPr>
            </w:pPr>
            <w:r w:rsidRPr="00557C2D">
              <w:rPr>
                <w:rFonts w:eastAsia="Times New Roman" w:cs="Arial"/>
                <w:sz w:val="18"/>
                <w:szCs w:val="18"/>
              </w:rPr>
              <w:t>Health care and social assistance</w:t>
            </w:r>
          </w:p>
        </w:tc>
        <w:tc>
          <w:tcPr>
            <w:tcW w:w="1276" w:type="dxa"/>
            <w:vAlign w:val="center"/>
            <w:hideMark/>
          </w:tcPr>
          <w:p w14:paraId="4E462B0A" w14:textId="4C538443" w:rsidR="00A91189" w:rsidRPr="00557C2D" w:rsidRDefault="00A91189" w:rsidP="00B84505">
            <w:pPr>
              <w:jc w:val="right"/>
              <w:rPr>
                <w:sz w:val="18"/>
                <w:szCs w:val="18"/>
              </w:rPr>
            </w:pPr>
            <w:r w:rsidRPr="00557C2D">
              <w:rPr>
                <w:sz w:val="18"/>
                <w:szCs w:val="18"/>
              </w:rPr>
              <w:t>2,</w:t>
            </w:r>
            <w:r w:rsidR="006625FA" w:rsidRPr="00557C2D">
              <w:rPr>
                <w:sz w:val="18"/>
                <w:szCs w:val="18"/>
              </w:rPr>
              <w:t>005</w:t>
            </w:r>
          </w:p>
        </w:tc>
        <w:tc>
          <w:tcPr>
            <w:tcW w:w="1276" w:type="dxa"/>
            <w:vAlign w:val="center"/>
            <w:hideMark/>
          </w:tcPr>
          <w:p w14:paraId="74EE0FC6" w14:textId="77777777" w:rsidR="00A91189" w:rsidRPr="00557C2D" w:rsidRDefault="00A91189">
            <w:pPr>
              <w:rPr>
                <w:rFonts w:eastAsia="Times New Roman" w:cs="Arial"/>
                <w:sz w:val="18"/>
                <w:szCs w:val="18"/>
              </w:rPr>
            </w:pPr>
            <w:r w:rsidRPr="00557C2D">
              <w:rPr>
                <w:rFonts w:eastAsia="Times New Roman" w:cs="Arial"/>
                <w:sz w:val="18"/>
                <w:szCs w:val="18"/>
              </w:rPr>
              <w:t>Shortage - Retention Gap</w:t>
            </w:r>
          </w:p>
        </w:tc>
        <w:tc>
          <w:tcPr>
            <w:tcW w:w="1371" w:type="dxa"/>
            <w:vAlign w:val="center"/>
            <w:hideMark/>
          </w:tcPr>
          <w:p w14:paraId="6BE00368" w14:textId="77777777" w:rsidR="00A91189" w:rsidRPr="00557C2D" w:rsidRDefault="00A91189" w:rsidP="00B84505">
            <w:pPr>
              <w:jc w:val="right"/>
              <w:rPr>
                <w:sz w:val="18"/>
                <w:szCs w:val="18"/>
              </w:rPr>
            </w:pPr>
            <w:r w:rsidRPr="00557C2D">
              <w:rPr>
                <w:sz w:val="18"/>
                <w:szCs w:val="18"/>
              </w:rPr>
              <w:t>404</w:t>
            </w:r>
          </w:p>
        </w:tc>
      </w:tr>
      <w:tr w:rsidR="00BA0010" w:rsidRPr="00557C2D" w14:paraId="31A114D8" w14:textId="77777777" w:rsidTr="00557C2D">
        <w:trPr>
          <w:cnfStyle w:val="000000010000" w:firstRow="0" w:lastRow="0" w:firstColumn="0" w:lastColumn="0" w:oddVBand="0" w:evenVBand="0" w:oddHBand="0" w:evenHBand="1" w:firstRowFirstColumn="0" w:firstRowLastColumn="0" w:lastRowFirstColumn="0" w:lastRowLastColumn="0"/>
          <w:trHeight w:val="737"/>
        </w:trPr>
        <w:tc>
          <w:tcPr>
            <w:tcW w:w="1418" w:type="dxa"/>
            <w:vAlign w:val="center"/>
            <w:hideMark/>
          </w:tcPr>
          <w:p w14:paraId="0264ECF9" w14:textId="77777777" w:rsidR="00A91189" w:rsidRPr="00557C2D" w:rsidRDefault="00A91189">
            <w:pPr>
              <w:rPr>
                <w:rFonts w:eastAsia="Times New Roman" w:cs="Arial"/>
                <w:sz w:val="18"/>
                <w:szCs w:val="18"/>
              </w:rPr>
            </w:pPr>
            <w:r w:rsidRPr="00557C2D">
              <w:rPr>
                <w:rFonts w:eastAsia="Times New Roman" w:cs="Arial"/>
                <w:sz w:val="18"/>
                <w:szCs w:val="18"/>
              </w:rPr>
              <w:t>Waiters</w:t>
            </w:r>
          </w:p>
        </w:tc>
        <w:tc>
          <w:tcPr>
            <w:tcW w:w="1227" w:type="dxa"/>
            <w:vAlign w:val="center"/>
            <w:hideMark/>
          </w:tcPr>
          <w:p w14:paraId="74E3C600" w14:textId="77777777" w:rsidR="00A91189" w:rsidRPr="00557C2D" w:rsidRDefault="00A91189" w:rsidP="00B84505">
            <w:pPr>
              <w:jc w:val="center"/>
              <w:rPr>
                <w:sz w:val="18"/>
                <w:szCs w:val="18"/>
              </w:rPr>
            </w:pPr>
            <w:r w:rsidRPr="00557C2D">
              <w:rPr>
                <w:sz w:val="18"/>
                <w:szCs w:val="18"/>
              </w:rPr>
              <w:t>4</w:t>
            </w:r>
          </w:p>
        </w:tc>
        <w:tc>
          <w:tcPr>
            <w:tcW w:w="1041" w:type="dxa"/>
            <w:vAlign w:val="center"/>
            <w:hideMark/>
          </w:tcPr>
          <w:p w14:paraId="612FDB05" w14:textId="77777777" w:rsidR="00A91189" w:rsidRPr="00557C2D" w:rsidRDefault="00A91189" w:rsidP="00B84505">
            <w:pPr>
              <w:jc w:val="right"/>
              <w:rPr>
                <w:sz w:val="18"/>
                <w:szCs w:val="18"/>
              </w:rPr>
            </w:pPr>
            <w:r w:rsidRPr="00557C2D">
              <w:rPr>
                <w:sz w:val="18"/>
                <w:szCs w:val="18"/>
              </w:rPr>
              <w:t>82%</w:t>
            </w:r>
          </w:p>
        </w:tc>
        <w:tc>
          <w:tcPr>
            <w:tcW w:w="1417" w:type="dxa"/>
            <w:vAlign w:val="center"/>
            <w:hideMark/>
          </w:tcPr>
          <w:p w14:paraId="03F24AAD" w14:textId="77777777" w:rsidR="00A91189" w:rsidRPr="00557C2D" w:rsidRDefault="00A91189">
            <w:pPr>
              <w:rPr>
                <w:rFonts w:eastAsia="Times New Roman" w:cs="Arial"/>
                <w:sz w:val="18"/>
                <w:szCs w:val="18"/>
              </w:rPr>
            </w:pPr>
            <w:r w:rsidRPr="00557C2D">
              <w:rPr>
                <w:rFonts w:eastAsia="Times New Roman" w:cs="Arial"/>
                <w:sz w:val="18"/>
                <w:szCs w:val="18"/>
              </w:rPr>
              <w:t>Accommodation and food services</w:t>
            </w:r>
          </w:p>
        </w:tc>
        <w:tc>
          <w:tcPr>
            <w:tcW w:w="1276" w:type="dxa"/>
            <w:vAlign w:val="center"/>
            <w:hideMark/>
          </w:tcPr>
          <w:p w14:paraId="01278BFE" w14:textId="3B05DC60" w:rsidR="00A91189" w:rsidRPr="00557C2D" w:rsidRDefault="006625FA" w:rsidP="00B84505">
            <w:pPr>
              <w:jc w:val="right"/>
              <w:rPr>
                <w:sz w:val="18"/>
                <w:szCs w:val="18"/>
              </w:rPr>
            </w:pPr>
            <w:r w:rsidRPr="00557C2D">
              <w:rPr>
                <w:sz w:val="18"/>
                <w:szCs w:val="18"/>
              </w:rPr>
              <w:t>2,050</w:t>
            </w:r>
          </w:p>
        </w:tc>
        <w:tc>
          <w:tcPr>
            <w:tcW w:w="1276" w:type="dxa"/>
            <w:vAlign w:val="center"/>
            <w:hideMark/>
          </w:tcPr>
          <w:p w14:paraId="65324B24" w14:textId="77777777" w:rsidR="00A91189" w:rsidRPr="00557C2D" w:rsidRDefault="00A91189">
            <w:pPr>
              <w:rPr>
                <w:rFonts w:eastAsia="Times New Roman" w:cs="Arial"/>
                <w:sz w:val="18"/>
                <w:szCs w:val="18"/>
              </w:rPr>
            </w:pPr>
            <w:r w:rsidRPr="00557C2D">
              <w:rPr>
                <w:rFonts w:eastAsia="Times New Roman" w:cs="Arial"/>
                <w:sz w:val="18"/>
                <w:szCs w:val="18"/>
              </w:rPr>
              <w:t>Shortage - Retention Gap</w:t>
            </w:r>
          </w:p>
        </w:tc>
        <w:tc>
          <w:tcPr>
            <w:tcW w:w="1371" w:type="dxa"/>
            <w:vAlign w:val="center"/>
            <w:hideMark/>
          </w:tcPr>
          <w:p w14:paraId="557982F0" w14:textId="77777777" w:rsidR="00A91189" w:rsidRPr="00557C2D" w:rsidRDefault="00A91189" w:rsidP="00B84505">
            <w:pPr>
              <w:jc w:val="right"/>
              <w:rPr>
                <w:sz w:val="18"/>
                <w:szCs w:val="18"/>
              </w:rPr>
            </w:pPr>
            <w:r w:rsidRPr="00557C2D">
              <w:rPr>
                <w:sz w:val="18"/>
                <w:szCs w:val="18"/>
              </w:rPr>
              <w:t>0</w:t>
            </w:r>
          </w:p>
        </w:tc>
      </w:tr>
      <w:tr w:rsidR="00C404A3" w:rsidRPr="00557C2D" w14:paraId="323A0AB6" w14:textId="77777777" w:rsidTr="00557C2D">
        <w:trPr>
          <w:trHeight w:val="737"/>
        </w:trPr>
        <w:tc>
          <w:tcPr>
            <w:tcW w:w="1418" w:type="dxa"/>
            <w:vAlign w:val="center"/>
            <w:hideMark/>
          </w:tcPr>
          <w:p w14:paraId="0BA96C47" w14:textId="46CE9E0C" w:rsidR="00A91189" w:rsidRPr="00557C2D" w:rsidRDefault="00A91189">
            <w:pPr>
              <w:rPr>
                <w:rFonts w:eastAsia="Times New Roman" w:cs="Arial"/>
                <w:sz w:val="18"/>
                <w:szCs w:val="18"/>
              </w:rPr>
            </w:pPr>
            <w:r w:rsidRPr="00557C2D">
              <w:rPr>
                <w:rFonts w:eastAsia="Times New Roman" w:cs="Arial"/>
                <w:sz w:val="18"/>
                <w:szCs w:val="18"/>
              </w:rPr>
              <w:t>Chefs</w:t>
            </w:r>
          </w:p>
        </w:tc>
        <w:tc>
          <w:tcPr>
            <w:tcW w:w="1227" w:type="dxa"/>
            <w:vAlign w:val="center"/>
            <w:hideMark/>
          </w:tcPr>
          <w:p w14:paraId="7DAB900B" w14:textId="77777777" w:rsidR="00A91189" w:rsidRPr="00557C2D" w:rsidRDefault="00A91189" w:rsidP="00B84505">
            <w:pPr>
              <w:jc w:val="center"/>
              <w:rPr>
                <w:sz w:val="18"/>
                <w:szCs w:val="18"/>
              </w:rPr>
            </w:pPr>
            <w:r w:rsidRPr="00557C2D">
              <w:rPr>
                <w:sz w:val="18"/>
                <w:szCs w:val="18"/>
              </w:rPr>
              <w:t>2</w:t>
            </w:r>
          </w:p>
        </w:tc>
        <w:tc>
          <w:tcPr>
            <w:tcW w:w="1041" w:type="dxa"/>
            <w:vAlign w:val="center"/>
            <w:hideMark/>
          </w:tcPr>
          <w:p w14:paraId="39C1F54D" w14:textId="77777777" w:rsidR="00A91189" w:rsidRPr="00557C2D" w:rsidRDefault="00A91189" w:rsidP="00B84505">
            <w:pPr>
              <w:jc w:val="right"/>
              <w:rPr>
                <w:sz w:val="18"/>
                <w:szCs w:val="18"/>
              </w:rPr>
            </w:pPr>
            <w:r w:rsidRPr="00557C2D">
              <w:rPr>
                <w:sz w:val="18"/>
                <w:szCs w:val="18"/>
              </w:rPr>
              <w:t>26%</w:t>
            </w:r>
          </w:p>
        </w:tc>
        <w:tc>
          <w:tcPr>
            <w:tcW w:w="1417" w:type="dxa"/>
            <w:vAlign w:val="center"/>
            <w:hideMark/>
          </w:tcPr>
          <w:p w14:paraId="60EC55D3" w14:textId="77777777" w:rsidR="00A91189" w:rsidRPr="00557C2D" w:rsidRDefault="00A91189">
            <w:pPr>
              <w:rPr>
                <w:rFonts w:eastAsia="Times New Roman" w:cs="Arial"/>
                <w:sz w:val="18"/>
                <w:szCs w:val="18"/>
              </w:rPr>
            </w:pPr>
            <w:r w:rsidRPr="00557C2D">
              <w:rPr>
                <w:rFonts w:eastAsia="Times New Roman" w:cs="Arial"/>
                <w:sz w:val="18"/>
                <w:szCs w:val="18"/>
              </w:rPr>
              <w:t>Accommodation and food services</w:t>
            </w:r>
          </w:p>
        </w:tc>
        <w:tc>
          <w:tcPr>
            <w:tcW w:w="1276" w:type="dxa"/>
            <w:vAlign w:val="center"/>
            <w:hideMark/>
          </w:tcPr>
          <w:p w14:paraId="65A56B19" w14:textId="6AE42723" w:rsidR="00A91189" w:rsidRPr="00557C2D" w:rsidRDefault="00A91189" w:rsidP="00B84505">
            <w:pPr>
              <w:jc w:val="right"/>
              <w:rPr>
                <w:sz w:val="18"/>
                <w:szCs w:val="18"/>
              </w:rPr>
            </w:pPr>
            <w:r w:rsidRPr="00557C2D">
              <w:rPr>
                <w:sz w:val="18"/>
                <w:szCs w:val="18"/>
              </w:rPr>
              <w:t>1,</w:t>
            </w:r>
            <w:r w:rsidR="006625FA" w:rsidRPr="00557C2D">
              <w:rPr>
                <w:sz w:val="18"/>
                <w:szCs w:val="18"/>
              </w:rPr>
              <w:t>847</w:t>
            </w:r>
          </w:p>
        </w:tc>
        <w:tc>
          <w:tcPr>
            <w:tcW w:w="1276" w:type="dxa"/>
            <w:vAlign w:val="center"/>
            <w:hideMark/>
          </w:tcPr>
          <w:p w14:paraId="160A8A0E" w14:textId="77777777" w:rsidR="00A91189" w:rsidRPr="00557C2D" w:rsidRDefault="00A91189">
            <w:pPr>
              <w:rPr>
                <w:rFonts w:eastAsia="Times New Roman" w:cs="Arial"/>
                <w:sz w:val="18"/>
                <w:szCs w:val="18"/>
              </w:rPr>
            </w:pPr>
            <w:r w:rsidRPr="00557C2D">
              <w:rPr>
                <w:rFonts w:eastAsia="Times New Roman" w:cs="Arial"/>
                <w:sz w:val="18"/>
                <w:szCs w:val="18"/>
              </w:rPr>
              <w:t>Shortage - Retention Gap</w:t>
            </w:r>
          </w:p>
        </w:tc>
        <w:tc>
          <w:tcPr>
            <w:tcW w:w="1371" w:type="dxa"/>
            <w:vAlign w:val="center"/>
            <w:hideMark/>
          </w:tcPr>
          <w:p w14:paraId="2D5F0B1C" w14:textId="77777777" w:rsidR="00A91189" w:rsidRPr="00557C2D" w:rsidRDefault="00A91189" w:rsidP="00B84505">
            <w:pPr>
              <w:jc w:val="right"/>
              <w:rPr>
                <w:sz w:val="18"/>
                <w:szCs w:val="18"/>
              </w:rPr>
            </w:pPr>
            <w:r w:rsidRPr="00557C2D">
              <w:rPr>
                <w:sz w:val="18"/>
                <w:szCs w:val="18"/>
              </w:rPr>
              <w:t>9</w:t>
            </w:r>
          </w:p>
        </w:tc>
      </w:tr>
      <w:tr w:rsidR="00BA0010" w:rsidRPr="00557C2D" w14:paraId="15D3E51B" w14:textId="77777777" w:rsidTr="00557C2D">
        <w:trPr>
          <w:cnfStyle w:val="000000010000" w:firstRow="0" w:lastRow="0" w:firstColumn="0" w:lastColumn="0" w:oddVBand="0" w:evenVBand="0" w:oddHBand="0" w:evenHBand="1" w:firstRowFirstColumn="0" w:firstRowLastColumn="0" w:lastRowFirstColumn="0" w:lastRowLastColumn="0"/>
          <w:trHeight w:val="737"/>
        </w:trPr>
        <w:tc>
          <w:tcPr>
            <w:tcW w:w="1418" w:type="dxa"/>
            <w:vAlign w:val="center"/>
            <w:hideMark/>
          </w:tcPr>
          <w:p w14:paraId="77B9C447" w14:textId="77777777" w:rsidR="00A91189" w:rsidRPr="00557C2D" w:rsidRDefault="00A91189">
            <w:pPr>
              <w:rPr>
                <w:rFonts w:eastAsia="Times New Roman" w:cs="Arial"/>
                <w:sz w:val="18"/>
                <w:szCs w:val="18"/>
              </w:rPr>
            </w:pPr>
            <w:r w:rsidRPr="00557C2D">
              <w:rPr>
                <w:rFonts w:eastAsia="Times New Roman" w:cs="Arial"/>
                <w:sz w:val="18"/>
                <w:szCs w:val="18"/>
              </w:rPr>
              <w:t>Electricians</w:t>
            </w:r>
          </w:p>
        </w:tc>
        <w:tc>
          <w:tcPr>
            <w:tcW w:w="1227" w:type="dxa"/>
            <w:vAlign w:val="center"/>
            <w:hideMark/>
          </w:tcPr>
          <w:p w14:paraId="2CABC1AB" w14:textId="77777777" w:rsidR="00A91189" w:rsidRPr="00557C2D" w:rsidRDefault="00A91189" w:rsidP="00B84505">
            <w:pPr>
              <w:jc w:val="center"/>
              <w:rPr>
                <w:sz w:val="18"/>
                <w:szCs w:val="18"/>
              </w:rPr>
            </w:pPr>
            <w:r w:rsidRPr="00557C2D">
              <w:rPr>
                <w:sz w:val="18"/>
                <w:szCs w:val="18"/>
              </w:rPr>
              <w:t>3</w:t>
            </w:r>
          </w:p>
        </w:tc>
        <w:tc>
          <w:tcPr>
            <w:tcW w:w="1041" w:type="dxa"/>
            <w:vAlign w:val="center"/>
            <w:hideMark/>
          </w:tcPr>
          <w:p w14:paraId="543189EC" w14:textId="77777777" w:rsidR="00A91189" w:rsidRPr="00557C2D" w:rsidRDefault="00A91189" w:rsidP="00B84505">
            <w:pPr>
              <w:jc w:val="right"/>
              <w:rPr>
                <w:sz w:val="18"/>
                <w:szCs w:val="18"/>
              </w:rPr>
            </w:pPr>
            <w:r w:rsidRPr="00557C2D">
              <w:rPr>
                <w:sz w:val="18"/>
                <w:szCs w:val="18"/>
              </w:rPr>
              <w:t>1%</w:t>
            </w:r>
          </w:p>
        </w:tc>
        <w:tc>
          <w:tcPr>
            <w:tcW w:w="1417" w:type="dxa"/>
            <w:vAlign w:val="center"/>
            <w:hideMark/>
          </w:tcPr>
          <w:p w14:paraId="0B85038C" w14:textId="77777777" w:rsidR="00A91189" w:rsidRPr="00557C2D" w:rsidRDefault="00A91189">
            <w:pPr>
              <w:rPr>
                <w:rFonts w:eastAsia="Times New Roman" w:cs="Arial"/>
                <w:sz w:val="18"/>
                <w:szCs w:val="18"/>
              </w:rPr>
            </w:pPr>
            <w:r w:rsidRPr="00557C2D">
              <w:rPr>
                <w:rFonts w:eastAsia="Times New Roman" w:cs="Arial"/>
                <w:sz w:val="18"/>
                <w:szCs w:val="18"/>
              </w:rPr>
              <w:t>Construction</w:t>
            </w:r>
          </w:p>
        </w:tc>
        <w:tc>
          <w:tcPr>
            <w:tcW w:w="1276" w:type="dxa"/>
            <w:vAlign w:val="center"/>
            <w:hideMark/>
          </w:tcPr>
          <w:p w14:paraId="08E5B90D" w14:textId="4DBE68DE" w:rsidR="00A91189" w:rsidRPr="00557C2D" w:rsidRDefault="00A91189" w:rsidP="00B84505">
            <w:pPr>
              <w:jc w:val="right"/>
              <w:rPr>
                <w:sz w:val="18"/>
                <w:szCs w:val="18"/>
              </w:rPr>
            </w:pPr>
            <w:r w:rsidRPr="00557C2D">
              <w:rPr>
                <w:sz w:val="18"/>
                <w:szCs w:val="18"/>
              </w:rPr>
              <w:t>1,</w:t>
            </w:r>
            <w:r w:rsidR="006625FA" w:rsidRPr="00557C2D">
              <w:rPr>
                <w:sz w:val="18"/>
                <w:szCs w:val="18"/>
              </w:rPr>
              <w:t>948</w:t>
            </w:r>
          </w:p>
        </w:tc>
        <w:tc>
          <w:tcPr>
            <w:tcW w:w="1276" w:type="dxa"/>
            <w:vAlign w:val="center"/>
            <w:hideMark/>
          </w:tcPr>
          <w:p w14:paraId="6FF8DB1F" w14:textId="77777777" w:rsidR="00A91189" w:rsidRPr="00557C2D" w:rsidRDefault="00A91189">
            <w:pPr>
              <w:rPr>
                <w:rFonts w:eastAsia="Times New Roman" w:cs="Arial"/>
                <w:sz w:val="18"/>
                <w:szCs w:val="18"/>
              </w:rPr>
            </w:pPr>
            <w:r w:rsidRPr="00557C2D">
              <w:rPr>
                <w:rFonts w:eastAsia="Times New Roman" w:cs="Arial"/>
                <w:sz w:val="18"/>
                <w:szCs w:val="18"/>
              </w:rPr>
              <w:t>Shortage - Long Training Gap</w:t>
            </w:r>
          </w:p>
        </w:tc>
        <w:tc>
          <w:tcPr>
            <w:tcW w:w="1371" w:type="dxa"/>
            <w:vAlign w:val="center"/>
            <w:hideMark/>
          </w:tcPr>
          <w:p w14:paraId="38FB2554" w14:textId="77777777" w:rsidR="00A91189" w:rsidRPr="00557C2D" w:rsidRDefault="00A91189" w:rsidP="00B84505">
            <w:pPr>
              <w:jc w:val="right"/>
              <w:rPr>
                <w:sz w:val="18"/>
                <w:szCs w:val="18"/>
              </w:rPr>
            </w:pPr>
            <w:r w:rsidRPr="00557C2D">
              <w:rPr>
                <w:sz w:val="18"/>
                <w:szCs w:val="18"/>
              </w:rPr>
              <w:t>109</w:t>
            </w:r>
          </w:p>
        </w:tc>
      </w:tr>
      <w:tr w:rsidR="00C404A3" w:rsidRPr="00557C2D" w14:paraId="5D370BDB" w14:textId="77777777" w:rsidTr="00557C2D">
        <w:trPr>
          <w:trHeight w:val="737"/>
        </w:trPr>
        <w:tc>
          <w:tcPr>
            <w:tcW w:w="1418" w:type="dxa"/>
            <w:vAlign w:val="center"/>
            <w:hideMark/>
          </w:tcPr>
          <w:p w14:paraId="7D08EB43" w14:textId="77777777" w:rsidR="00A91189" w:rsidRPr="00557C2D" w:rsidRDefault="00A91189">
            <w:pPr>
              <w:rPr>
                <w:rFonts w:eastAsia="Times New Roman" w:cs="Arial"/>
                <w:sz w:val="18"/>
                <w:szCs w:val="18"/>
              </w:rPr>
            </w:pPr>
            <w:r w:rsidRPr="00557C2D">
              <w:rPr>
                <w:rFonts w:eastAsia="Times New Roman" w:cs="Arial"/>
                <w:sz w:val="18"/>
                <w:szCs w:val="18"/>
              </w:rPr>
              <w:t>Contract, Program and Project Administrators</w:t>
            </w:r>
          </w:p>
        </w:tc>
        <w:tc>
          <w:tcPr>
            <w:tcW w:w="1227" w:type="dxa"/>
            <w:vAlign w:val="center"/>
            <w:hideMark/>
          </w:tcPr>
          <w:p w14:paraId="5A365ADB" w14:textId="77777777" w:rsidR="00A91189" w:rsidRPr="00557C2D" w:rsidRDefault="00A91189" w:rsidP="00B84505">
            <w:pPr>
              <w:jc w:val="center"/>
              <w:rPr>
                <w:sz w:val="18"/>
                <w:szCs w:val="18"/>
              </w:rPr>
            </w:pPr>
            <w:r w:rsidRPr="00557C2D">
              <w:rPr>
                <w:sz w:val="18"/>
                <w:szCs w:val="18"/>
              </w:rPr>
              <w:t>2</w:t>
            </w:r>
          </w:p>
        </w:tc>
        <w:tc>
          <w:tcPr>
            <w:tcW w:w="1041" w:type="dxa"/>
            <w:vAlign w:val="center"/>
            <w:hideMark/>
          </w:tcPr>
          <w:p w14:paraId="72486497" w14:textId="77777777" w:rsidR="00A91189" w:rsidRPr="00557C2D" w:rsidRDefault="00A91189" w:rsidP="00B84505">
            <w:pPr>
              <w:jc w:val="right"/>
              <w:rPr>
                <w:sz w:val="18"/>
                <w:szCs w:val="18"/>
              </w:rPr>
            </w:pPr>
            <w:r w:rsidRPr="00557C2D">
              <w:rPr>
                <w:sz w:val="18"/>
                <w:szCs w:val="18"/>
              </w:rPr>
              <w:t>63%</w:t>
            </w:r>
          </w:p>
        </w:tc>
        <w:tc>
          <w:tcPr>
            <w:tcW w:w="1417" w:type="dxa"/>
            <w:vAlign w:val="center"/>
            <w:hideMark/>
          </w:tcPr>
          <w:p w14:paraId="5E47D74F" w14:textId="77777777" w:rsidR="00A91189" w:rsidRPr="00557C2D" w:rsidRDefault="00A91189">
            <w:pPr>
              <w:rPr>
                <w:rFonts w:eastAsia="Times New Roman" w:cs="Arial"/>
                <w:sz w:val="18"/>
                <w:szCs w:val="18"/>
              </w:rPr>
            </w:pPr>
            <w:r w:rsidRPr="00557C2D">
              <w:rPr>
                <w:rFonts w:eastAsia="Times New Roman" w:cs="Arial"/>
                <w:sz w:val="18"/>
                <w:szCs w:val="18"/>
              </w:rPr>
              <w:t>Public administration and safety</w:t>
            </w:r>
          </w:p>
        </w:tc>
        <w:tc>
          <w:tcPr>
            <w:tcW w:w="1276" w:type="dxa"/>
            <w:vAlign w:val="center"/>
            <w:hideMark/>
          </w:tcPr>
          <w:p w14:paraId="051BE59E" w14:textId="1CC9EFEE" w:rsidR="00A91189" w:rsidRPr="00557C2D" w:rsidRDefault="00A91189" w:rsidP="00B84505">
            <w:pPr>
              <w:jc w:val="right"/>
              <w:rPr>
                <w:sz w:val="18"/>
                <w:szCs w:val="18"/>
              </w:rPr>
            </w:pPr>
            <w:r w:rsidRPr="00557C2D">
              <w:rPr>
                <w:sz w:val="18"/>
                <w:szCs w:val="18"/>
              </w:rPr>
              <w:t>1,</w:t>
            </w:r>
            <w:r w:rsidR="006625FA" w:rsidRPr="00557C2D">
              <w:rPr>
                <w:sz w:val="18"/>
                <w:szCs w:val="18"/>
              </w:rPr>
              <w:t>551</w:t>
            </w:r>
          </w:p>
        </w:tc>
        <w:tc>
          <w:tcPr>
            <w:tcW w:w="1276" w:type="dxa"/>
            <w:vAlign w:val="center"/>
            <w:hideMark/>
          </w:tcPr>
          <w:p w14:paraId="1A4491CD" w14:textId="77777777" w:rsidR="00A91189" w:rsidRPr="00557C2D" w:rsidRDefault="00A91189">
            <w:pPr>
              <w:rPr>
                <w:rFonts w:eastAsia="Times New Roman" w:cs="Arial"/>
                <w:sz w:val="18"/>
                <w:szCs w:val="18"/>
              </w:rPr>
            </w:pPr>
            <w:r w:rsidRPr="00557C2D">
              <w:rPr>
                <w:rFonts w:eastAsia="Times New Roman" w:cs="Arial"/>
                <w:sz w:val="18"/>
                <w:szCs w:val="18"/>
              </w:rPr>
              <w:t>Shortage - to be determined</w:t>
            </w:r>
          </w:p>
        </w:tc>
        <w:tc>
          <w:tcPr>
            <w:tcW w:w="1371" w:type="dxa"/>
            <w:vAlign w:val="center"/>
            <w:hideMark/>
          </w:tcPr>
          <w:p w14:paraId="539A302D" w14:textId="77777777" w:rsidR="00A91189" w:rsidRPr="00557C2D" w:rsidRDefault="00A91189" w:rsidP="00B84505">
            <w:pPr>
              <w:jc w:val="right"/>
              <w:rPr>
                <w:sz w:val="18"/>
                <w:szCs w:val="18"/>
              </w:rPr>
            </w:pPr>
            <w:r w:rsidRPr="00557C2D">
              <w:rPr>
                <w:sz w:val="18"/>
                <w:szCs w:val="18"/>
              </w:rPr>
              <w:t>61</w:t>
            </w:r>
          </w:p>
        </w:tc>
      </w:tr>
      <w:tr w:rsidR="00BA0010" w:rsidRPr="00557C2D" w14:paraId="4F0766B4" w14:textId="77777777" w:rsidTr="00557C2D">
        <w:trPr>
          <w:cnfStyle w:val="000000010000" w:firstRow="0" w:lastRow="0" w:firstColumn="0" w:lastColumn="0" w:oddVBand="0" w:evenVBand="0" w:oddHBand="0" w:evenHBand="1" w:firstRowFirstColumn="0" w:firstRowLastColumn="0" w:lastRowFirstColumn="0" w:lastRowLastColumn="0"/>
          <w:trHeight w:val="737"/>
        </w:trPr>
        <w:tc>
          <w:tcPr>
            <w:tcW w:w="1418" w:type="dxa"/>
            <w:vAlign w:val="center"/>
            <w:hideMark/>
          </w:tcPr>
          <w:p w14:paraId="23CEC4C6" w14:textId="77777777" w:rsidR="00A91189" w:rsidRPr="00557C2D" w:rsidRDefault="00A91189">
            <w:pPr>
              <w:rPr>
                <w:rFonts w:eastAsia="Times New Roman" w:cs="Arial"/>
                <w:sz w:val="18"/>
                <w:szCs w:val="18"/>
              </w:rPr>
            </w:pPr>
            <w:r w:rsidRPr="00557C2D">
              <w:rPr>
                <w:rFonts w:eastAsia="Times New Roman" w:cs="Arial"/>
                <w:sz w:val="18"/>
                <w:szCs w:val="18"/>
              </w:rPr>
              <w:t>Plumbers</w:t>
            </w:r>
          </w:p>
        </w:tc>
        <w:tc>
          <w:tcPr>
            <w:tcW w:w="1227" w:type="dxa"/>
            <w:vAlign w:val="center"/>
            <w:hideMark/>
          </w:tcPr>
          <w:p w14:paraId="4E5FAF34" w14:textId="77777777" w:rsidR="00A91189" w:rsidRPr="00557C2D" w:rsidRDefault="00A91189" w:rsidP="00B84505">
            <w:pPr>
              <w:jc w:val="center"/>
              <w:rPr>
                <w:sz w:val="18"/>
                <w:szCs w:val="18"/>
              </w:rPr>
            </w:pPr>
            <w:r w:rsidRPr="00557C2D">
              <w:rPr>
                <w:sz w:val="18"/>
                <w:szCs w:val="18"/>
              </w:rPr>
              <w:t>3</w:t>
            </w:r>
          </w:p>
        </w:tc>
        <w:tc>
          <w:tcPr>
            <w:tcW w:w="1041" w:type="dxa"/>
            <w:vAlign w:val="center"/>
            <w:hideMark/>
          </w:tcPr>
          <w:p w14:paraId="47D13E79" w14:textId="77777777" w:rsidR="00A91189" w:rsidRPr="00557C2D" w:rsidRDefault="00A91189" w:rsidP="00B84505">
            <w:pPr>
              <w:jc w:val="right"/>
              <w:rPr>
                <w:sz w:val="18"/>
                <w:szCs w:val="18"/>
              </w:rPr>
            </w:pPr>
            <w:r w:rsidRPr="00557C2D">
              <w:rPr>
                <w:sz w:val="18"/>
                <w:szCs w:val="18"/>
              </w:rPr>
              <w:t>1%</w:t>
            </w:r>
          </w:p>
        </w:tc>
        <w:tc>
          <w:tcPr>
            <w:tcW w:w="1417" w:type="dxa"/>
            <w:vAlign w:val="center"/>
            <w:hideMark/>
          </w:tcPr>
          <w:p w14:paraId="415686F7" w14:textId="77777777" w:rsidR="00A91189" w:rsidRPr="00557C2D" w:rsidRDefault="00A91189">
            <w:pPr>
              <w:rPr>
                <w:rFonts w:eastAsia="Times New Roman" w:cs="Arial"/>
                <w:sz w:val="18"/>
                <w:szCs w:val="18"/>
              </w:rPr>
            </w:pPr>
            <w:r w:rsidRPr="00557C2D">
              <w:rPr>
                <w:rFonts w:eastAsia="Times New Roman" w:cs="Arial"/>
                <w:sz w:val="18"/>
                <w:szCs w:val="18"/>
              </w:rPr>
              <w:t>Construction</w:t>
            </w:r>
          </w:p>
        </w:tc>
        <w:tc>
          <w:tcPr>
            <w:tcW w:w="1276" w:type="dxa"/>
            <w:vAlign w:val="center"/>
            <w:hideMark/>
          </w:tcPr>
          <w:p w14:paraId="2F8497DC" w14:textId="0A064ACA" w:rsidR="00A91189" w:rsidRPr="00557C2D" w:rsidRDefault="00A91189" w:rsidP="00B84505">
            <w:pPr>
              <w:jc w:val="right"/>
              <w:rPr>
                <w:sz w:val="18"/>
                <w:szCs w:val="18"/>
              </w:rPr>
            </w:pPr>
            <w:r w:rsidRPr="00557C2D">
              <w:rPr>
                <w:sz w:val="18"/>
                <w:szCs w:val="18"/>
              </w:rPr>
              <w:t>1,</w:t>
            </w:r>
            <w:r w:rsidR="00DA4AF2" w:rsidRPr="00557C2D">
              <w:rPr>
                <w:sz w:val="18"/>
                <w:szCs w:val="18"/>
              </w:rPr>
              <w:t>414</w:t>
            </w:r>
          </w:p>
        </w:tc>
        <w:tc>
          <w:tcPr>
            <w:tcW w:w="1276" w:type="dxa"/>
            <w:vAlign w:val="center"/>
            <w:hideMark/>
          </w:tcPr>
          <w:p w14:paraId="0CC29C81" w14:textId="77777777" w:rsidR="00A91189" w:rsidRPr="00557C2D" w:rsidRDefault="00A91189">
            <w:pPr>
              <w:rPr>
                <w:rFonts w:eastAsia="Times New Roman" w:cs="Arial"/>
                <w:sz w:val="18"/>
                <w:szCs w:val="18"/>
              </w:rPr>
            </w:pPr>
            <w:r w:rsidRPr="00557C2D">
              <w:rPr>
                <w:rFonts w:eastAsia="Times New Roman" w:cs="Arial"/>
                <w:sz w:val="18"/>
                <w:szCs w:val="18"/>
              </w:rPr>
              <w:t>Shortage - Long Training Gap</w:t>
            </w:r>
          </w:p>
        </w:tc>
        <w:tc>
          <w:tcPr>
            <w:tcW w:w="1371" w:type="dxa"/>
            <w:vAlign w:val="center"/>
            <w:hideMark/>
          </w:tcPr>
          <w:p w14:paraId="20FAC294" w14:textId="77777777" w:rsidR="00A91189" w:rsidRPr="00557C2D" w:rsidRDefault="00A91189" w:rsidP="00B84505">
            <w:pPr>
              <w:jc w:val="right"/>
              <w:rPr>
                <w:sz w:val="18"/>
                <w:szCs w:val="18"/>
              </w:rPr>
            </w:pPr>
            <w:r w:rsidRPr="00557C2D">
              <w:rPr>
                <w:sz w:val="18"/>
                <w:szCs w:val="18"/>
              </w:rPr>
              <w:t>102</w:t>
            </w:r>
          </w:p>
        </w:tc>
      </w:tr>
      <w:tr w:rsidR="00C404A3" w:rsidRPr="00557C2D" w14:paraId="5B458222" w14:textId="77777777" w:rsidTr="00557C2D">
        <w:trPr>
          <w:trHeight w:val="737"/>
        </w:trPr>
        <w:tc>
          <w:tcPr>
            <w:tcW w:w="1418" w:type="dxa"/>
            <w:vAlign w:val="center"/>
            <w:hideMark/>
          </w:tcPr>
          <w:p w14:paraId="1A9296DD" w14:textId="77777777" w:rsidR="00A91189" w:rsidRPr="00557C2D" w:rsidRDefault="00A91189">
            <w:pPr>
              <w:rPr>
                <w:rFonts w:eastAsia="Times New Roman" w:cs="Arial"/>
                <w:sz w:val="18"/>
                <w:szCs w:val="18"/>
              </w:rPr>
            </w:pPr>
            <w:r w:rsidRPr="00557C2D">
              <w:rPr>
                <w:rFonts w:eastAsia="Times New Roman" w:cs="Arial"/>
                <w:sz w:val="18"/>
                <w:szCs w:val="18"/>
              </w:rPr>
              <w:t>Earthmoving Plant Operators</w:t>
            </w:r>
          </w:p>
        </w:tc>
        <w:tc>
          <w:tcPr>
            <w:tcW w:w="1227" w:type="dxa"/>
            <w:vAlign w:val="center"/>
            <w:hideMark/>
          </w:tcPr>
          <w:p w14:paraId="04B24FB1" w14:textId="77777777" w:rsidR="00A91189" w:rsidRPr="00557C2D" w:rsidRDefault="00A91189" w:rsidP="00B84505">
            <w:pPr>
              <w:jc w:val="center"/>
              <w:rPr>
                <w:sz w:val="18"/>
                <w:szCs w:val="18"/>
              </w:rPr>
            </w:pPr>
            <w:r w:rsidRPr="00557C2D">
              <w:rPr>
                <w:sz w:val="18"/>
                <w:szCs w:val="18"/>
              </w:rPr>
              <w:t>4</w:t>
            </w:r>
          </w:p>
        </w:tc>
        <w:tc>
          <w:tcPr>
            <w:tcW w:w="1041" w:type="dxa"/>
            <w:vAlign w:val="center"/>
            <w:hideMark/>
          </w:tcPr>
          <w:p w14:paraId="47A7DDA4" w14:textId="77777777" w:rsidR="00A91189" w:rsidRPr="00557C2D" w:rsidRDefault="00A91189" w:rsidP="00B84505">
            <w:pPr>
              <w:jc w:val="right"/>
              <w:rPr>
                <w:sz w:val="18"/>
                <w:szCs w:val="18"/>
              </w:rPr>
            </w:pPr>
            <w:r w:rsidRPr="00557C2D">
              <w:rPr>
                <w:sz w:val="18"/>
                <w:szCs w:val="18"/>
              </w:rPr>
              <w:t>2%</w:t>
            </w:r>
          </w:p>
        </w:tc>
        <w:tc>
          <w:tcPr>
            <w:tcW w:w="1417" w:type="dxa"/>
            <w:vAlign w:val="center"/>
            <w:hideMark/>
          </w:tcPr>
          <w:p w14:paraId="0DEEBA18" w14:textId="77777777" w:rsidR="00A91189" w:rsidRPr="00557C2D" w:rsidRDefault="00A91189">
            <w:pPr>
              <w:rPr>
                <w:rFonts w:eastAsia="Times New Roman" w:cs="Arial"/>
                <w:sz w:val="18"/>
                <w:szCs w:val="18"/>
              </w:rPr>
            </w:pPr>
            <w:r w:rsidRPr="00557C2D">
              <w:rPr>
                <w:rFonts w:eastAsia="Times New Roman" w:cs="Arial"/>
                <w:sz w:val="18"/>
                <w:szCs w:val="18"/>
              </w:rPr>
              <w:t>Construction</w:t>
            </w:r>
          </w:p>
        </w:tc>
        <w:tc>
          <w:tcPr>
            <w:tcW w:w="1276" w:type="dxa"/>
            <w:vAlign w:val="center"/>
            <w:hideMark/>
          </w:tcPr>
          <w:p w14:paraId="1A65D235" w14:textId="4539E2A3" w:rsidR="00A91189" w:rsidRPr="00557C2D" w:rsidRDefault="00A91189" w:rsidP="00B84505">
            <w:pPr>
              <w:jc w:val="right"/>
              <w:rPr>
                <w:sz w:val="18"/>
                <w:szCs w:val="18"/>
              </w:rPr>
            </w:pPr>
            <w:r w:rsidRPr="00557C2D">
              <w:rPr>
                <w:sz w:val="18"/>
                <w:szCs w:val="18"/>
              </w:rPr>
              <w:t>1,1</w:t>
            </w:r>
            <w:r w:rsidR="00DA4AF2" w:rsidRPr="00557C2D">
              <w:rPr>
                <w:sz w:val="18"/>
                <w:szCs w:val="18"/>
              </w:rPr>
              <w:t>94</w:t>
            </w:r>
          </w:p>
        </w:tc>
        <w:tc>
          <w:tcPr>
            <w:tcW w:w="1276" w:type="dxa"/>
            <w:vAlign w:val="center"/>
            <w:hideMark/>
          </w:tcPr>
          <w:p w14:paraId="4F3E0A87" w14:textId="77777777" w:rsidR="00A91189" w:rsidRPr="00557C2D" w:rsidRDefault="00A91189">
            <w:pPr>
              <w:rPr>
                <w:rFonts w:eastAsia="Times New Roman" w:cs="Arial"/>
                <w:sz w:val="18"/>
                <w:szCs w:val="18"/>
              </w:rPr>
            </w:pPr>
            <w:r w:rsidRPr="00557C2D">
              <w:rPr>
                <w:rFonts w:eastAsia="Times New Roman" w:cs="Arial"/>
                <w:sz w:val="18"/>
                <w:szCs w:val="18"/>
              </w:rPr>
              <w:t>Shortage - To be determined</w:t>
            </w:r>
          </w:p>
        </w:tc>
        <w:tc>
          <w:tcPr>
            <w:tcW w:w="1371" w:type="dxa"/>
            <w:vAlign w:val="center"/>
            <w:hideMark/>
          </w:tcPr>
          <w:p w14:paraId="1A26BDA1" w14:textId="77777777" w:rsidR="00A91189" w:rsidRPr="00557C2D" w:rsidRDefault="00A91189" w:rsidP="00B84505">
            <w:pPr>
              <w:jc w:val="right"/>
              <w:rPr>
                <w:sz w:val="18"/>
                <w:szCs w:val="18"/>
              </w:rPr>
            </w:pPr>
            <w:r w:rsidRPr="00557C2D">
              <w:rPr>
                <w:sz w:val="18"/>
                <w:szCs w:val="18"/>
              </w:rPr>
              <w:t>113</w:t>
            </w:r>
          </w:p>
        </w:tc>
      </w:tr>
    </w:tbl>
    <w:p w14:paraId="780FB705" w14:textId="2228D47F" w:rsidR="00A91189" w:rsidRPr="00C44ECA" w:rsidRDefault="003C3DDD" w:rsidP="00C44ECA">
      <w:pPr>
        <w:pStyle w:val="Source"/>
        <w:rPr>
          <w:rFonts w:asciiTheme="minorHAnsi" w:hAnsiTheme="minorHAnsi" w:cstheme="minorHAnsi"/>
          <w:b/>
        </w:rPr>
      </w:pPr>
      <w:r w:rsidRPr="00C44ECA">
        <w:rPr>
          <w:rFonts w:asciiTheme="minorHAnsi" w:hAnsiTheme="minorHAnsi" w:cstheme="minorHAnsi"/>
        </w:rPr>
        <w:t>Data sources</w:t>
      </w:r>
      <w:r w:rsidR="004872A6" w:rsidRPr="00C44ECA">
        <w:rPr>
          <w:rFonts w:asciiTheme="minorHAnsi" w:hAnsiTheme="minorHAnsi" w:cstheme="minorHAnsi"/>
        </w:rPr>
        <w:t>:</w:t>
      </w:r>
      <w:r w:rsidR="00C44ECA">
        <w:rPr>
          <w:rFonts w:asciiTheme="minorHAnsi" w:hAnsiTheme="minorHAnsi" w:cstheme="minorHAnsi"/>
        </w:rPr>
        <w:t xml:space="preserve"> </w:t>
      </w:r>
      <w:r w:rsidR="00A91189" w:rsidRPr="00C44ECA">
        <w:rPr>
          <w:rFonts w:asciiTheme="minorHAnsi" w:hAnsiTheme="minorHAnsi" w:cstheme="minorHAnsi"/>
        </w:rPr>
        <w:t xml:space="preserve">* </w:t>
      </w:r>
      <w:r w:rsidR="00A3706C" w:rsidRPr="00C44ECA">
        <w:rPr>
          <w:rFonts w:asciiTheme="minorHAnsi" w:hAnsiTheme="minorHAnsi" w:cstheme="minorHAnsi"/>
        </w:rPr>
        <w:tab/>
      </w:r>
      <w:r w:rsidR="00F55FBD" w:rsidRPr="00C44ECA">
        <w:rPr>
          <w:rFonts w:asciiTheme="minorHAnsi" w:hAnsiTheme="minorHAnsi" w:cstheme="minorHAnsi"/>
        </w:rPr>
        <w:t xml:space="preserve">ABS, </w:t>
      </w:r>
      <w:r w:rsidR="00F55FBD" w:rsidRPr="00FA4FE6">
        <w:rPr>
          <w:rFonts w:asciiTheme="minorHAnsi" w:hAnsiTheme="minorHAnsi" w:cstheme="minorHAnsi"/>
        </w:rPr>
        <w:t xml:space="preserve">Labour Force </w:t>
      </w:r>
      <w:r w:rsidR="00212819" w:rsidRPr="00FA4FE6">
        <w:rPr>
          <w:rFonts w:asciiTheme="minorHAnsi" w:hAnsiTheme="minorHAnsi" w:cstheme="minorHAnsi"/>
        </w:rPr>
        <w:t>Survey</w:t>
      </w:r>
      <w:r w:rsidR="00F55FBD" w:rsidRPr="00C44ECA">
        <w:rPr>
          <w:rFonts w:asciiTheme="minorHAnsi" w:hAnsiTheme="minorHAnsi" w:cstheme="minorHAnsi"/>
        </w:rPr>
        <w:t xml:space="preserve">, </w:t>
      </w:r>
      <w:r w:rsidR="00F17F63" w:rsidRPr="00C44ECA">
        <w:rPr>
          <w:rFonts w:asciiTheme="minorHAnsi" w:hAnsiTheme="minorHAnsi" w:cstheme="minorHAnsi"/>
        </w:rPr>
        <w:t>2022</w:t>
      </w:r>
      <w:r w:rsidR="00212819" w:rsidRPr="00C44ECA">
        <w:rPr>
          <w:rFonts w:asciiTheme="minorHAnsi" w:hAnsiTheme="minorHAnsi" w:cstheme="minorHAnsi"/>
        </w:rPr>
        <w:t xml:space="preserve"> four quarter average</w:t>
      </w:r>
      <w:r w:rsidR="00F17F63" w:rsidRPr="00C44ECA">
        <w:rPr>
          <w:rFonts w:asciiTheme="minorHAnsi" w:hAnsiTheme="minorHAnsi" w:cstheme="minorHAnsi"/>
        </w:rPr>
        <w:t xml:space="preserve">, customised report for JSA </w:t>
      </w:r>
      <w:r w:rsidR="00212819" w:rsidRPr="00C44ECA">
        <w:rPr>
          <w:rFonts w:asciiTheme="minorHAnsi" w:hAnsiTheme="minorHAnsi" w:cstheme="minorHAnsi"/>
        </w:rPr>
        <w:t xml:space="preserve">-Employment by </w:t>
      </w:r>
      <w:r w:rsidR="00A91189" w:rsidRPr="00C44ECA">
        <w:rPr>
          <w:rFonts w:asciiTheme="minorHAnsi" w:hAnsiTheme="minorHAnsi" w:cstheme="minorHAnsi"/>
        </w:rPr>
        <w:t>ANZSIC (1 digit)</w:t>
      </w:r>
      <w:r w:rsidR="00CD3919" w:rsidRPr="00C44ECA">
        <w:rPr>
          <w:rFonts w:asciiTheme="minorHAnsi" w:hAnsiTheme="minorHAnsi" w:cstheme="minorHAnsi"/>
        </w:rPr>
        <w:t xml:space="preserve"> by</w:t>
      </w:r>
      <w:r w:rsidR="00A3706C" w:rsidRPr="00C44ECA">
        <w:rPr>
          <w:rFonts w:asciiTheme="minorHAnsi" w:hAnsiTheme="minorHAnsi" w:cstheme="minorHAnsi"/>
        </w:rPr>
        <w:t xml:space="preserve"> </w:t>
      </w:r>
      <w:r w:rsidR="00A91189" w:rsidRPr="00C44ECA">
        <w:rPr>
          <w:rFonts w:asciiTheme="minorHAnsi" w:hAnsiTheme="minorHAnsi" w:cstheme="minorHAnsi"/>
        </w:rPr>
        <w:t>ANZSCO (4-digit)</w:t>
      </w:r>
      <w:r w:rsidR="00C44ECA">
        <w:rPr>
          <w:rFonts w:asciiTheme="minorHAnsi" w:hAnsiTheme="minorHAnsi" w:cstheme="minorHAnsi"/>
        </w:rPr>
        <w:t xml:space="preserve">; </w:t>
      </w:r>
      <w:r w:rsidR="00A91189" w:rsidRPr="00C44ECA">
        <w:rPr>
          <w:rFonts w:asciiTheme="minorHAnsi" w:hAnsiTheme="minorHAnsi" w:cstheme="minorHAnsi"/>
        </w:rPr>
        <w:t>^</w:t>
      </w:r>
      <w:r w:rsidR="00C44ECA">
        <w:rPr>
          <w:rFonts w:asciiTheme="minorHAnsi" w:hAnsiTheme="minorHAnsi" w:cstheme="minorHAnsi"/>
        </w:rPr>
        <w:t xml:space="preserve"> </w:t>
      </w:r>
      <w:r w:rsidR="00A91189" w:rsidRPr="00C44ECA">
        <w:rPr>
          <w:rFonts w:asciiTheme="minorHAnsi" w:hAnsiTheme="minorHAnsi" w:cstheme="minorHAnsi"/>
        </w:rPr>
        <w:t xml:space="preserve">JSA </w:t>
      </w:r>
      <w:r w:rsidR="00A91189" w:rsidRPr="00FA4FE6">
        <w:rPr>
          <w:rFonts w:asciiTheme="minorHAnsi" w:hAnsiTheme="minorHAnsi" w:cstheme="minorHAnsi"/>
          <w:i/>
          <w:iCs/>
        </w:rPr>
        <w:t>Nowcast of Employment by Region and Occupation</w:t>
      </w:r>
      <w:r w:rsidR="00A91189" w:rsidRPr="00C44ECA">
        <w:rPr>
          <w:rFonts w:asciiTheme="minorHAnsi" w:hAnsiTheme="minorHAnsi" w:cstheme="minorHAnsi"/>
        </w:rPr>
        <w:t xml:space="preserve"> (NERO) - 15 March 2024 (</w:t>
      </w:r>
      <w:r w:rsidR="00CD3919" w:rsidRPr="00C44ECA">
        <w:rPr>
          <w:rFonts w:asciiTheme="minorHAnsi" w:hAnsiTheme="minorHAnsi" w:cstheme="minorHAnsi"/>
        </w:rPr>
        <w:t xml:space="preserve">minimum estimate of </w:t>
      </w:r>
      <w:r w:rsidR="00A91189" w:rsidRPr="00C44ECA">
        <w:rPr>
          <w:rFonts w:asciiTheme="minorHAnsi" w:hAnsiTheme="minorHAnsi" w:cstheme="minorHAnsi"/>
        </w:rPr>
        <w:t xml:space="preserve">1,000 </w:t>
      </w:r>
      <w:r w:rsidR="00CD3919" w:rsidRPr="00C44ECA">
        <w:rPr>
          <w:rFonts w:asciiTheme="minorHAnsi" w:hAnsiTheme="minorHAnsi" w:cstheme="minorHAnsi"/>
        </w:rPr>
        <w:t xml:space="preserve">across the </w:t>
      </w:r>
      <w:r w:rsidR="00212819" w:rsidRPr="00C44ECA">
        <w:rPr>
          <w:rFonts w:asciiTheme="minorHAnsi" w:hAnsiTheme="minorHAnsi" w:cstheme="minorHAnsi"/>
        </w:rPr>
        <w:t>Employment Region for inclusion</w:t>
      </w:r>
      <w:r w:rsidR="00A91189" w:rsidRPr="00C44ECA">
        <w:rPr>
          <w:rFonts w:asciiTheme="minorHAnsi" w:hAnsiTheme="minorHAnsi" w:cstheme="minorHAnsi"/>
        </w:rPr>
        <w:t>)</w:t>
      </w:r>
      <w:r w:rsidR="00C44ECA">
        <w:rPr>
          <w:rFonts w:asciiTheme="minorHAnsi" w:hAnsiTheme="minorHAnsi" w:cstheme="minorHAnsi"/>
        </w:rPr>
        <w:t xml:space="preserve">; </w:t>
      </w:r>
      <w:r w:rsidR="00A91189" w:rsidRPr="00C44ECA">
        <w:rPr>
          <w:rFonts w:asciiTheme="minorHAnsi" w:hAnsiTheme="minorHAnsi" w:cstheme="minorHAnsi"/>
        </w:rPr>
        <w:t>~</w:t>
      </w:r>
      <w:r w:rsidR="00C44ECA">
        <w:rPr>
          <w:rFonts w:asciiTheme="minorHAnsi" w:hAnsiTheme="minorHAnsi" w:cstheme="minorHAnsi"/>
        </w:rPr>
        <w:t xml:space="preserve"> </w:t>
      </w:r>
      <w:r w:rsidR="00A91189" w:rsidRPr="00C44ECA">
        <w:rPr>
          <w:rFonts w:asciiTheme="minorHAnsi" w:hAnsiTheme="minorHAnsi" w:cstheme="minorHAnsi"/>
        </w:rPr>
        <w:t xml:space="preserve">ABS </w:t>
      </w:r>
      <w:r w:rsidR="00A91189" w:rsidRPr="00FA4FE6">
        <w:rPr>
          <w:rFonts w:asciiTheme="minorHAnsi" w:hAnsiTheme="minorHAnsi" w:cstheme="minorHAnsi"/>
          <w:i/>
          <w:iCs/>
        </w:rPr>
        <w:t xml:space="preserve">Census </w:t>
      </w:r>
      <w:r w:rsidR="004872A6" w:rsidRPr="00FA4FE6">
        <w:rPr>
          <w:rFonts w:asciiTheme="minorHAnsi" w:hAnsiTheme="minorHAnsi" w:cstheme="minorHAnsi"/>
          <w:i/>
          <w:iCs/>
        </w:rPr>
        <w:t>of Population and Housing</w:t>
      </w:r>
      <w:r w:rsidR="004872A6" w:rsidRPr="00C44ECA">
        <w:rPr>
          <w:rFonts w:asciiTheme="minorHAnsi" w:hAnsiTheme="minorHAnsi" w:cstheme="minorHAnsi"/>
        </w:rPr>
        <w:t xml:space="preserve">, </w:t>
      </w:r>
      <w:r w:rsidR="00A91189" w:rsidRPr="00C44ECA">
        <w:rPr>
          <w:rFonts w:asciiTheme="minorHAnsi" w:hAnsiTheme="minorHAnsi" w:cstheme="minorHAnsi"/>
        </w:rPr>
        <w:t>2021 (TableBuilder)</w:t>
      </w:r>
      <w:r w:rsidR="00C44ECA">
        <w:rPr>
          <w:rFonts w:asciiTheme="minorHAnsi" w:hAnsiTheme="minorHAnsi" w:cstheme="minorHAnsi"/>
        </w:rPr>
        <w:t xml:space="preserve">; </w:t>
      </w:r>
      <w:r w:rsidR="00A91189" w:rsidRPr="00C44ECA">
        <w:rPr>
          <w:rFonts w:asciiTheme="minorHAnsi" w:hAnsiTheme="minorHAnsi" w:cstheme="minorHAnsi"/>
        </w:rPr>
        <w:t xml:space="preserve"># JSA </w:t>
      </w:r>
      <w:r w:rsidR="00A91189" w:rsidRPr="00FA4FE6">
        <w:rPr>
          <w:rFonts w:asciiTheme="minorHAnsi" w:hAnsiTheme="minorHAnsi" w:cstheme="minorHAnsi"/>
          <w:i/>
          <w:iCs/>
        </w:rPr>
        <w:t>Skills Priority List</w:t>
      </w:r>
      <w:r w:rsidR="00A91189" w:rsidRPr="00C44ECA">
        <w:rPr>
          <w:rFonts w:asciiTheme="minorHAnsi" w:hAnsiTheme="minorHAnsi" w:cstheme="minorHAnsi"/>
        </w:rPr>
        <w:t xml:space="preserve"> 2023</w:t>
      </w:r>
      <w:r w:rsidR="00C44ECA">
        <w:rPr>
          <w:rFonts w:asciiTheme="minorHAnsi" w:hAnsiTheme="minorHAnsi" w:cstheme="minorHAnsi"/>
        </w:rPr>
        <w:t xml:space="preserve">;  </w:t>
      </w:r>
      <w:r w:rsidR="00A91189" w:rsidRPr="00C44ECA">
        <w:rPr>
          <w:rFonts w:asciiTheme="minorHAnsi" w:hAnsiTheme="minorHAnsi" w:cstheme="minorHAnsi"/>
        </w:rPr>
        <w:t xml:space="preserve">^^ </w:t>
      </w:r>
      <w:r w:rsidR="00A3706C" w:rsidRPr="00C44ECA">
        <w:rPr>
          <w:rFonts w:asciiTheme="minorHAnsi" w:hAnsiTheme="minorHAnsi" w:cstheme="minorHAnsi"/>
        </w:rPr>
        <w:tab/>
      </w:r>
      <w:r w:rsidR="00A91189" w:rsidRPr="00C44ECA">
        <w:rPr>
          <w:rFonts w:asciiTheme="minorHAnsi" w:hAnsiTheme="minorHAnsi" w:cstheme="minorHAnsi"/>
        </w:rPr>
        <w:t>N</w:t>
      </w:r>
      <w:r w:rsidR="00212819" w:rsidRPr="00C44ECA">
        <w:rPr>
          <w:rFonts w:asciiTheme="minorHAnsi" w:hAnsiTheme="minorHAnsi" w:cstheme="minorHAnsi"/>
        </w:rPr>
        <w:t xml:space="preserve">CVER, </w:t>
      </w:r>
      <w:r w:rsidR="00212819" w:rsidRPr="00FA4FE6">
        <w:rPr>
          <w:rFonts w:asciiTheme="minorHAnsi" w:hAnsiTheme="minorHAnsi" w:cstheme="minorHAnsi"/>
          <w:i/>
          <w:iCs/>
        </w:rPr>
        <w:t>Total VET students and courses</w:t>
      </w:r>
      <w:r w:rsidR="0039173A" w:rsidRPr="00C44ECA">
        <w:rPr>
          <w:rFonts w:asciiTheme="minorHAnsi" w:hAnsiTheme="minorHAnsi" w:cstheme="minorHAnsi"/>
        </w:rPr>
        <w:t xml:space="preserve">, 2022, </w:t>
      </w:r>
      <w:r w:rsidR="00A91189" w:rsidRPr="00C44ECA">
        <w:rPr>
          <w:rFonts w:asciiTheme="minorHAnsi" w:hAnsiTheme="minorHAnsi" w:cstheme="minorHAnsi"/>
        </w:rPr>
        <w:t>(VOCSTATS)</w:t>
      </w:r>
    </w:p>
    <w:p w14:paraId="6217B3E3" w14:textId="77777777" w:rsidR="00A91189" w:rsidRDefault="00A91189" w:rsidP="006E7A8D"/>
    <w:p w14:paraId="04876877" w14:textId="46F1BD9C" w:rsidR="00A91189" w:rsidRPr="00C44ECA" w:rsidRDefault="00A91189" w:rsidP="00A91189">
      <w:pPr>
        <w:pStyle w:val="Heading2"/>
        <w:rPr>
          <w:rFonts w:asciiTheme="majorHAnsi" w:hAnsiTheme="majorHAnsi" w:cstheme="majorHAnsi"/>
        </w:rPr>
      </w:pPr>
      <w:bookmarkStart w:id="91" w:name="_Toc178173752"/>
      <w:r w:rsidRPr="00C44ECA">
        <w:rPr>
          <w:rFonts w:asciiTheme="majorHAnsi" w:eastAsia="Arial" w:hAnsiTheme="majorHAnsi" w:cstheme="majorHAnsi"/>
          <w:bCs/>
          <w:szCs w:val="32"/>
        </w:rPr>
        <w:t xml:space="preserve">Performance of the region’s Higher Education </w:t>
      </w:r>
      <w:r w:rsidR="000F6044" w:rsidRPr="00C44ECA">
        <w:rPr>
          <w:rFonts w:asciiTheme="majorHAnsi" w:eastAsia="Arial" w:hAnsiTheme="majorHAnsi" w:cstheme="majorHAnsi"/>
          <w:bCs/>
          <w:szCs w:val="32"/>
        </w:rPr>
        <w:t>s</w:t>
      </w:r>
      <w:r w:rsidRPr="00C44ECA">
        <w:rPr>
          <w:rFonts w:asciiTheme="majorHAnsi" w:eastAsia="Arial" w:hAnsiTheme="majorHAnsi" w:cstheme="majorHAnsi"/>
          <w:bCs/>
          <w:szCs w:val="32"/>
        </w:rPr>
        <w:t>ystem</w:t>
      </w:r>
      <w:bookmarkEnd w:id="91"/>
    </w:p>
    <w:p w14:paraId="59BF4325" w14:textId="7BEFCF1F" w:rsidR="00A91189" w:rsidRPr="00C44ECA" w:rsidRDefault="00A91189" w:rsidP="00A91189">
      <w:pPr>
        <w:pStyle w:val="Heading3"/>
        <w:rPr>
          <w:rFonts w:asciiTheme="majorHAnsi" w:hAnsiTheme="majorHAnsi" w:cstheme="majorHAnsi"/>
        </w:rPr>
      </w:pPr>
      <w:r w:rsidRPr="00C44ECA">
        <w:rPr>
          <w:rFonts w:asciiTheme="majorHAnsi" w:eastAsia="Arial" w:hAnsiTheme="majorHAnsi" w:cstheme="majorHAnsi"/>
          <w:bCs/>
          <w:szCs w:val="26"/>
        </w:rPr>
        <w:t xml:space="preserve">Regional </w:t>
      </w:r>
      <w:r w:rsidR="002C3015" w:rsidRPr="00C44ECA">
        <w:rPr>
          <w:rFonts w:asciiTheme="majorHAnsi" w:eastAsia="Arial" w:hAnsiTheme="majorHAnsi" w:cstheme="majorHAnsi"/>
          <w:bCs/>
          <w:szCs w:val="26"/>
        </w:rPr>
        <w:t xml:space="preserve">University </w:t>
      </w:r>
      <w:r w:rsidRPr="00C44ECA">
        <w:rPr>
          <w:rFonts w:asciiTheme="majorHAnsi" w:eastAsia="Arial" w:hAnsiTheme="majorHAnsi" w:cstheme="majorHAnsi"/>
          <w:bCs/>
          <w:szCs w:val="26"/>
        </w:rPr>
        <w:t>Study Hubs</w:t>
      </w:r>
    </w:p>
    <w:p w14:paraId="197FB8D6" w14:textId="77777777" w:rsidR="00A91189" w:rsidRPr="00EF4ED1" w:rsidRDefault="00A91189" w:rsidP="00C44ECA">
      <w:r w:rsidRPr="00EF4ED1">
        <w:t xml:space="preserve">Tertiary students in the Mid North Coast Employment Region are supported by three Australian Government-funded Regional University Study Hubs: </w:t>
      </w:r>
    </w:p>
    <w:p w14:paraId="53E2ADC7" w14:textId="77777777" w:rsidR="00A91189" w:rsidRPr="00EF4ED1" w:rsidRDefault="00A91189" w:rsidP="00557C2D">
      <w:pPr>
        <w:pStyle w:val="ListBullet"/>
      </w:pPr>
      <w:r w:rsidRPr="00EF4ED1">
        <w:t xml:space="preserve">Taree Universities Campus (TUC) </w:t>
      </w:r>
    </w:p>
    <w:p w14:paraId="3A31826F" w14:textId="4FC9E877" w:rsidR="00A91189" w:rsidRPr="00EF4ED1" w:rsidRDefault="00A91189" w:rsidP="00557C2D">
      <w:pPr>
        <w:pStyle w:val="ListBullet"/>
      </w:pPr>
      <w:r w:rsidRPr="00EF4ED1">
        <w:t xml:space="preserve">Country Universities Centre </w:t>
      </w:r>
      <w:r w:rsidR="00635AFA" w:rsidRPr="00EF4ED1">
        <w:t xml:space="preserve">Macleay Valley </w:t>
      </w:r>
      <w:r w:rsidRPr="00EF4ED1">
        <w:t>(at Kempsey)</w:t>
      </w:r>
      <w:r>
        <w:t>,</w:t>
      </w:r>
      <w:r w:rsidRPr="00EF4ED1">
        <w:t xml:space="preserve"> and </w:t>
      </w:r>
    </w:p>
    <w:p w14:paraId="1865BFAF" w14:textId="7C7BE4A7" w:rsidR="00A91189" w:rsidRPr="00EF4ED1" w:rsidRDefault="00A91189" w:rsidP="00557C2D">
      <w:pPr>
        <w:pStyle w:val="ListBullet"/>
      </w:pPr>
      <w:r w:rsidRPr="00EF4ED1">
        <w:t xml:space="preserve">Country Universities Centre </w:t>
      </w:r>
      <w:r w:rsidR="00635AFA" w:rsidRPr="00EF4ED1">
        <w:t xml:space="preserve">Clarence Valley </w:t>
      </w:r>
      <w:r w:rsidRPr="00EF4ED1">
        <w:t>(at Grafton).</w:t>
      </w:r>
      <w:r>
        <w:rPr>
          <w:rStyle w:val="FootnoteReference"/>
          <w:rFonts w:eastAsia="Arial" w:cs="Arial"/>
        </w:rPr>
        <w:footnoteReference w:id="102"/>
      </w:r>
      <w:r w:rsidRPr="00EF4ED1">
        <w:t xml:space="preserve"> </w:t>
      </w:r>
    </w:p>
    <w:p w14:paraId="12774A82" w14:textId="03A87081" w:rsidR="00A91189" w:rsidRDefault="00A91189" w:rsidP="00C44ECA">
      <w:r w:rsidRPr="00EF4ED1">
        <w:t>Regional University Study Hubs provide physical infrastructure such as computer facilities, internet access and study spaces, as well as in-person administrative and academic skills support for students undertaking tertiary study through any Australian institution.</w:t>
      </w:r>
    </w:p>
    <w:tbl>
      <w:tblPr>
        <w:tblStyle w:val="Box"/>
        <w:tblW w:w="0" w:type="auto"/>
        <w:tblLook w:val="04A0" w:firstRow="1" w:lastRow="0" w:firstColumn="1" w:lastColumn="0" w:noHBand="0" w:noVBand="1"/>
      </w:tblPr>
      <w:tblGrid>
        <w:gridCol w:w="8996"/>
      </w:tblGrid>
      <w:tr w:rsidR="00557C2D" w14:paraId="04C4708D" w14:textId="77777777" w:rsidTr="00557C2D">
        <w:tc>
          <w:tcPr>
            <w:tcW w:w="9016" w:type="dxa"/>
          </w:tcPr>
          <w:p w14:paraId="091BDA48" w14:textId="77777777" w:rsidR="00557C2D" w:rsidRPr="009602FC" w:rsidRDefault="00557C2D" w:rsidP="00557C2D">
            <w:pPr>
              <w:pStyle w:val="Heading4"/>
            </w:pPr>
            <w:r w:rsidRPr="009602FC">
              <w:t xml:space="preserve">Taree Universities </w:t>
            </w:r>
            <w:r>
              <w:t>– TUC EduVenture Program</w:t>
            </w:r>
          </w:p>
          <w:p w14:paraId="0C91A00D" w14:textId="77777777" w:rsidR="00557C2D" w:rsidRPr="006D7983" w:rsidRDefault="00557C2D" w:rsidP="00557C2D">
            <w:r w:rsidRPr="006D7983">
              <w:t xml:space="preserve">The Taree Universities Campus located at Taree in the Mid Coast LGA has launched the </w:t>
            </w:r>
            <w:hyperlink r:id="rId148" w:anchor="eduventure-faq" w:history="1">
              <w:r w:rsidRPr="006D7983">
                <w:rPr>
                  <w:rStyle w:val="Hyperlink"/>
                  <w:rFonts w:asciiTheme="minorHAnsi" w:hAnsiTheme="minorHAnsi" w:cstheme="minorHAnsi"/>
                </w:rPr>
                <w:t>TUC EduVenture Program</w:t>
              </w:r>
            </w:hyperlink>
            <w:r w:rsidRPr="006D7983">
              <w:t xml:space="preserve"> aimed at supporting Mid Coast youth to ‘choose their own education adventure’. The program involves collaboration with the Australian National University and University of Newcastle to research the impact of engaging with local year 8 and 9 high school students to encourage them to start thinking about their future. The program </w:t>
            </w:r>
            <w:r>
              <w:t>aims to help</w:t>
            </w:r>
            <w:r w:rsidRPr="006D7983">
              <w:t xml:space="preserve"> students </w:t>
            </w:r>
            <w:r>
              <w:t>explore their</w:t>
            </w:r>
            <w:r w:rsidRPr="006D7983">
              <w:t xml:space="preserve"> individual skills, interests and strengths and to develop aspirations by providing experiential learning opportunities. </w:t>
            </w:r>
          </w:p>
          <w:p w14:paraId="49B5C66C" w14:textId="77777777" w:rsidR="00557C2D" w:rsidRPr="006D7983" w:rsidRDefault="00557C2D" w:rsidP="00557C2D">
            <w:r w:rsidRPr="006D7983">
              <w:t xml:space="preserve">The program is part of a larger federally funded project under the National Regional, Rural and Remote Tertiary Education Strategy in which Regional University Study Hubs </w:t>
            </w:r>
            <w:r>
              <w:t>are</w:t>
            </w:r>
            <w:r w:rsidRPr="006D7983">
              <w:t xml:space="preserve"> work</w:t>
            </w:r>
            <w:r>
              <w:t>ing</w:t>
            </w:r>
            <w:r w:rsidRPr="006D7983">
              <w:t xml:space="preserve"> with major universities to deliver locally tailored initiatives aimed at inspiring young people from regional and remote areas to pursue and follow their aspirations. </w:t>
            </w:r>
          </w:p>
          <w:p w14:paraId="4591C878" w14:textId="12C10F98" w:rsidR="00557C2D" w:rsidRDefault="00557C2D" w:rsidP="00C44ECA">
            <w:r>
              <w:t xml:space="preserve">Such programs are vital given the high levels of disengaged youth and low levels of higher educational attainment in the region. </w:t>
            </w:r>
            <w:r w:rsidRPr="006D7983">
              <w:t>In August 2021, only 21</w:t>
            </w:r>
            <w:r>
              <w:t xml:space="preserve">% </w:t>
            </w:r>
            <w:r w:rsidRPr="006D7983">
              <w:t xml:space="preserve">of Mid North Coast residents aged 25 to 34 years held a </w:t>
            </w:r>
            <w:r>
              <w:t>B</w:t>
            </w:r>
            <w:r w:rsidRPr="006D7983">
              <w:t>achelor</w:t>
            </w:r>
            <w:r>
              <w:t xml:space="preserve"> D</w:t>
            </w:r>
            <w:r w:rsidRPr="006D7983">
              <w:t>egree or higher qualification compared with 40</w:t>
            </w:r>
            <w:r>
              <w:t xml:space="preserve">% </w:t>
            </w:r>
            <w:r w:rsidRPr="006D7983">
              <w:t>for Australia</w:t>
            </w:r>
            <w:r w:rsidRPr="4D294AEB">
              <w:t>.</w:t>
            </w:r>
            <w:r w:rsidRPr="003A359F">
              <w:t xml:space="preserve"> </w:t>
            </w:r>
          </w:p>
        </w:tc>
      </w:tr>
    </w:tbl>
    <w:p w14:paraId="5CE145F6" w14:textId="77777777" w:rsidR="00A91189" w:rsidRPr="00C44ECA" w:rsidRDefault="00A91189" w:rsidP="00A91189">
      <w:pPr>
        <w:pStyle w:val="Heading3"/>
        <w:rPr>
          <w:rFonts w:asciiTheme="majorHAnsi" w:hAnsiTheme="majorHAnsi" w:cstheme="majorHAnsi"/>
        </w:rPr>
      </w:pPr>
      <w:bookmarkStart w:id="92" w:name="_Taree_Universities_–"/>
      <w:bookmarkStart w:id="93" w:name="_Access_to_and"/>
      <w:bookmarkEnd w:id="92"/>
      <w:bookmarkEnd w:id="93"/>
      <w:r w:rsidRPr="00C44ECA">
        <w:rPr>
          <w:rFonts w:asciiTheme="majorHAnsi" w:eastAsia="Arial" w:hAnsiTheme="majorHAnsi" w:cstheme="majorHAnsi"/>
          <w:bCs/>
          <w:szCs w:val="26"/>
        </w:rPr>
        <w:t>Access to and availability of higher education institutions in the region</w:t>
      </w:r>
    </w:p>
    <w:p w14:paraId="4945DE16" w14:textId="77777777" w:rsidR="00A91189" w:rsidRPr="006D7983" w:rsidRDefault="00A91189" w:rsidP="00C44ECA">
      <w:r w:rsidRPr="006D7983">
        <w:t xml:space="preserve">Australia’s regionally </w:t>
      </w:r>
      <w:r>
        <w:t>headquartered</w:t>
      </w:r>
      <w:r w:rsidRPr="006D7983">
        <w:t xml:space="preserve"> universities have a well-established role providing education in smaller population centres across Australia, along with campuses operated in regional locations by metropolitan-based universities. </w:t>
      </w:r>
    </w:p>
    <w:p w14:paraId="1865C52A" w14:textId="77777777" w:rsidR="00A91189" w:rsidRPr="001E09A6" w:rsidRDefault="00A91189" w:rsidP="00C44ECA">
      <w:r w:rsidRPr="006D7983">
        <w:t xml:space="preserve">Two members of the </w:t>
      </w:r>
      <w:hyperlink r:id="rId149">
        <w:r w:rsidRPr="006D7983">
          <w:rPr>
            <w:rStyle w:val="Hyperlink"/>
            <w:rFonts w:eastAsia="Arial" w:cs="Arial"/>
            <w:color w:val="013D74"/>
          </w:rPr>
          <w:t>Regional Universities Network (RUN)</w:t>
        </w:r>
      </w:hyperlink>
      <w:r w:rsidRPr="006D7983">
        <w:t xml:space="preserve"> operate campuses in the Mid North Coast Employment Region: Charles Sturt University at Port Macquarie and Southern Cross University at Coffs Harbour. </w:t>
      </w:r>
      <w:r>
        <w:t>The</w:t>
      </w:r>
      <w:r w:rsidRPr="00B067FF">
        <w:t xml:space="preserve"> University of Newcastle offers student placements for medical professionals at specialist medical campuses in Port Macquarie, Coffs Harbour and Taree. </w:t>
      </w:r>
      <w:r>
        <w:t>It</w:t>
      </w:r>
      <w:r w:rsidRPr="006D7983">
        <w:t xml:space="preserve"> also provides local support at Taree for medical students, graduates, doctors and supervisors interested in a rural medicine career via its North West NSW Regional Training Hub – one of 27 Regional Training Hubs funded by the Australian Government under the </w:t>
      </w:r>
      <w:hyperlink r:id="rId150">
        <w:r w:rsidRPr="006D7983">
          <w:rPr>
            <w:rStyle w:val="Hyperlink"/>
            <w:rFonts w:eastAsia="Arial" w:cs="Arial"/>
            <w:color w:val="013D74"/>
          </w:rPr>
          <w:t>Department of Health and Aged Care Specialist Training Program</w:t>
        </w:r>
      </w:hyperlink>
      <w:r w:rsidRPr="006D7983">
        <w:t>.</w:t>
      </w:r>
    </w:p>
    <w:p w14:paraId="1349A790" w14:textId="77777777" w:rsidR="00A91189" w:rsidRDefault="00A91189" w:rsidP="00A91189">
      <w:pPr>
        <w:pStyle w:val="Heading3"/>
      </w:pPr>
      <w:r w:rsidRPr="4D294AEB">
        <w:rPr>
          <w:rFonts w:eastAsia="Arial" w:cs="Arial"/>
          <w:bCs/>
          <w:szCs w:val="26"/>
        </w:rPr>
        <w:t xml:space="preserve">Training health professionals at local university campuses </w:t>
      </w:r>
    </w:p>
    <w:p w14:paraId="0BAE07D9" w14:textId="77777777" w:rsidR="00A91189" w:rsidRDefault="00A91189" w:rsidP="00C44ECA">
      <w:r w:rsidRPr="006D7983">
        <w:t xml:space="preserve">The Universities Accord Final Report </w:t>
      </w:r>
      <w:r w:rsidRPr="001B442B">
        <w:t>has recommended prioritising additional Commonwealth supported medical places to train additional doctors in areas of critical shortages in regional and outer metropolitan areas.</w:t>
      </w:r>
      <w:r>
        <w:rPr>
          <w:rStyle w:val="FootnoteReference"/>
          <w:rFonts w:eastAsia="Arial" w:cs="Arial"/>
        </w:rPr>
        <w:footnoteReference w:id="103"/>
      </w:r>
      <w:r>
        <w:t xml:space="preserve"> </w:t>
      </w:r>
      <w:r w:rsidRPr="006D7983">
        <w:t xml:space="preserve">The Report </w:t>
      </w:r>
      <w:r>
        <w:t xml:space="preserve">also </w:t>
      </w:r>
      <w:r w:rsidRPr="006D7983">
        <w:t>cited studies show</w:t>
      </w:r>
      <w:r>
        <w:t>ing</w:t>
      </w:r>
      <w:r w:rsidRPr="006D7983">
        <w:t xml:space="preserve"> that health students from regional areas, and those who undertake extensive training in a rural setting, are more likely to practice in the regions, and that students from rural backgrounds are more likely than those of metropolitan origin to remain in rural practice</w:t>
      </w:r>
      <w:r w:rsidRPr="4D294AEB">
        <w:t>.</w:t>
      </w:r>
      <w:r w:rsidRPr="003A32D3">
        <w:rPr>
          <w:rStyle w:val="FootnoteReference"/>
          <w:rFonts w:eastAsia="Arial" w:cs="Arial"/>
        </w:rPr>
        <w:footnoteReference w:id="104"/>
      </w:r>
      <w:r w:rsidRPr="4D294AEB">
        <w:t xml:space="preserve"> </w:t>
      </w:r>
    </w:p>
    <w:p w14:paraId="2E6FBCB7" w14:textId="77777777" w:rsidR="00A91189" w:rsidRPr="006D7983" w:rsidRDefault="00A91189" w:rsidP="00557C2D">
      <w:pPr>
        <w:pStyle w:val="ListBullet"/>
      </w:pPr>
      <w:r w:rsidRPr="006D7983">
        <w:t xml:space="preserve">In view of this, the medical training offered locally by the University of Newcastle is key to retaining health professionals in the region.  </w:t>
      </w:r>
    </w:p>
    <w:p w14:paraId="0FA78AC1" w14:textId="193A0DFA" w:rsidR="00A91189" w:rsidRPr="006D7983" w:rsidRDefault="00A91189" w:rsidP="00C44ECA">
      <w:r w:rsidRPr="006D7983">
        <w:t xml:space="preserve">Given the importance of the health and care sector to the region </w:t>
      </w:r>
      <w:r>
        <w:t xml:space="preserve">and </w:t>
      </w:r>
      <w:r w:rsidR="00E60D0F">
        <w:t xml:space="preserve">persistent </w:t>
      </w:r>
      <w:r>
        <w:t xml:space="preserve">shortages of medical professionals </w:t>
      </w:r>
      <w:r w:rsidRPr="006D7983">
        <w:t xml:space="preserve">it is encouraging that both Charles Sturt University and Southern Cross University offer undergraduate courses locally in the medicine and health fields. </w:t>
      </w:r>
    </w:p>
    <w:p w14:paraId="2982D286" w14:textId="3B028046" w:rsidR="00A91189" w:rsidRDefault="00A91189" w:rsidP="00557C2D">
      <w:pPr>
        <w:pStyle w:val="ListBullet"/>
      </w:pPr>
      <w:r w:rsidRPr="006D7983">
        <w:t xml:space="preserve">In 2024 Charles Sturt University’s Port Macquarie campus offered 18 </w:t>
      </w:r>
      <w:r w:rsidR="00E60D0F">
        <w:t>B</w:t>
      </w:r>
      <w:r w:rsidRPr="006D7983">
        <w:t xml:space="preserve">achelor </w:t>
      </w:r>
      <w:r w:rsidR="00E60D0F">
        <w:t>D</w:t>
      </w:r>
      <w:r w:rsidRPr="006D7983">
        <w:t>egree courses, with six in the health</w:t>
      </w:r>
      <w:r w:rsidR="008B4B59">
        <w:t xml:space="preserve"> and related</w:t>
      </w:r>
      <w:r w:rsidRPr="006D7983">
        <w:t xml:space="preserve"> field</w:t>
      </w:r>
      <w:r w:rsidRPr="4D294AEB">
        <w:t>.</w:t>
      </w:r>
      <w:r w:rsidRPr="003A32D3">
        <w:rPr>
          <w:rStyle w:val="FootnoteReference"/>
          <w:rFonts w:eastAsia="Arial" w:cs="Arial"/>
        </w:rPr>
        <w:footnoteReference w:id="105"/>
      </w:r>
      <w:r w:rsidRPr="003A32D3">
        <w:t xml:space="preserve"> </w:t>
      </w:r>
      <w:r w:rsidRPr="4D294AEB">
        <w:t xml:space="preserve"> </w:t>
      </w:r>
    </w:p>
    <w:p w14:paraId="1AD3324D" w14:textId="262800C2" w:rsidR="00A91189" w:rsidRDefault="00A91189" w:rsidP="00557C2D">
      <w:pPr>
        <w:pStyle w:val="ListBullet"/>
      </w:pPr>
      <w:r w:rsidRPr="006D7983">
        <w:t xml:space="preserve">Southern Cross University’s Coffs Harbour campus offered 11 </w:t>
      </w:r>
      <w:r w:rsidR="008C1F4D">
        <w:t>B</w:t>
      </w:r>
      <w:r w:rsidRPr="006D7983">
        <w:t xml:space="preserve">achelor </w:t>
      </w:r>
      <w:r w:rsidR="008C1F4D">
        <w:t>D</w:t>
      </w:r>
      <w:r w:rsidRPr="006D7983">
        <w:t>egree courses, including nine in health</w:t>
      </w:r>
      <w:r w:rsidRPr="4D294AEB">
        <w:t>.</w:t>
      </w:r>
      <w:r w:rsidRPr="003A32D3">
        <w:rPr>
          <w:rStyle w:val="FootnoteReference"/>
          <w:rFonts w:eastAsia="Arial" w:cs="Arial"/>
        </w:rPr>
        <w:footnoteReference w:id="106"/>
      </w:r>
      <w:r w:rsidRPr="003A32D3">
        <w:t xml:space="preserve"> </w:t>
      </w:r>
    </w:p>
    <w:p w14:paraId="333D82B9" w14:textId="2A3AD306" w:rsidR="00A91189" w:rsidRPr="009B750B" w:rsidRDefault="00A91189" w:rsidP="00C44ECA">
      <w:r w:rsidRPr="006D7983">
        <w:t>A number of these courses are well aligned with specific skill level 1 occupations currently in national shortage and regional shortage in NSW</w:t>
      </w:r>
      <w:r w:rsidR="002C5381">
        <w:t xml:space="preserve"> (Table 1</w:t>
      </w:r>
      <w:r w:rsidR="00946D46">
        <w:t>7</w:t>
      </w:r>
      <w:r w:rsidR="002C5381">
        <w:t>)</w:t>
      </w:r>
      <w:r w:rsidRPr="006D7983">
        <w:t xml:space="preserve">, including </w:t>
      </w:r>
      <w:r w:rsidR="00946D46">
        <w:t>R</w:t>
      </w:r>
      <w:r w:rsidRPr="006D7983">
        <w:t xml:space="preserve">egistered </w:t>
      </w:r>
      <w:r w:rsidR="00946D46">
        <w:t>N</w:t>
      </w:r>
      <w:r w:rsidRPr="006D7983">
        <w:t>urses, which is the largest employing skill level 1 occupation in the Mid North Coast</w:t>
      </w:r>
      <w:r w:rsidR="002C5381">
        <w:t>.</w:t>
      </w:r>
      <w:r w:rsidRPr="4D294AEB">
        <w:t xml:space="preserve">  </w:t>
      </w:r>
    </w:p>
    <w:p w14:paraId="59CCC960" w14:textId="4B9EA5B3" w:rsidR="00A91189" w:rsidRPr="00666F48" w:rsidRDefault="00A91189" w:rsidP="00666F48">
      <w:pPr>
        <w:pStyle w:val="Caption"/>
        <w:rPr>
          <w:rFonts w:asciiTheme="minorHAnsi" w:hAnsiTheme="minorHAnsi" w:cstheme="minorHAnsi"/>
          <w:szCs w:val="20"/>
        </w:rPr>
      </w:pPr>
      <w:r w:rsidRPr="00666F48">
        <w:rPr>
          <w:rFonts w:asciiTheme="minorHAnsi" w:hAnsiTheme="minorHAnsi" w:cstheme="minorHAnsi"/>
          <w:szCs w:val="20"/>
        </w:rPr>
        <w:t xml:space="preserve">Table </w:t>
      </w:r>
      <w:r w:rsidR="009A3811" w:rsidRPr="00666F48">
        <w:rPr>
          <w:rFonts w:asciiTheme="minorHAnsi" w:hAnsiTheme="minorHAnsi" w:cstheme="minorHAnsi"/>
          <w:szCs w:val="20"/>
        </w:rPr>
        <w:t>1</w:t>
      </w:r>
      <w:r w:rsidR="00B81A24" w:rsidRPr="00666F48">
        <w:rPr>
          <w:rFonts w:asciiTheme="minorHAnsi" w:hAnsiTheme="minorHAnsi" w:cstheme="minorHAnsi"/>
          <w:szCs w:val="20"/>
        </w:rPr>
        <w:t>7</w:t>
      </w:r>
      <w:r w:rsidRPr="00666F48">
        <w:rPr>
          <w:rFonts w:asciiTheme="minorHAnsi" w:hAnsiTheme="minorHAnsi" w:cstheme="minorHAnsi"/>
          <w:szCs w:val="20"/>
        </w:rPr>
        <w:t xml:space="preserve">: Select </w:t>
      </w:r>
      <w:r w:rsidR="00393F13" w:rsidRPr="00666F48">
        <w:rPr>
          <w:rFonts w:asciiTheme="minorHAnsi" w:hAnsiTheme="minorHAnsi" w:cstheme="minorHAnsi"/>
          <w:szCs w:val="20"/>
        </w:rPr>
        <w:t>B</w:t>
      </w:r>
      <w:r w:rsidRPr="00666F48">
        <w:rPr>
          <w:rFonts w:asciiTheme="minorHAnsi" w:hAnsiTheme="minorHAnsi" w:cstheme="minorHAnsi"/>
          <w:szCs w:val="20"/>
        </w:rPr>
        <w:t xml:space="preserve">achelor </w:t>
      </w:r>
      <w:r w:rsidR="00393F13" w:rsidRPr="00666F48">
        <w:rPr>
          <w:rFonts w:asciiTheme="minorHAnsi" w:hAnsiTheme="minorHAnsi" w:cstheme="minorHAnsi"/>
          <w:szCs w:val="20"/>
        </w:rPr>
        <w:t>D</w:t>
      </w:r>
      <w:r w:rsidRPr="00666F48">
        <w:rPr>
          <w:rFonts w:asciiTheme="minorHAnsi" w:hAnsiTheme="minorHAnsi" w:cstheme="minorHAnsi"/>
          <w:szCs w:val="20"/>
        </w:rPr>
        <w:t>egree courses on offer and occupations in shortage</w:t>
      </w:r>
    </w:p>
    <w:tbl>
      <w:tblPr>
        <w:tblStyle w:val="JSATable1"/>
        <w:tblW w:w="0" w:type="auto"/>
        <w:tblLayout w:type="fixed"/>
        <w:tblLook w:val="04A0" w:firstRow="1" w:lastRow="0" w:firstColumn="1" w:lastColumn="0" w:noHBand="0" w:noVBand="1"/>
      </w:tblPr>
      <w:tblGrid>
        <w:gridCol w:w="3686"/>
        <w:gridCol w:w="5329"/>
      </w:tblGrid>
      <w:tr w:rsidR="00A91189" w14:paraId="06A742E7" w14:textId="77777777">
        <w:trPr>
          <w:cnfStyle w:val="100000000000" w:firstRow="1" w:lastRow="0" w:firstColumn="0" w:lastColumn="0" w:oddVBand="0" w:evenVBand="0" w:oddHBand="0" w:evenHBand="0" w:firstRowFirstColumn="0" w:firstRowLastColumn="0" w:lastRowFirstColumn="0" w:lastRowLastColumn="0"/>
          <w:trHeight w:val="465"/>
        </w:trPr>
        <w:tc>
          <w:tcPr>
            <w:tcW w:w="3686" w:type="dxa"/>
          </w:tcPr>
          <w:p w14:paraId="20563D5F" w14:textId="599FD59B" w:rsidR="00A91189" w:rsidRPr="00557C2D" w:rsidRDefault="00A91189" w:rsidP="006E7A8D">
            <w:pPr>
              <w:rPr>
                <w:b/>
                <w:bCs/>
              </w:rPr>
            </w:pPr>
            <w:r w:rsidRPr="00557C2D">
              <w:rPr>
                <w:b/>
                <w:bCs/>
              </w:rPr>
              <w:t xml:space="preserve">Bachelor </w:t>
            </w:r>
            <w:r w:rsidR="008B4B59" w:rsidRPr="00557C2D">
              <w:rPr>
                <w:b/>
                <w:bCs/>
              </w:rPr>
              <w:t>D</w:t>
            </w:r>
            <w:r w:rsidRPr="00557C2D">
              <w:rPr>
                <w:b/>
                <w:bCs/>
              </w:rPr>
              <w:t>egree course &amp; Institution</w:t>
            </w:r>
          </w:p>
        </w:tc>
        <w:tc>
          <w:tcPr>
            <w:tcW w:w="5329" w:type="dxa"/>
          </w:tcPr>
          <w:p w14:paraId="277D22A8" w14:textId="77777777" w:rsidR="00A91189" w:rsidRPr="00557C2D" w:rsidRDefault="00A91189" w:rsidP="006E7A8D">
            <w:pPr>
              <w:rPr>
                <w:b/>
                <w:bCs/>
              </w:rPr>
            </w:pPr>
            <w:r w:rsidRPr="00557C2D">
              <w:rPr>
                <w:b/>
                <w:bCs/>
              </w:rPr>
              <w:t>Occupation in Shortage (SPL 2023)</w:t>
            </w:r>
          </w:p>
        </w:tc>
      </w:tr>
      <w:tr w:rsidR="00A91189" w14:paraId="5FB006D9" w14:textId="77777777" w:rsidTr="0021125B">
        <w:trPr>
          <w:trHeight w:val="285"/>
        </w:trPr>
        <w:tc>
          <w:tcPr>
            <w:tcW w:w="3686" w:type="dxa"/>
            <w:vAlign w:val="center"/>
          </w:tcPr>
          <w:p w14:paraId="59BE506A" w14:textId="4C9F1F93" w:rsidR="00A91189" w:rsidRPr="0021125B" w:rsidRDefault="00A91189" w:rsidP="0021125B">
            <w:pPr>
              <w:rPr>
                <w:sz w:val="20"/>
                <w:szCs w:val="20"/>
              </w:rPr>
            </w:pPr>
            <w:r w:rsidRPr="0021125B">
              <w:rPr>
                <w:rFonts w:eastAsia="Arial" w:cs="Arial"/>
                <w:color w:val="000000" w:themeColor="text1"/>
                <w:sz w:val="20"/>
                <w:szCs w:val="20"/>
              </w:rPr>
              <w:t>Nursing (Charles Sturt</w:t>
            </w:r>
            <w:r w:rsidR="006C227C">
              <w:rPr>
                <w:rFonts w:eastAsia="Arial" w:cs="Arial"/>
                <w:color w:val="000000" w:themeColor="text1"/>
                <w:sz w:val="20"/>
                <w:szCs w:val="20"/>
              </w:rPr>
              <w:t xml:space="preserve"> (CS)</w:t>
            </w:r>
            <w:r w:rsidRPr="0021125B">
              <w:rPr>
                <w:rFonts w:eastAsia="Arial" w:cs="Arial"/>
                <w:color w:val="000000" w:themeColor="text1"/>
                <w:sz w:val="20"/>
                <w:szCs w:val="20"/>
              </w:rPr>
              <w:t xml:space="preserve"> &amp; Southern Cross</w:t>
            </w:r>
            <w:r w:rsidR="006C227C">
              <w:rPr>
                <w:rFonts w:eastAsia="Arial" w:cs="Arial"/>
                <w:color w:val="000000" w:themeColor="text1"/>
                <w:sz w:val="20"/>
                <w:szCs w:val="20"/>
              </w:rPr>
              <w:t xml:space="preserve"> (SC)</w:t>
            </w:r>
            <w:r w:rsidRPr="0021125B">
              <w:rPr>
                <w:rFonts w:eastAsia="Arial" w:cs="Arial"/>
                <w:color w:val="000000" w:themeColor="text1"/>
                <w:sz w:val="20"/>
                <w:szCs w:val="20"/>
              </w:rPr>
              <w:t>)</w:t>
            </w:r>
          </w:p>
        </w:tc>
        <w:tc>
          <w:tcPr>
            <w:tcW w:w="5329" w:type="dxa"/>
            <w:vAlign w:val="center"/>
          </w:tcPr>
          <w:p w14:paraId="751FCAB2" w14:textId="24342660" w:rsidR="00A91189" w:rsidRPr="0021125B" w:rsidRDefault="00A91189" w:rsidP="0021125B">
            <w:pPr>
              <w:rPr>
                <w:sz w:val="20"/>
                <w:szCs w:val="20"/>
              </w:rPr>
            </w:pPr>
            <w:r w:rsidRPr="0021125B">
              <w:rPr>
                <w:rFonts w:eastAsia="Arial" w:cs="Arial"/>
                <w:color w:val="000000" w:themeColor="text1"/>
                <w:sz w:val="20"/>
                <w:szCs w:val="20"/>
              </w:rPr>
              <w:t xml:space="preserve">Registered Nurses </w:t>
            </w:r>
          </w:p>
        </w:tc>
      </w:tr>
      <w:tr w:rsidR="00A91189" w14:paraId="084F7065" w14:textId="77777777" w:rsidTr="0021125B">
        <w:trPr>
          <w:cnfStyle w:val="000000010000" w:firstRow="0" w:lastRow="0" w:firstColumn="0" w:lastColumn="0" w:oddVBand="0" w:evenVBand="0" w:oddHBand="0" w:evenHBand="1" w:firstRowFirstColumn="0" w:firstRowLastColumn="0" w:lastRowFirstColumn="0" w:lastRowLastColumn="0"/>
          <w:trHeight w:val="285"/>
        </w:trPr>
        <w:tc>
          <w:tcPr>
            <w:tcW w:w="3686" w:type="dxa"/>
            <w:vAlign w:val="center"/>
          </w:tcPr>
          <w:p w14:paraId="7F039A28" w14:textId="77777777" w:rsidR="00A91189" w:rsidRPr="0021125B" w:rsidRDefault="00A91189" w:rsidP="0021125B">
            <w:pPr>
              <w:rPr>
                <w:sz w:val="20"/>
                <w:szCs w:val="20"/>
              </w:rPr>
            </w:pPr>
            <w:r w:rsidRPr="0021125B">
              <w:rPr>
                <w:rFonts w:eastAsia="Arial" w:cs="Arial"/>
                <w:color w:val="000000" w:themeColor="text1"/>
                <w:sz w:val="20"/>
                <w:szCs w:val="20"/>
              </w:rPr>
              <w:t>Midwifery (Southern Cross)</w:t>
            </w:r>
          </w:p>
        </w:tc>
        <w:tc>
          <w:tcPr>
            <w:tcW w:w="5329" w:type="dxa"/>
            <w:vAlign w:val="center"/>
          </w:tcPr>
          <w:p w14:paraId="483DDCE1" w14:textId="12D69680" w:rsidR="00A91189" w:rsidRPr="0021125B" w:rsidRDefault="00A91189" w:rsidP="0021125B">
            <w:pPr>
              <w:rPr>
                <w:sz w:val="20"/>
                <w:szCs w:val="20"/>
              </w:rPr>
            </w:pPr>
            <w:r w:rsidRPr="0021125B">
              <w:rPr>
                <w:rFonts w:eastAsia="Arial" w:cs="Arial"/>
                <w:color w:val="000000" w:themeColor="text1"/>
                <w:sz w:val="20"/>
                <w:szCs w:val="20"/>
              </w:rPr>
              <w:t>Midwi</w:t>
            </w:r>
            <w:r w:rsidR="00AD17BF">
              <w:rPr>
                <w:rFonts w:eastAsia="Arial" w:cs="Arial"/>
                <w:color w:val="000000" w:themeColor="text1"/>
                <w:sz w:val="20"/>
                <w:szCs w:val="20"/>
              </w:rPr>
              <w:t>ves</w:t>
            </w:r>
            <w:r w:rsidRPr="0021125B">
              <w:rPr>
                <w:rFonts w:eastAsia="Arial" w:cs="Arial"/>
                <w:color w:val="000000" w:themeColor="text1"/>
                <w:sz w:val="20"/>
                <w:szCs w:val="20"/>
              </w:rPr>
              <w:t xml:space="preserve"> </w:t>
            </w:r>
          </w:p>
        </w:tc>
      </w:tr>
      <w:tr w:rsidR="00A91189" w14:paraId="465B2BCE" w14:textId="77777777" w:rsidTr="0021125B">
        <w:trPr>
          <w:trHeight w:val="285"/>
        </w:trPr>
        <w:tc>
          <w:tcPr>
            <w:tcW w:w="3686" w:type="dxa"/>
            <w:vAlign w:val="center"/>
          </w:tcPr>
          <w:p w14:paraId="6A977F32" w14:textId="01F7521D" w:rsidR="00A91189" w:rsidRPr="0021125B" w:rsidRDefault="00A91189" w:rsidP="0021125B">
            <w:pPr>
              <w:rPr>
                <w:sz w:val="20"/>
                <w:szCs w:val="20"/>
              </w:rPr>
            </w:pPr>
            <w:r w:rsidRPr="0021125B">
              <w:rPr>
                <w:rFonts w:eastAsia="Arial" w:cs="Arial"/>
                <w:color w:val="000000" w:themeColor="text1"/>
                <w:sz w:val="20"/>
                <w:szCs w:val="20"/>
              </w:rPr>
              <w:t>Occupational Therapy (CS and SC)</w:t>
            </w:r>
          </w:p>
        </w:tc>
        <w:tc>
          <w:tcPr>
            <w:tcW w:w="5329" w:type="dxa"/>
            <w:vAlign w:val="center"/>
          </w:tcPr>
          <w:p w14:paraId="50F79D52" w14:textId="4D585902" w:rsidR="00A91189" w:rsidRPr="0021125B" w:rsidRDefault="00A91189" w:rsidP="0021125B">
            <w:pPr>
              <w:rPr>
                <w:sz w:val="20"/>
                <w:szCs w:val="20"/>
              </w:rPr>
            </w:pPr>
            <w:r w:rsidRPr="0021125B">
              <w:rPr>
                <w:rFonts w:eastAsia="Arial" w:cs="Arial"/>
                <w:color w:val="000000" w:themeColor="text1"/>
                <w:sz w:val="20"/>
                <w:szCs w:val="20"/>
              </w:rPr>
              <w:t>Occupational Therapist</w:t>
            </w:r>
            <w:r w:rsidR="00AD17BF">
              <w:rPr>
                <w:rFonts w:eastAsia="Arial" w:cs="Arial"/>
                <w:color w:val="000000" w:themeColor="text1"/>
                <w:sz w:val="20"/>
                <w:szCs w:val="20"/>
              </w:rPr>
              <w:t>s</w:t>
            </w:r>
          </w:p>
        </w:tc>
      </w:tr>
      <w:tr w:rsidR="00A91189" w14:paraId="213E7084" w14:textId="77777777" w:rsidTr="0021125B">
        <w:trPr>
          <w:cnfStyle w:val="000000010000" w:firstRow="0" w:lastRow="0" w:firstColumn="0" w:lastColumn="0" w:oddVBand="0" w:evenVBand="0" w:oddHBand="0" w:evenHBand="1" w:firstRowFirstColumn="0" w:firstRowLastColumn="0" w:lastRowFirstColumn="0" w:lastRowLastColumn="0"/>
          <w:trHeight w:val="285"/>
        </w:trPr>
        <w:tc>
          <w:tcPr>
            <w:tcW w:w="3686" w:type="dxa"/>
            <w:vAlign w:val="center"/>
          </w:tcPr>
          <w:p w14:paraId="32AC4F95" w14:textId="77777777" w:rsidR="00A91189" w:rsidRPr="0021125B" w:rsidRDefault="00A91189" w:rsidP="0021125B">
            <w:pPr>
              <w:rPr>
                <w:sz w:val="20"/>
                <w:szCs w:val="20"/>
              </w:rPr>
            </w:pPr>
            <w:r w:rsidRPr="0021125B">
              <w:rPr>
                <w:rFonts w:eastAsia="Arial" w:cs="Arial"/>
                <w:color w:val="000000" w:themeColor="text1"/>
                <w:sz w:val="20"/>
                <w:szCs w:val="20"/>
              </w:rPr>
              <w:t>Psychology (CS); Psychological Science (SC)</w:t>
            </w:r>
          </w:p>
        </w:tc>
        <w:tc>
          <w:tcPr>
            <w:tcW w:w="5329" w:type="dxa"/>
            <w:vAlign w:val="center"/>
          </w:tcPr>
          <w:p w14:paraId="1775E77D" w14:textId="515B7785" w:rsidR="00A91189" w:rsidRPr="0021125B" w:rsidRDefault="00A91189" w:rsidP="0021125B">
            <w:pPr>
              <w:rPr>
                <w:sz w:val="20"/>
                <w:szCs w:val="20"/>
              </w:rPr>
            </w:pPr>
            <w:r w:rsidRPr="0021125B">
              <w:rPr>
                <w:rFonts w:eastAsia="Arial" w:cs="Arial"/>
                <w:color w:val="000000" w:themeColor="text1"/>
                <w:sz w:val="20"/>
                <w:szCs w:val="20"/>
              </w:rPr>
              <w:t>Psychologist</w:t>
            </w:r>
            <w:r w:rsidR="00AD17BF">
              <w:rPr>
                <w:rFonts w:eastAsia="Arial" w:cs="Arial"/>
                <w:color w:val="000000" w:themeColor="text1"/>
                <w:sz w:val="20"/>
                <w:szCs w:val="20"/>
              </w:rPr>
              <w:t>s</w:t>
            </w:r>
          </w:p>
        </w:tc>
      </w:tr>
      <w:tr w:rsidR="00A91189" w14:paraId="50BDF258" w14:textId="77777777" w:rsidTr="0021125B">
        <w:trPr>
          <w:trHeight w:val="285"/>
        </w:trPr>
        <w:tc>
          <w:tcPr>
            <w:tcW w:w="3686" w:type="dxa"/>
            <w:vAlign w:val="center"/>
          </w:tcPr>
          <w:p w14:paraId="736F4414" w14:textId="77777777" w:rsidR="00A91189" w:rsidRPr="0021125B" w:rsidRDefault="00A91189" w:rsidP="0021125B">
            <w:pPr>
              <w:rPr>
                <w:sz w:val="20"/>
                <w:szCs w:val="20"/>
              </w:rPr>
            </w:pPr>
            <w:r w:rsidRPr="0021125B">
              <w:rPr>
                <w:rFonts w:eastAsia="Arial" w:cs="Arial"/>
                <w:color w:val="000000" w:themeColor="text1"/>
                <w:sz w:val="20"/>
                <w:szCs w:val="20"/>
              </w:rPr>
              <w:t>Physiotherapy (Charles Sturt)</w:t>
            </w:r>
          </w:p>
        </w:tc>
        <w:tc>
          <w:tcPr>
            <w:tcW w:w="5329" w:type="dxa"/>
            <w:vAlign w:val="center"/>
          </w:tcPr>
          <w:p w14:paraId="0E93A217" w14:textId="3D050255" w:rsidR="00A91189" w:rsidRPr="0021125B" w:rsidRDefault="00A91189" w:rsidP="0021125B">
            <w:pPr>
              <w:rPr>
                <w:sz w:val="20"/>
                <w:szCs w:val="20"/>
              </w:rPr>
            </w:pPr>
            <w:r w:rsidRPr="0021125B">
              <w:rPr>
                <w:rFonts w:eastAsia="Arial" w:cs="Arial"/>
                <w:color w:val="000000" w:themeColor="text1"/>
                <w:sz w:val="20"/>
                <w:szCs w:val="20"/>
              </w:rPr>
              <w:t>Physiotherapist</w:t>
            </w:r>
            <w:r w:rsidR="00AD17BF">
              <w:rPr>
                <w:rFonts w:eastAsia="Arial" w:cs="Arial"/>
                <w:color w:val="000000" w:themeColor="text1"/>
                <w:sz w:val="20"/>
                <w:szCs w:val="20"/>
              </w:rPr>
              <w:t>s</w:t>
            </w:r>
          </w:p>
        </w:tc>
      </w:tr>
      <w:tr w:rsidR="00A91189" w:rsidRPr="006D7983" w14:paraId="60A83E43" w14:textId="77777777" w:rsidTr="0021125B">
        <w:trPr>
          <w:cnfStyle w:val="000000010000" w:firstRow="0" w:lastRow="0" w:firstColumn="0" w:lastColumn="0" w:oddVBand="0" w:evenVBand="0" w:oddHBand="0" w:evenHBand="1" w:firstRowFirstColumn="0" w:firstRowLastColumn="0" w:lastRowFirstColumn="0" w:lastRowLastColumn="0"/>
          <w:trHeight w:val="285"/>
        </w:trPr>
        <w:tc>
          <w:tcPr>
            <w:tcW w:w="3686" w:type="dxa"/>
            <w:vAlign w:val="center"/>
          </w:tcPr>
          <w:p w14:paraId="2206F755" w14:textId="77777777" w:rsidR="00A91189" w:rsidRPr="0021125B" w:rsidRDefault="00A91189" w:rsidP="0021125B">
            <w:pPr>
              <w:rPr>
                <w:rFonts w:asciiTheme="minorHAnsi" w:hAnsiTheme="minorHAnsi" w:cstheme="minorHAnsi"/>
                <w:sz w:val="20"/>
                <w:szCs w:val="20"/>
              </w:rPr>
            </w:pPr>
            <w:r w:rsidRPr="0021125B">
              <w:rPr>
                <w:rFonts w:asciiTheme="minorHAnsi" w:eastAsia="Arial" w:hAnsiTheme="minorHAnsi" w:cstheme="minorHAnsi"/>
                <w:color w:val="000000" w:themeColor="text1"/>
                <w:sz w:val="20"/>
                <w:szCs w:val="20"/>
              </w:rPr>
              <w:t>Speech Pathology (Southern Cross)</w:t>
            </w:r>
          </w:p>
        </w:tc>
        <w:tc>
          <w:tcPr>
            <w:tcW w:w="5329" w:type="dxa"/>
            <w:vAlign w:val="center"/>
          </w:tcPr>
          <w:p w14:paraId="004B37CC" w14:textId="57EA027B" w:rsidR="00A91189" w:rsidRPr="0021125B" w:rsidRDefault="00121A1B" w:rsidP="0021125B">
            <w:pPr>
              <w:rPr>
                <w:rFonts w:asciiTheme="minorHAnsi" w:hAnsiTheme="minorHAnsi" w:cstheme="minorHAnsi"/>
                <w:sz w:val="20"/>
                <w:szCs w:val="20"/>
              </w:rPr>
            </w:pPr>
            <w:r>
              <w:rPr>
                <w:rFonts w:asciiTheme="minorHAnsi" w:eastAsia="Arial" w:hAnsiTheme="minorHAnsi" w:cstheme="minorHAnsi"/>
                <w:color w:val="000000" w:themeColor="text1"/>
                <w:sz w:val="20"/>
                <w:szCs w:val="20"/>
              </w:rPr>
              <w:t xml:space="preserve">Audiologists and </w:t>
            </w:r>
            <w:r w:rsidR="00A91189" w:rsidRPr="0021125B">
              <w:rPr>
                <w:rFonts w:asciiTheme="minorHAnsi" w:eastAsia="Arial" w:hAnsiTheme="minorHAnsi" w:cstheme="minorHAnsi"/>
                <w:color w:val="000000" w:themeColor="text1"/>
                <w:sz w:val="20"/>
                <w:szCs w:val="20"/>
              </w:rPr>
              <w:t>Speech Pathologist</w:t>
            </w:r>
            <w:r w:rsidR="00AD17BF">
              <w:rPr>
                <w:rFonts w:asciiTheme="minorHAnsi" w:eastAsia="Arial" w:hAnsiTheme="minorHAnsi" w:cstheme="minorHAnsi"/>
                <w:color w:val="000000" w:themeColor="text1"/>
                <w:sz w:val="20"/>
                <w:szCs w:val="20"/>
              </w:rPr>
              <w:t>s</w:t>
            </w:r>
            <w:r w:rsidR="00A91189" w:rsidRPr="0021125B">
              <w:rPr>
                <w:rFonts w:asciiTheme="minorHAnsi" w:eastAsia="Arial" w:hAnsiTheme="minorHAnsi" w:cstheme="minorHAnsi"/>
                <w:color w:val="000000" w:themeColor="text1"/>
                <w:sz w:val="20"/>
                <w:szCs w:val="20"/>
              </w:rPr>
              <w:t>/Therapist</w:t>
            </w:r>
            <w:r w:rsidR="00AD17BF">
              <w:rPr>
                <w:rFonts w:asciiTheme="minorHAnsi" w:eastAsia="Arial" w:hAnsiTheme="minorHAnsi" w:cstheme="minorHAnsi"/>
                <w:color w:val="000000" w:themeColor="text1"/>
                <w:sz w:val="20"/>
                <w:szCs w:val="20"/>
              </w:rPr>
              <w:t>s</w:t>
            </w:r>
          </w:p>
        </w:tc>
      </w:tr>
    </w:tbl>
    <w:p w14:paraId="3169702D" w14:textId="77777777" w:rsidR="00A91189" w:rsidRPr="00666F48" w:rsidRDefault="00A91189" w:rsidP="00666F48">
      <w:pPr>
        <w:pStyle w:val="Source"/>
        <w:rPr>
          <w:rFonts w:asciiTheme="minorHAnsi" w:hAnsiTheme="minorHAnsi" w:cstheme="minorHAnsi"/>
        </w:rPr>
      </w:pPr>
      <w:r w:rsidRPr="00666F48">
        <w:rPr>
          <w:rFonts w:asciiTheme="minorHAnsi" w:eastAsia="Times New Roman" w:hAnsiTheme="minorHAnsi" w:cstheme="minorHAnsi"/>
        </w:rPr>
        <w:t xml:space="preserve">Sources: </w:t>
      </w:r>
      <w:hyperlink r:id="rId151">
        <w:r w:rsidRPr="00666F48">
          <w:rPr>
            <w:rStyle w:val="Hyperlink"/>
            <w:rFonts w:asciiTheme="minorHAnsi" w:eastAsia="Times New Roman" w:hAnsiTheme="minorHAnsi" w:cstheme="minorHAnsi"/>
            <w:color w:val="013D74"/>
          </w:rPr>
          <w:t xml:space="preserve">JSA Skills Priority List 2023 </w:t>
        </w:r>
      </w:hyperlink>
      <w:r w:rsidRPr="00666F48">
        <w:rPr>
          <w:rFonts w:asciiTheme="minorHAnsi" w:eastAsia="Times New Roman" w:hAnsiTheme="minorHAnsi" w:cstheme="minorHAnsi"/>
        </w:rPr>
        <w:t>,</w:t>
      </w:r>
      <w:hyperlink r:id="rId152">
        <w:r w:rsidRPr="00666F48">
          <w:rPr>
            <w:rStyle w:val="Hyperlink"/>
            <w:rFonts w:asciiTheme="minorHAnsi" w:eastAsia="Times New Roman" w:hAnsiTheme="minorHAnsi" w:cstheme="minorHAnsi"/>
            <w:color w:val="013D74"/>
          </w:rPr>
          <w:t>about.csu.edu.au/locations/port-Macquarie</w:t>
        </w:r>
      </w:hyperlink>
      <w:r w:rsidRPr="00666F48">
        <w:rPr>
          <w:rFonts w:asciiTheme="minorHAnsi" w:eastAsia="Times New Roman" w:hAnsiTheme="minorHAnsi" w:cstheme="minorHAnsi"/>
        </w:rPr>
        <w:t xml:space="preserve">, </w:t>
      </w:r>
      <w:hyperlink r:id="rId153">
        <w:r w:rsidRPr="00666F48">
          <w:rPr>
            <w:rStyle w:val="Hyperlink"/>
            <w:rFonts w:asciiTheme="minorHAnsi" w:eastAsia="Times New Roman" w:hAnsiTheme="minorHAnsi" w:cstheme="minorHAnsi"/>
            <w:color w:val="013D74"/>
          </w:rPr>
          <w:t>course-search.scu.edu.au</w:t>
        </w:r>
      </w:hyperlink>
    </w:p>
    <w:p w14:paraId="35013C6D" w14:textId="77777777" w:rsidR="00A91189" w:rsidRPr="00666F48" w:rsidRDefault="00A91189" w:rsidP="00A91189">
      <w:pPr>
        <w:pStyle w:val="Heading3"/>
        <w:rPr>
          <w:rFonts w:asciiTheme="majorHAnsi" w:hAnsiTheme="majorHAnsi" w:cstheme="majorHAnsi"/>
        </w:rPr>
      </w:pPr>
      <w:r w:rsidRPr="00666F48">
        <w:rPr>
          <w:rFonts w:asciiTheme="majorHAnsi" w:eastAsia="Arial" w:hAnsiTheme="majorHAnsi" w:cstheme="majorHAnsi"/>
          <w:bCs/>
          <w:szCs w:val="26"/>
        </w:rPr>
        <w:t>A dearth of local construction and engineering tertiary courses</w:t>
      </w:r>
    </w:p>
    <w:p w14:paraId="0B77DF6B" w14:textId="1D2DB18F" w:rsidR="00A91189" w:rsidRPr="006D7983" w:rsidRDefault="00A91189" w:rsidP="00557C2D">
      <w:pPr>
        <w:keepLines/>
      </w:pPr>
      <w:r w:rsidRPr="006D7983">
        <w:t xml:space="preserve">Charles Sturt University and Southern Cross University offer </w:t>
      </w:r>
      <w:r w:rsidR="00FF56AD">
        <w:t>B</w:t>
      </w:r>
      <w:r w:rsidRPr="006D7983">
        <w:t>achelor</w:t>
      </w:r>
      <w:r w:rsidR="00FF56AD">
        <w:t xml:space="preserve"> D</w:t>
      </w:r>
      <w:r w:rsidRPr="006D7983">
        <w:t>egree</w:t>
      </w:r>
      <w:r w:rsidR="00FF56AD">
        <w:t xml:space="preserve"> courses</w:t>
      </w:r>
      <w:r w:rsidRPr="006D7983">
        <w:t xml:space="preserve"> at their campuses in the region in a number of fields other than health, including education, business, environmental science and law. However, no courses are offered in fields relevant to </w:t>
      </w:r>
      <w:r w:rsidR="00A93B6F">
        <w:t xml:space="preserve">some </w:t>
      </w:r>
      <w:r w:rsidRPr="006D7983">
        <w:t xml:space="preserve">skill level 1 jobs in shortage in the major employing industry of </w:t>
      </w:r>
      <w:r w:rsidR="00667C85">
        <w:t>C</w:t>
      </w:r>
      <w:r w:rsidRPr="006D7983">
        <w:t xml:space="preserve">onstruction, such as </w:t>
      </w:r>
      <w:r w:rsidR="00EB2821">
        <w:t>C</w:t>
      </w:r>
      <w:r w:rsidRPr="006D7983">
        <w:t xml:space="preserve">ivil </w:t>
      </w:r>
      <w:r w:rsidR="00EB2821">
        <w:t>E</w:t>
      </w:r>
      <w:r w:rsidRPr="006D7983">
        <w:t>ngineer</w:t>
      </w:r>
      <w:r w:rsidR="000372CB">
        <w:t>s</w:t>
      </w:r>
      <w:r w:rsidRPr="006D7983">
        <w:t xml:space="preserve"> and </w:t>
      </w:r>
      <w:r w:rsidR="00EB2821">
        <w:t>C</w:t>
      </w:r>
      <w:r w:rsidRPr="006D7983">
        <w:t xml:space="preserve">onstruction </w:t>
      </w:r>
      <w:r w:rsidR="00EB2821">
        <w:t>M</w:t>
      </w:r>
      <w:r w:rsidRPr="006D7983">
        <w:t>anager</w:t>
      </w:r>
      <w:r w:rsidR="00EB2821">
        <w:t>s</w:t>
      </w:r>
      <w:r w:rsidRPr="006D7983">
        <w:t xml:space="preserve">. </w:t>
      </w:r>
    </w:p>
    <w:p w14:paraId="480235DB" w14:textId="381A7C19" w:rsidR="005E2E12" w:rsidRDefault="00A91189" w:rsidP="00666F48">
      <w:pPr>
        <w:rPr>
          <w:rFonts w:asciiTheme="minorHAnsi" w:hAnsiTheme="minorHAnsi"/>
        </w:rPr>
      </w:pPr>
      <w:r w:rsidRPr="006D7983">
        <w:t xml:space="preserve">The reasons why </w:t>
      </w:r>
      <w:r w:rsidR="003B0B00">
        <w:t xml:space="preserve">universities are not able to offer the full range of courses at all campus locations is not </w:t>
      </w:r>
      <w:r w:rsidR="005E4A00">
        <w:t xml:space="preserve">clear </w:t>
      </w:r>
      <w:r w:rsidR="00CB616A">
        <w:t>a</w:t>
      </w:r>
      <w:r w:rsidR="30C0C7D4">
        <w:t>nd</w:t>
      </w:r>
      <w:r w:rsidR="003B0B00">
        <w:t xml:space="preserve"> is likely to relate to </w:t>
      </w:r>
      <w:r w:rsidR="003B0B00">
        <w:rPr>
          <w:rFonts w:asciiTheme="minorHAnsi" w:hAnsiTheme="minorHAnsi"/>
        </w:rPr>
        <w:t xml:space="preserve">factors such as </w:t>
      </w:r>
      <w:r w:rsidRPr="20A6F5DF">
        <w:rPr>
          <w:rFonts w:asciiTheme="minorHAnsi" w:hAnsiTheme="minorHAnsi"/>
        </w:rPr>
        <w:t>the higher costs of delivery and diseconomies of scale faced by regional universities</w:t>
      </w:r>
      <w:r w:rsidR="00121D19">
        <w:rPr>
          <w:rFonts w:asciiTheme="minorHAnsi" w:hAnsiTheme="minorHAnsi"/>
        </w:rPr>
        <w:t>, and possibly lack of demand in particular locations for some courses</w:t>
      </w:r>
      <w:r w:rsidRPr="20A6F5DF">
        <w:rPr>
          <w:rFonts w:asciiTheme="minorHAnsi" w:hAnsiTheme="minorHAnsi"/>
        </w:rPr>
        <w:t xml:space="preserve">. </w:t>
      </w:r>
    </w:p>
    <w:p w14:paraId="10C2B9BB" w14:textId="29D0BD7D" w:rsidR="00A91189" w:rsidRPr="00BF56B0" w:rsidRDefault="00A91189" w:rsidP="00666F48">
      <w:pPr>
        <w:rPr>
          <w:rStyle w:val="Hyperlink"/>
          <w:rFonts w:eastAsia="Arial" w:cs="Arial"/>
          <w:color w:val="013D74"/>
          <w:vertAlign w:val="superscript"/>
        </w:rPr>
      </w:pPr>
      <w:r w:rsidRPr="20A6F5DF">
        <w:rPr>
          <w:rFonts w:asciiTheme="minorHAnsi" w:hAnsiTheme="minorHAnsi"/>
        </w:rPr>
        <w:t>The Universities Accord Final Report recognised these challenges and called for the full cost of educational delivery in regional Australia to be addressed as a matter of urgency.</w:t>
      </w:r>
      <w:r w:rsidRPr="20A6F5DF">
        <w:rPr>
          <w:rStyle w:val="FootnoteReference"/>
          <w:rFonts w:asciiTheme="minorHAnsi" w:eastAsia="Arial" w:hAnsiTheme="minorHAnsi"/>
        </w:rPr>
        <w:footnoteReference w:id="107"/>
      </w:r>
      <w:r w:rsidRPr="20A6F5DF">
        <w:rPr>
          <w:rFonts w:asciiTheme="minorHAnsi" w:hAnsiTheme="minorHAnsi"/>
        </w:rPr>
        <w:t xml:space="preserve"> It recommended that the Australian Government’s new needs-based funding model include a specific element based on the location of higher education delivery in regional and remote Australia, to</w:t>
      </w:r>
      <w:r w:rsidRPr="006D7983">
        <w:t xml:space="preserve"> better recognise the equity issues involved and additional costs of delivery in regional Australia</w:t>
      </w:r>
      <w:r w:rsidRPr="00BF56B0">
        <w:t>.</w:t>
      </w:r>
      <w:r w:rsidRPr="00BF56B0">
        <w:rPr>
          <w:rStyle w:val="FootnoteReference"/>
          <w:rFonts w:eastAsia="Arial" w:cs="Arial"/>
        </w:rPr>
        <w:footnoteReference w:id="108"/>
      </w:r>
    </w:p>
    <w:p w14:paraId="195BF4B5" w14:textId="24592D8F" w:rsidR="00A91189" w:rsidRPr="00E70E90" w:rsidRDefault="00A91189" w:rsidP="00666F48">
      <w:r w:rsidRPr="006D7983">
        <w:t xml:space="preserve">The </w:t>
      </w:r>
      <w:r>
        <w:t xml:space="preserve">Australian Universities </w:t>
      </w:r>
      <w:r w:rsidRPr="006D7983">
        <w:t xml:space="preserve">Accord </w:t>
      </w:r>
      <w:r>
        <w:t>has</w:t>
      </w:r>
      <w:r w:rsidRPr="006D7983">
        <w:t xml:space="preserve"> recognised </w:t>
      </w:r>
      <w:r>
        <w:t xml:space="preserve">and considered </w:t>
      </w:r>
      <w:r w:rsidRPr="006D7983">
        <w:t xml:space="preserve">the challenges faced by regional students and universities and has recommended </w:t>
      </w:r>
      <w:r>
        <w:t xml:space="preserve">a number of </w:t>
      </w:r>
      <w:r w:rsidRPr="006D7983">
        <w:t xml:space="preserve">reforms which, if implemented, </w:t>
      </w:r>
      <w:r w:rsidR="00561D6D">
        <w:t>could</w:t>
      </w:r>
      <w:r w:rsidRPr="006D7983">
        <w:t xml:space="preserve"> help the Mid North Coast to meet its future skills challenges</w:t>
      </w:r>
      <w:r>
        <w:t xml:space="preserve"> through higher education </w:t>
      </w:r>
      <w:r w:rsidR="00FC197C">
        <w:t>(</w:t>
      </w:r>
      <w:r>
        <w:t xml:space="preserve">see </w:t>
      </w:r>
      <w:r w:rsidR="00FC197C">
        <w:t>Appendix A).</w:t>
      </w:r>
    </w:p>
    <w:p w14:paraId="66547E78" w14:textId="03682269" w:rsidR="00A91189" w:rsidRPr="00473964" w:rsidRDefault="00A91189" w:rsidP="00666F48">
      <w:pPr>
        <w:rPr>
          <w:kern w:val="2"/>
          <w14:ligatures w14:val="standardContextual"/>
        </w:rPr>
      </w:pPr>
    </w:p>
    <w:p w14:paraId="170153DB" w14:textId="0658EA2A" w:rsidR="00AE5813" w:rsidRDefault="00AE5813" w:rsidP="00A902D6"/>
    <w:p w14:paraId="08A8FC8C" w14:textId="1149ACCB" w:rsidR="008A717F" w:rsidRDefault="008A717F" w:rsidP="003D070F">
      <w:pPr>
        <w:rPr>
          <w:rFonts w:eastAsiaTheme="majorEastAsia"/>
          <w:sz w:val="32"/>
          <w:szCs w:val="32"/>
        </w:rPr>
      </w:pPr>
      <w:r w:rsidRPr="4B13760D">
        <w:br w:type="page"/>
      </w:r>
    </w:p>
    <w:p w14:paraId="302BB1EB" w14:textId="11315784" w:rsidR="00657C50" w:rsidRPr="00A1076E" w:rsidRDefault="00FE31BE" w:rsidP="00A1076E">
      <w:pPr>
        <w:pStyle w:val="Heading1"/>
        <w:rPr>
          <w:rFonts w:asciiTheme="minorHAnsi" w:hAnsiTheme="minorHAnsi" w:cstheme="minorHAnsi"/>
        </w:rPr>
      </w:pPr>
      <w:bookmarkStart w:id="94" w:name="_Toc171937451"/>
      <w:bookmarkStart w:id="95" w:name="_Toc178173753"/>
      <w:r w:rsidRPr="00A1076E">
        <w:rPr>
          <w:rFonts w:asciiTheme="minorHAnsi" w:hAnsiTheme="minorHAnsi" w:cstheme="minorHAnsi"/>
        </w:rPr>
        <w:t>Appendix</w:t>
      </w:r>
      <w:r w:rsidR="00E138E6" w:rsidRPr="00A1076E">
        <w:rPr>
          <w:rFonts w:asciiTheme="minorHAnsi" w:hAnsiTheme="minorHAnsi" w:cstheme="minorHAnsi"/>
        </w:rPr>
        <w:t xml:space="preserve"> A</w:t>
      </w:r>
      <w:r w:rsidRPr="00A1076E">
        <w:rPr>
          <w:rFonts w:asciiTheme="minorHAnsi" w:hAnsiTheme="minorHAnsi" w:cstheme="minorHAnsi"/>
        </w:rPr>
        <w:t xml:space="preserve">: </w:t>
      </w:r>
      <w:r w:rsidR="00657C50" w:rsidRPr="00A1076E">
        <w:rPr>
          <w:rFonts w:asciiTheme="minorHAnsi" w:hAnsiTheme="minorHAnsi" w:cstheme="minorHAnsi"/>
        </w:rPr>
        <w:t xml:space="preserve">Current </w:t>
      </w:r>
      <w:r w:rsidR="00D14807">
        <w:rPr>
          <w:rFonts w:asciiTheme="minorHAnsi" w:hAnsiTheme="minorHAnsi" w:cstheme="minorHAnsi"/>
        </w:rPr>
        <w:t>R</w:t>
      </w:r>
      <w:r w:rsidR="00657C50" w:rsidRPr="00A1076E">
        <w:rPr>
          <w:rFonts w:asciiTheme="minorHAnsi" w:hAnsiTheme="minorHAnsi" w:cstheme="minorHAnsi"/>
        </w:rPr>
        <w:t xml:space="preserve">eform </w:t>
      </w:r>
      <w:r w:rsidR="00D14807">
        <w:rPr>
          <w:rFonts w:asciiTheme="minorHAnsi" w:hAnsiTheme="minorHAnsi" w:cstheme="minorHAnsi"/>
        </w:rPr>
        <w:t>P</w:t>
      </w:r>
      <w:r w:rsidR="00657C50" w:rsidRPr="00A1076E">
        <w:rPr>
          <w:rFonts w:asciiTheme="minorHAnsi" w:hAnsiTheme="minorHAnsi" w:cstheme="minorHAnsi"/>
        </w:rPr>
        <w:t xml:space="preserve">rocesses </w:t>
      </w:r>
      <w:r w:rsidR="00D14807">
        <w:rPr>
          <w:rFonts w:asciiTheme="minorHAnsi" w:hAnsiTheme="minorHAnsi" w:cstheme="minorHAnsi"/>
        </w:rPr>
        <w:t>Impacting</w:t>
      </w:r>
      <w:r w:rsidR="00657C50" w:rsidRPr="00A1076E">
        <w:rPr>
          <w:rFonts w:asciiTheme="minorHAnsi" w:hAnsiTheme="minorHAnsi" w:cstheme="minorHAnsi"/>
        </w:rPr>
        <w:t xml:space="preserve"> the </w:t>
      </w:r>
      <w:r w:rsidR="00D14807">
        <w:rPr>
          <w:rFonts w:asciiTheme="minorHAnsi" w:hAnsiTheme="minorHAnsi" w:cstheme="minorHAnsi"/>
        </w:rPr>
        <w:t>R</w:t>
      </w:r>
      <w:r w:rsidR="00657C50" w:rsidRPr="00A1076E">
        <w:rPr>
          <w:rFonts w:asciiTheme="minorHAnsi" w:hAnsiTheme="minorHAnsi" w:cstheme="minorHAnsi"/>
        </w:rPr>
        <w:t xml:space="preserve">egional </w:t>
      </w:r>
      <w:r w:rsidR="00D14807">
        <w:rPr>
          <w:rFonts w:asciiTheme="minorHAnsi" w:hAnsiTheme="minorHAnsi" w:cstheme="minorHAnsi"/>
        </w:rPr>
        <w:t>S</w:t>
      </w:r>
      <w:r w:rsidR="00657C50" w:rsidRPr="00A1076E">
        <w:rPr>
          <w:rFonts w:asciiTheme="minorHAnsi" w:hAnsiTheme="minorHAnsi" w:cstheme="minorHAnsi"/>
        </w:rPr>
        <w:t xml:space="preserve">kills </w:t>
      </w:r>
      <w:r w:rsidR="00D14807">
        <w:rPr>
          <w:rFonts w:asciiTheme="minorHAnsi" w:hAnsiTheme="minorHAnsi" w:cstheme="minorHAnsi"/>
        </w:rPr>
        <w:t>S</w:t>
      </w:r>
      <w:r w:rsidR="00657C50" w:rsidRPr="00A1076E">
        <w:rPr>
          <w:rFonts w:asciiTheme="minorHAnsi" w:hAnsiTheme="minorHAnsi" w:cstheme="minorHAnsi"/>
        </w:rPr>
        <w:t>ystem</w:t>
      </w:r>
      <w:bookmarkEnd w:id="94"/>
      <w:bookmarkEnd w:id="95"/>
    </w:p>
    <w:p w14:paraId="17553FB8" w14:textId="77777777" w:rsidR="00657C50" w:rsidRPr="007D72B4" w:rsidRDefault="00657C50" w:rsidP="007E2211">
      <w:pPr>
        <w:pStyle w:val="Heading2noTOC"/>
      </w:pPr>
      <w:bookmarkStart w:id="96" w:name="_Toc171937452"/>
      <w:r w:rsidRPr="007D72B4">
        <w:t>Introduction</w:t>
      </w:r>
      <w:bookmarkEnd w:id="96"/>
    </w:p>
    <w:p w14:paraId="3C7A23ED" w14:textId="2EF35BC1" w:rsidR="00657C50" w:rsidRPr="005D6EBE" w:rsidRDefault="00657C50" w:rsidP="00615306">
      <w:r w:rsidRPr="005D6EBE">
        <w:t xml:space="preserve">System reform and implementation are </w:t>
      </w:r>
      <w:r w:rsidR="00FA1C4C" w:rsidRPr="005D6EBE">
        <w:t>important considerations within</w:t>
      </w:r>
      <w:r w:rsidRPr="005D6EBE">
        <w:t xml:space="preserve"> the Regional, Rural and Remote Jobs and Skills Roadmap. </w:t>
      </w:r>
      <w:r w:rsidR="00745BCE" w:rsidRPr="005D6EBE">
        <w:t>Over recent years there has been</w:t>
      </w:r>
      <w:r w:rsidRPr="005D6EBE">
        <w:t xml:space="preserve"> significant reform processes </w:t>
      </w:r>
      <w:r w:rsidR="00745BCE" w:rsidRPr="005D6EBE">
        <w:t xml:space="preserve">and reviews </w:t>
      </w:r>
      <w:r w:rsidRPr="005D6EBE">
        <w:t xml:space="preserve">relating to the regional skills system, </w:t>
      </w:r>
      <w:r w:rsidR="001624FF" w:rsidRPr="005D6EBE">
        <w:t>notably</w:t>
      </w:r>
      <w:r w:rsidRPr="005D6EBE">
        <w:t xml:space="preserve"> the Australian Universities Accord, the National Skills Agreement and the Australian Government’s Migration Strategy.  </w:t>
      </w:r>
    </w:p>
    <w:p w14:paraId="34C109C6" w14:textId="2946EAE9" w:rsidR="00657C50" w:rsidRPr="005D6EBE" w:rsidRDefault="00657C50" w:rsidP="00615306">
      <w:r w:rsidRPr="005D6EBE">
        <w:t>Th</w:t>
      </w:r>
      <w:r w:rsidR="00D86572">
        <w:t>is</w:t>
      </w:r>
      <w:r w:rsidRPr="005D6EBE">
        <w:t xml:space="preserve"> </w:t>
      </w:r>
      <w:r w:rsidR="002853CA">
        <w:t>a</w:t>
      </w:r>
      <w:r w:rsidR="00DF0466">
        <w:t>ppendix</w:t>
      </w:r>
      <w:r w:rsidRPr="005D6EBE">
        <w:t xml:space="preserve"> provide</w:t>
      </w:r>
      <w:r w:rsidR="00DF0466">
        <w:t>s</w:t>
      </w:r>
      <w:r w:rsidRPr="005D6EBE">
        <w:t xml:space="preserve"> context for the </w:t>
      </w:r>
      <w:r w:rsidR="006E4AAD">
        <w:t>i</w:t>
      </w:r>
      <w:r w:rsidRPr="005D6EBE">
        <w:t xml:space="preserve">nterim </w:t>
      </w:r>
      <w:r w:rsidR="006E4AAD">
        <w:t>r</w:t>
      </w:r>
      <w:r w:rsidRPr="005D6EBE">
        <w:t>eport’s initial findings, helping to illuminate where our data analysis, research and insights on regional labour market</w:t>
      </w:r>
      <w:r w:rsidR="00182932" w:rsidRPr="005D6EBE">
        <w:t>s</w:t>
      </w:r>
      <w:r w:rsidRPr="005D6EBE">
        <w:t xml:space="preserve"> and skills system align with findings, recommended policy approaches or announced or implemented reforms. In so doing, it can also help identify residual challenges and opportunities for reform.</w:t>
      </w:r>
    </w:p>
    <w:p w14:paraId="6CA0C020" w14:textId="77777777" w:rsidR="00657C50" w:rsidRDefault="00657C50" w:rsidP="007E2211">
      <w:pPr>
        <w:pStyle w:val="Heading2noTOC"/>
      </w:pPr>
      <w:bookmarkStart w:id="97" w:name="_Toc171937453"/>
      <w:r w:rsidRPr="13498B6A">
        <w:t>Overview of regional skills system reform processes</w:t>
      </w:r>
      <w:bookmarkEnd w:id="97"/>
    </w:p>
    <w:p w14:paraId="6DF78B9A" w14:textId="77777777" w:rsidR="00657C50" w:rsidRPr="00925A18" w:rsidRDefault="00657C50" w:rsidP="00557C2D">
      <w:pPr>
        <w:pStyle w:val="Heading3"/>
      </w:pPr>
      <w:r w:rsidRPr="00925A18">
        <w:t>Higher Education</w:t>
      </w:r>
    </w:p>
    <w:p w14:paraId="4CB37613" w14:textId="77777777" w:rsidR="00657C50" w:rsidRPr="00E85C6C" w:rsidRDefault="00657C50" w:rsidP="00557C2D">
      <w:pPr>
        <w:pStyle w:val="Heading4"/>
      </w:pPr>
      <w:r w:rsidRPr="00E85C6C">
        <w:t>Halsey Review</w:t>
      </w:r>
    </w:p>
    <w:p w14:paraId="1BC59CBC" w14:textId="77777777" w:rsidR="00657C50" w:rsidRPr="005D6EBE" w:rsidRDefault="00657C50" w:rsidP="00615306">
      <w:r w:rsidRPr="005D6EBE">
        <w:t xml:space="preserve">In 2017, the Australian Government commissioned an Independent Review into Regional, Rural and Remote Education (‘Halsey Review’). In January 2018, Professor Halsey presented the final report to the Government. </w:t>
      </w:r>
    </w:p>
    <w:p w14:paraId="071A8602" w14:textId="77777777" w:rsidR="00657C50" w:rsidRPr="005D6EBE" w:rsidRDefault="00657C50" w:rsidP="00615306">
      <w:r w:rsidRPr="005D6EBE">
        <w:t>The review considered the key issues, challenges and barriers that impact on the learning outcomes of regional, rural and remote (‘regional’) students. Early childhood education was not covered under the Terms of Reference for the Review.</w:t>
      </w:r>
    </w:p>
    <w:p w14:paraId="1F93A690" w14:textId="77777777" w:rsidR="00657C50" w:rsidRPr="005D6EBE" w:rsidRDefault="00657C50" w:rsidP="00615306">
      <w:r w:rsidRPr="005D6EBE">
        <w:t>The review investigated:</w:t>
      </w:r>
    </w:p>
    <w:p w14:paraId="7E699FC0" w14:textId="77777777" w:rsidR="00657C50" w:rsidRPr="00E2594E" w:rsidRDefault="00657C50" w:rsidP="00557C2D">
      <w:pPr>
        <w:pStyle w:val="ListBullet"/>
      </w:pPr>
      <w:r w:rsidRPr="00E2594E">
        <w:t xml:space="preserve">the gap in educational achievement between regional and metropolitan students </w:t>
      </w:r>
    </w:p>
    <w:p w14:paraId="352286DB" w14:textId="77777777" w:rsidR="00657C50" w:rsidRPr="00E2594E" w:rsidRDefault="00657C50" w:rsidP="00557C2D">
      <w:pPr>
        <w:pStyle w:val="ListBullet"/>
      </w:pPr>
      <w:r w:rsidRPr="00E2594E">
        <w:t xml:space="preserve">the key barriers and challenges that impact on the educational outcomes of regional students, including aspirations and access issues </w:t>
      </w:r>
    </w:p>
    <w:p w14:paraId="089C4E03" w14:textId="77777777" w:rsidR="00657C50" w:rsidRPr="00E2594E" w:rsidRDefault="00657C50" w:rsidP="00557C2D">
      <w:pPr>
        <w:pStyle w:val="ListBullet"/>
      </w:pPr>
      <w:r w:rsidRPr="00E2594E">
        <w:t>the appropriateness and effectiveness of current modes of education delivered to these students, including the use of information and communications technology and the importance of face-to-face rural education provision</w:t>
      </w:r>
    </w:p>
    <w:p w14:paraId="6F698362" w14:textId="77777777" w:rsidR="00657C50" w:rsidRPr="00E2594E" w:rsidRDefault="00657C50" w:rsidP="00557C2D">
      <w:pPr>
        <w:pStyle w:val="ListBullet"/>
      </w:pPr>
      <w:r w:rsidRPr="00E2594E">
        <w:t>the effectiveness of public policies and programs that have been implemented to bridge the divide</w:t>
      </w:r>
    </w:p>
    <w:p w14:paraId="3DE22C94" w14:textId="77777777" w:rsidR="00657C50" w:rsidRPr="00E2594E" w:rsidRDefault="00657C50" w:rsidP="00557C2D">
      <w:pPr>
        <w:pStyle w:val="ListBullet"/>
      </w:pPr>
      <w:r w:rsidRPr="00E2594E">
        <w:t>the gaps and opportunities to help students successfully transition from school to further study, training and employment</w:t>
      </w:r>
    </w:p>
    <w:p w14:paraId="28D50BD9" w14:textId="77777777" w:rsidR="00657C50" w:rsidRPr="00E2594E" w:rsidRDefault="00657C50" w:rsidP="00557C2D">
      <w:pPr>
        <w:pStyle w:val="ListBullet"/>
      </w:pPr>
      <w:r w:rsidRPr="00E2594E">
        <w:t>innovative approaches that support regional students to succeed in school and in their transition to further study, training and employment.</w:t>
      </w:r>
    </w:p>
    <w:p w14:paraId="103454C2" w14:textId="02018007" w:rsidR="00657C50" w:rsidRPr="005D6EBE" w:rsidRDefault="00657C50" w:rsidP="007E2211">
      <w:pPr>
        <w:keepLines/>
      </w:pPr>
      <w:r w:rsidRPr="005D6EBE">
        <w:t xml:space="preserve">The Halsey Review made eleven recommendations </w:t>
      </w:r>
      <w:r w:rsidR="00E85C6C" w:rsidRPr="005D6EBE">
        <w:t>including</w:t>
      </w:r>
      <w:r w:rsidRPr="005D6EBE">
        <w:t xml:space="preserve"> establishing a national focus for regional, rural and remote education; enhancing leadership, teaching, curriculum and assessment; improving information and communications technology; and enhancing transitions into and out of school. </w:t>
      </w:r>
    </w:p>
    <w:p w14:paraId="42A4508C" w14:textId="77777777" w:rsidR="00657C50" w:rsidRPr="005D6EBE" w:rsidRDefault="00657C50" w:rsidP="00920F7F">
      <w:r w:rsidRPr="005D6EBE">
        <w:t>The Australian Government response accepted all recommendations of the Halsey Review. The response indicated the Australian Government would work to implement the recommendations in collaboration with the states and territories and other stakeholders, while seeking to build out a strong evidence base for ‘what works in supporting regional, rural and remote education and training’.</w:t>
      </w:r>
    </w:p>
    <w:p w14:paraId="34B2DBEF" w14:textId="77777777" w:rsidR="00657C50" w:rsidRPr="00E85C6C" w:rsidRDefault="00657C50" w:rsidP="00557C2D">
      <w:pPr>
        <w:pStyle w:val="Heading4"/>
      </w:pPr>
      <w:r w:rsidRPr="00E85C6C">
        <w:t>Napthine Review</w:t>
      </w:r>
    </w:p>
    <w:p w14:paraId="4CAC27D4" w14:textId="02719586" w:rsidR="00657C50" w:rsidRPr="005D6EBE" w:rsidRDefault="00657C50" w:rsidP="00920F7F">
      <w:r w:rsidRPr="005D6EBE">
        <w:t xml:space="preserve">On 12 November 2018, the Australian Government announced it would develop a National Regional, Rural and Remote Education Strategy to improve tertiary education participation and outcomes for regional, rural and remote students as part of a broader Regional Education package. The Strategy was intended to build on the Halsey Review and was led by a Regional Education Expert Advisory Group chaired by the Hon Denis Napthine, former Victorian Premier. </w:t>
      </w:r>
    </w:p>
    <w:p w14:paraId="0380DF37" w14:textId="77777777" w:rsidR="00657C50" w:rsidRPr="005D6EBE" w:rsidRDefault="00657C50" w:rsidP="00920F7F">
      <w:r w:rsidRPr="005D6EBE">
        <w:t>The Advisory Group delivered the National Regional, Rural and Remote Tertiary Education Strategy final report (Napthine Review) in June 2019, and it was released by the Government on 28 August 2019. On 19 June 2020, the Government announced a number of measures to support regional and remote tertiary education in response to the Napthine Review recommendations, including:</w:t>
      </w:r>
    </w:p>
    <w:p w14:paraId="01FFE360" w14:textId="434E1ADA" w:rsidR="00657C50" w:rsidRPr="002812CA" w:rsidRDefault="00657C50" w:rsidP="007E2211">
      <w:pPr>
        <w:pStyle w:val="ListBullet"/>
      </w:pPr>
      <w:r w:rsidRPr="002812CA">
        <w:t>A $5000 Tertiary Access Payment for regional students</w:t>
      </w:r>
    </w:p>
    <w:p w14:paraId="50C29BA9" w14:textId="2668E953" w:rsidR="00657C50" w:rsidRPr="002812CA" w:rsidRDefault="00657C50" w:rsidP="007E2211">
      <w:pPr>
        <w:pStyle w:val="ListBullet"/>
      </w:pPr>
      <w:r w:rsidRPr="002812CA">
        <w:t>An increase in Commonwealth Grant Scheme funding for regional university campuses</w:t>
      </w:r>
    </w:p>
    <w:p w14:paraId="54DA8EAB" w14:textId="21CBDD9C" w:rsidR="00657C50" w:rsidRPr="002812CA" w:rsidRDefault="00657C50" w:rsidP="007E2211">
      <w:pPr>
        <w:pStyle w:val="ListBullet"/>
      </w:pPr>
      <w:r w:rsidRPr="002812CA">
        <w:t>Establishing a Regional Education Commissioner</w:t>
      </w:r>
    </w:p>
    <w:p w14:paraId="5FA012A8" w14:textId="250175F3" w:rsidR="00657C50" w:rsidRPr="002812CA" w:rsidRDefault="00657C50" w:rsidP="007E2211">
      <w:pPr>
        <w:pStyle w:val="ListBullet"/>
      </w:pPr>
      <w:r w:rsidRPr="002812CA">
        <w:t>Strengthening and expanding the Regional University Centres program</w:t>
      </w:r>
    </w:p>
    <w:p w14:paraId="1AF89D63" w14:textId="71F77075" w:rsidR="00657C50" w:rsidRPr="002812CA" w:rsidRDefault="00657C50" w:rsidP="007E2211">
      <w:pPr>
        <w:pStyle w:val="ListBullet"/>
      </w:pPr>
      <w:r w:rsidRPr="002812CA">
        <w:t>Enabling Indigenous students from regional and remote areas to access demand-driven Commonwealth-supported university place</w:t>
      </w:r>
      <w:r w:rsidR="00D64E15" w:rsidRPr="002812CA">
        <w:t>s</w:t>
      </w:r>
    </w:p>
    <w:p w14:paraId="4EBA9716" w14:textId="32139B5E" w:rsidR="00657C50" w:rsidRPr="002812CA" w:rsidRDefault="00657C50" w:rsidP="007E2211">
      <w:pPr>
        <w:pStyle w:val="ListBullet"/>
      </w:pPr>
      <w:r w:rsidRPr="002812CA">
        <w:t>Enhancing the research capacity of regional universities</w:t>
      </w:r>
      <w:r w:rsidR="00D64E15" w:rsidRPr="002812CA">
        <w:t>,</w:t>
      </w:r>
      <w:r w:rsidRPr="002812CA">
        <w:t xml:space="preserve"> and</w:t>
      </w:r>
    </w:p>
    <w:p w14:paraId="674302B4" w14:textId="77777777" w:rsidR="00657C50" w:rsidRPr="002812CA" w:rsidRDefault="00657C50" w:rsidP="007E2211">
      <w:pPr>
        <w:pStyle w:val="ListBullet"/>
      </w:pPr>
      <w:r w:rsidRPr="002812CA">
        <w:t>Improving Fares Allowance to reduce the waiting time for first-year payment to support students to visit home during their mid-year break.</w:t>
      </w:r>
    </w:p>
    <w:p w14:paraId="10CB99D2" w14:textId="77777777" w:rsidR="00657C50" w:rsidRPr="005D6EBE" w:rsidRDefault="00657C50" w:rsidP="00557C2D">
      <w:pPr>
        <w:pStyle w:val="Heading4"/>
      </w:pPr>
      <w:r w:rsidRPr="005D6EBE">
        <w:t xml:space="preserve">Australian Universities Accord </w:t>
      </w:r>
    </w:p>
    <w:p w14:paraId="6DD8CC60" w14:textId="77777777" w:rsidR="00657C50" w:rsidRPr="005D6EBE" w:rsidRDefault="00657C50" w:rsidP="007F1D6B">
      <w:r w:rsidRPr="005D6EBE">
        <w:t>Following on from the Halsey and Napthine Reviews, the Government announced it would invest $2.7 million over two years from 2022–23 to deliver the Australian Universities Accord through a 12-month review of Australia’s higher education system, led by a Panel of eminent Australians. The objective of the Accord was to devise recommendations and performance targets to improve the quality, accessibility, affordability and sustainability of higher education.</w:t>
      </w:r>
    </w:p>
    <w:p w14:paraId="31257CD5" w14:textId="77777777" w:rsidR="00657C50" w:rsidRPr="005D6EBE" w:rsidRDefault="00657C50" w:rsidP="007F1D6B">
      <w:r w:rsidRPr="005D6EBE">
        <w:t>On 19 July 2023, the Minister for Education released the Accord Interim Report, which outlined five recommendations for priority action.</w:t>
      </w:r>
    </w:p>
    <w:p w14:paraId="0632B7E5" w14:textId="77777777" w:rsidR="00657C50" w:rsidRPr="005D6EBE" w:rsidRDefault="00657C50" w:rsidP="007F1D6B">
      <w:r w:rsidRPr="005D6EBE">
        <w:t xml:space="preserve">Those priority actions included a recommendation to extend the Regional University Centres (RUCs) program. In response, the Government announced $66.9 million to establish up to 20 new Regional University Study Hubs and up to 14 Suburban University Study Hubs in outer metropolitan and peri-urban areas with low levels of university attainment and limited access to a significant physical university campus. </w:t>
      </w:r>
    </w:p>
    <w:p w14:paraId="62C58EBA" w14:textId="76F5AFB8" w:rsidR="00657C50" w:rsidRPr="007F1D6B" w:rsidRDefault="00657C50" w:rsidP="007E2211">
      <w:pPr>
        <w:pStyle w:val="ListBullet"/>
      </w:pPr>
      <w:r w:rsidRPr="007F1D6B">
        <w:t xml:space="preserve">A </w:t>
      </w:r>
      <w:r w:rsidR="00A82E88" w:rsidRPr="007F1D6B">
        <w:t>c</w:t>
      </w:r>
      <w:r w:rsidRPr="007F1D6B">
        <w:t xml:space="preserve">onsultation </w:t>
      </w:r>
      <w:r w:rsidR="008C2A46" w:rsidRPr="007F1D6B">
        <w:t>p</w:t>
      </w:r>
      <w:r w:rsidRPr="007F1D6B">
        <w:t>aper was developed to seek input on the design and implementation of the Suburban Hubs program, and on 25 March 2024 the Government announced the location of the first 10 of those 20 new Regional University Study Hubs.</w:t>
      </w:r>
    </w:p>
    <w:p w14:paraId="50015ACC" w14:textId="77777777" w:rsidR="00657C50" w:rsidRPr="005D6EBE" w:rsidRDefault="00657C50" w:rsidP="007F1D6B">
      <w:r w:rsidRPr="005D6EBE">
        <w:t xml:space="preserve">Another priority action was to ensure that all First Nations students are eligible for a funded place at university, by extending demand driven funding to metropolitan First Nations students, building on the guaranteed funding for First Nations students from regional, rural and remote areas introduced in 2021 following the Napthine Review. </w:t>
      </w:r>
    </w:p>
    <w:p w14:paraId="5F052D28" w14:textId="3529BAD7" w:rsidR="00657C50" w:rsidRPr="005D6EBE" w:rsidRDefault="00657C50" w:rsidP="007F1D6B">
      <w:r w:rsidRPr="005D6EBE">
        <w:t xml:space="preserve">On 25 February 2024, Minister Clare released the Universities Accord Final Report, containing 47 recommendations, including a number with regional implications, that built on the priority actions, recommendations and insights from the </w:t>
      </w:r>
      <w:r w:rsidR="00CC7901">
        <w:t>i</w:t>
      </w:r>
      <w:r w:rsidRPr="005D6EBE">
        <w:t xml:space="preserve">nterim </w:t>
      </w:r>
      <w:r w:rsidR="00CC7901">
        <w:t>r</w:t>
      </w:r>
      <w:r w:rsidRPr="005D6EBE">
        <w:t>eport.</w:t>
      </w:r>
    </w:p>
    <w:p w14:paraId="64A24AB2" w14:textId="77777777" w:rsidR="00657C50" w:rsidRPr="005D6EBE" w:rsidRDefault="00657C50" w:rsidP="007F1D6B">
      <w:r w:rsidRPr="005D6EBE">
        <w:t xml:space="preserve">The Accord Final Report proposed a new needs-based funding model, concluding that this would be ‘a game-changer’ for regional higher education providers by better reflecting the increased costs of educating students in the regions. </w:t>
      </w:r>
    </w:p>
    <w:p w14:paraId="41186F79" w14:textId="77777777" w:rsidR="00657C50" w:rsidRPr="007F1D6B" w:rsidRDefault="00657C50" w:rsidP="007E2211">
      <w:pPr>
        <w:pStyle w:val="ListBullet"/>
      </w:pPr>
      <w:r w:rsidRPr="007F1D6B">
        <w:t xml:space="preserve">The proposed funding model includes a needs-based system that covers the costs of providing courses, taking into account the higher costs of educating equity groups and providing regional education. </w:t>
      </w:r>
    </w:p>
    <w:p w14:paraId="61794282" w14:textId="77777777" w:rsidR="00657C50" w:rsidRPr="007F1D6B" w:rsidRDefault="00657C50" w:rsidP="007E2211">
      <w:pPr>
        <w:pStyle w:val="ListBullet"/>
      </w:pPr>
      <w:r w:rsidRPr="007F1D6B">
        <w:t>The new funding model would include a significant increase to fee-free preparatory places and publicly funded higher education places, including at TAFEs. It would appropriately price the cost of teaching in different disciplines, increasing where necessary government contributions for disciplines in science, technology, engineering and mathematics, and, when student contributions are included, fully fund the cost of teaching.</w:t>
      </w:r>
    </w:p>
    <w:p w14:paraId="03F94EFF" w14:textId="77777777" w:rsidR="00657C50" w:rsidRPr="005D6EBE" w:rsidRDefault="00657C50" w:rsidP="007F1D6B">
      <w:r w:rsidRPr="13498B6A">
        <w:rPr>
          <w:rFonts w:eastAsia="Arial"/>
        </w:rPr>
        <w:t xml:space="preserve">Other </w:t>
      </w:r>
      <w:r w:rsidRPr="005D6EBE">
        <w:t>Accord recommended measures to deliver for the regions, include:</w:t>
      </w:r>
    </w:p>
    <w:p w14:paraId="0E5830FB" w14:textId="77777777" w:rsidR="00657C50" w:rsidRPr="007F1D6B" w:rsidRDefault="00657C50" w:rsidP="007E2211">
      <w:pPr>
        <w:pStyle w:val="ListBullet"/>
      </w:pPr>
      <w:r w:rsidRPr="007F1D6B">
        <w:t>Significantly increasing the number of Commonwealth supported medical places allocated to regionally based end-to-end medical schools.</w:t>
      </w:r>
    </w:p>
    <w:p w14:paraId="685BC454" w14:textId="77777777" w:rsidR="00657C50" w:rsidRPr="007F1D6B" w:rsidRDefault="00657C50" w:rsidP="007E2211">
      <w:pPr>
        <w:pStyle w:val="ListBullet"/>
      </w:pPr>
      <w:r w:rsidRPr="007F1D6B">
        <w:t>Examining further opportunities to strengthen regional tertiary education, including the potential creation of a National Regional University and a more integrated tertiary education system in regional Australia.</w:t>
      </w:r>
    </w:p>
    <w:p w14:paraId="2387BEBB" w14:textId="77777777" w:rsidR="00657C50" w:rsidRPr="007F1D6B" w:rsidRDefault="00657C50" w:rsidP="007E2211">
      <w:pPr>
        <w:pStyle w:val="ListBullet"/>
      </w:pPr>
      <w:r w:rsidRPr="007F1D6B">
        <w:t xml:space="preserve">Adjusting current arrangements to prevent cost-of-living pressures deterring students from studying, noting that students from certain equity groups, including regional, rural and remote students, are more likely to report financial difficulties as a reason they consider leaving university early. </w:t>
      </w:r>
    </w:p>
    <w:p w14:paraId="29ACDB36" w14:textId="77777777" w:rsidR="00657C50" w:rsidRPr="007F1D6B" w:rsidRDefault="00657C50" w:rsidP="007E2211">
      <w:pPr>
        <w:pStyle w:val="ListBullet"/>
      </w:pPr>
      <w:r w:rsidRPr="007F1D6B">
        <w:t xml:space="preserve">Designing higher quality tertiary courses linked to Australia’s skilled migration needs and encouraging international students to study in regional locations.  </w:t>
      </w:r>
    </w:p>
    <w:p w14:paraId="676260D6" w14:textId="63F2B1EA" w:rsidR="00657C50" w:rsidRPr="005D6EBE" w:rsidRDefault="00657C50" w:rsidP="007F1D6B">
      <w:r w:rsidRPr="005D6EBE">
        <w:t>As part of the 2024</w:t>
      </w:r>
      <w:r w:rsidR="007D1B04">
        <w:t>–</w:t>
      </w:r>
      <w:r w:rsidRPr="005D6EBE">
        <w:t xml:space="preserve">25 Budget, the Government is responding to 29 of the 47 Accord recommendations in full or in part. This includes cost of living relief for students, support for people from the outer suburbs and regions to go to university and structural reforms to the tertiary education system, including needs-based funding. As of June 2024, the Department of Education Australian Universities Accord website </w:t>
      </w:r>
      <w:hyperlink r:id="rId154">
        <w:r w:rsidRPr="00A42574">
          <w:t>advised</w:t>
        </w:r>
      </w:hyperlink>
      <w:r w:rsidRPr="005D6EBE">
        <w:t xml:space="preserve"> a consultation paper on needs-based funding was being developed.</w:t>
      </w:r>
    </w:p>
    <w:p w14:paraId="4429D0C0" w14:textId="77777777" w:rsidR="00657C50" w:rsidRPr="00925A18" w:rsidRDefault="00657C50" w:rsidP="00557C2D">
      <w:pPr>
        <w:pStyle w:val="Heading3"/>
      </w:pPr>
      <w:r w:rsidRPr="00925A18">
        <w:t>Vocational Education and Training (VET)</w:t>
      </w:r>
    </w:p>
    <w:p w14:paraId="133A3BE1" w14:textId="77777777" w:rsidR="00657C50" w:rsidRPr="008E6517" w:rsidRDefault="00657C50" w:rsidP="007E2211">
      <w:pPr>
        <w:pStyle w:val="Heading4"/>
        <w:keepNext/>
      </w:pPr>
      <w:r w:rsidRPr="008E6517">
        <w:t>National Skills Agreement</w:t>
      </w:r>
    </w:p>
    <w:p w14:paraId="3C17F052" w14:textId="77777777" w:rsidR="00657C50" w:rsidRPr="00DF0466" w:rsidRDefault="00657C50" w:rsidP="007E2211">
      <w:pPr>
        <w:keepLines/>
      </w:pPr>
      <w:r w:rsidRPr="00DF0466">
        <w:rPr>
          <w:rFonts w:eastAsia="Arial"/>
        </w:rPr>
        <w:t xml:space="preserve">The </w:t>
      </w:r>
      <w:hyperlink r:id="rId155">
        <w:r w:rsidRPr="00DF0466">
          <w:rPr>
            <w:rStyle w:val="Hyperlink"/>
            <w:rFonts w:asciiTheme="minorHAnsi" w:eastAsia="Arial" w:hAnsiTheme="minorHAnsi" w:cstheme="minorHAnsi"/>
            <w:color w:val="013D74"/>
          </w:rPr>
          <w:t>National Skills Agreement</w:t>
        </w:r>
      </w:hyperlink>
      <w:r w:rsidRPr="00DF0466">
        <w:rPr>
          <w:rFonts w:eastAsia="Arial"/>
        </w:rPr>
        <w:t xml:space="preserve"> (NSA) is </w:t>
      </w:r>
      <w:r w:rsidRPr="00DF0466">
        <w:t>a 5-year joint agreement between the Commonwealth, states and territories, to strengthen the vocational education and training (VET) sector. It was endorsed by National Cabinet on 16 October 2023 and commenced from 1 January 2024. The NSA provides states and territories with access to additional Commonwealth funds of up to $3.7 billion over 5 years.</w:t>
      </w:r>
      <w:r w:rsidRPr="00DF0466">
        <w:rPr>
          <w:rFonts w:eastAsia="Arial"/>
        </w:rPr>
        <w:t xml:space="preserve"> </w:t>
      </w:r>
    </w:p>
    <w:p w14:paraId="7D6B3B7F" w14:textId="77777777" w:rsidR="00657C50" w:rsidRPr="00DF0466" w:rsidRDefault="00657C50" w:rsidP="007F1D6B">
      <w:pPr>
        <w:rPr>
          <w:rFonts w:asciiTheme="minorHAnsi" w:hAnsiTheme="minorHAnsi" w:cstheme="minorHAnsi"/>
          <w:kern w:val="2"/>
          <w14:ligatures w14:val="standardContextual"/>
        </w:rPr>
      </w:pPr>
      <w:r w:rsidRPr="00DF0466">
        <w:rPr>
          <w:rFonts w:asciiTheme="minorHAnsi" w:eastAsia="Arial" w:hAnsiTheme="minorHAnsi" w:cstheme="minorHAnsi"/>
        </w:rPr>
        <w:t xml:space="preserve">The agreed </w:t>
      </w:r>
      <w:hyperlink r:id="rId156">
        <w:r w:rsidRPr="00DF0466">
          <w:rPr>
            <w:rStyle w:val="Hyperlink"/>
            <w:rFonts w:asciiTheme="minorHAnsi" w:eastAsia="Arial" w:hAnsiTheme="minorHAnsi" w:cstheme="minorHAnsi"/>
            <w:color w:val="013D74"/>
          </w:rPr>
          <w:t>vision and principles</w:t>
        </w:r>
      </w:hyperlink>
      <w:r w:rsidRPr="00DF0466">
        <w:rPr>
          <w:rFonts w:asciiTheme="minorHAnsi" w:eastAsia="Arial" w:hAnsiTheme="minorHAnsi" w:cstheme="minorHAnsi"/>
        </w:rPr>
        <w:t xml:space="preserve"> for the </w:t>
      </w:r>
      <w:r w:rsidRPr="00DF0466">
        <w:rPr>
          <w:rFonts w:asciiTheme="minorHAnsi" w:hAnsiTheme="minorHAnsi" w:cstheme="minorHAnsi"/>
          <w:kern w:val="2"/>
          <w14:ligatures w14:val="standardContextual"/>
        </w:rPr>
        <w:t>NSA include that it:</w:t>
      </w:r>
    </w:p>
    <w:p w14:paraId="15D682CE" w14:textId="4A126ADF" w:rsidR="00657C50" w:rsidRPr="007F1D6B" w:rsidRDefault="00657C50" w:rsidP="007E2211">
      <w:pPr>
        <w:pStyle w:val="ListBullet"/>
      </w:pPr>
      <w:r w:rsidRPr="007F1D6B">
        <w:t>provides critical and emerging industries at a national, state and local level with the skilled workers they need and secures a domestic workforce to deliver on current and future priorities</w:t>
      </w:r>
      <w:r w:rsidR="00835E8E" w:rsidRPr="007F1D6B">
        <w:t>.</w:t>
      </w:r>
    </w:p>
    <w:p w14:paraId="6164E27D" w14:textId="3F9ABEAF" w:rsidR="00657C50" w:rsidRPr="007F1D6B" w:rsidRDefault="00657C50" w:rsidP="007E2211">
      <w:pPr>
        <w:pStyle w:val="ListBullet"/>
      </w:pPr>
      <w:r w:rsidRPr="007F1D6B">
        <w:t>ensures all Australians – particularly regional and remote learners and those from other designated groups have access to the education, training and support needed to obtain well-paid, secure jobs</w:t>
      </w:r>
      <w:r w:rsidR="00835E8E" w:rsidRPr="007F1D6B">
        <w:t>.</w:t>
      </w:r>
      <w:r w:rsidRPr="007F1D6B">
        <w:t xml:space="preserve"> </w:t>
      </w:r>
    </w:p>
    <w:p w14:paraId="7651C473" w14:textId="77777777" w:rsidR="00657C50" w:rsidRPr="007F1D6B" w:rsidRDefault="00657C50" w:rsidP="007E2211">
      <w:pPr>
        <w:pStyle w:val="ListBullet"/>
      </w:pPr>
      <w:r w:rsidRPr="007F1D6B">
        <w:t>supports informed decision-making for students, workers, employers and governments through skills and labour market analysis informed by JSA, access to relevant career information and improved transparency.</w:t>
      </w:r>
    </w:p>
    <w:p w14:paraId="39EA7753" w14:textId="0CD44D7B" w:rsidR="00657C50" w:rsidRPr="00DF0466" w:rsidRDefault="00657C50" w:rsidP="007F1D6B">
      <w:r w:rsidRPr="00DF0466">
        <w:t>The NSA aims to improve accessibility to education and training, including for regional, rural and remote students, through funding hundreds of thousands of fee-free TAFE and VET places.  Under</w:t>
      </w:r>
      <w:r w:rsidRPr="00DF0466">
        <w:rPr>
          <w:rFonts w:eastAsia="Arial"/>
        </w:rPr>
        <w:t xml:space="preserve"> the </w:t>
      </w:r>
      <w:hyperlink r:id="rId157">
        <w:r w:rsidRPr="00DF0466">
          <w:rPr>
            <w:rStyle w:val="Hyperlink"/>
            <w:rFonts w:asciiTheme="minorHAnsi" w:eastAsia="Arial" w:hAnsiTheme="minorHAnsi" w:cstheme="minorHAnsi"/>
            <w:color w:val="013D74"/>
          </w:rPr>
          <w:t>Fee-Free TAFE Skills Agreement</w:t>
        </w:r>
      </w:hyperlink>
      <w:r w:rsidRPr="00DF0466">
        <w:rPr>
          <w:rFonts w:eastAsia="Arial"/>
        </w:rPr>
        <w:t xml:space="preserve">, </w:t>
      </w:r>
      <w:r w:rsidRPr="00DF0466">
        <w:t>the Australian Government has partnered with states and territories to deliver over $1.5 billion funding for 500,000 Fee-Free TAFE and VET places across Australia over 2023 to 2026.</w:t>
      </w:r>
    </w:p>
    <w:p w14:paraId="72F07541" w14:textId="77777777" w:rsidR="00657C50" w:rsidRDefault="00657C50" w:rsidP="007F1D6B">
      <w:r w:rsidRPr="00DF0466">
        <w:t>The Fee-Free TAFE Skills Agreement sets out training places across a number of areas of national priority, including several key employing sectors in shortage in much of regional Australia such as care (including aged care, health care and disability care, and early childhood education and care) and construction.</w:t>
      </w:r>
    </w:p>
    <w:p w14:paraId="7D7D0AF3" w14:textId="3EDB4697" w:rsidR="00F13F5A" w:rsidRPr="008E6517" w:rsidRDefault="00F13F5A" w:rsidP="00557C2D">
      <w:pPr>
        <w:pStyle w:val="Heading4"/>
      </w:pPr>
      <w:r>
        <w:t>Australian Government Reforms</w:t>
      </w:r>
    </w:p>
    <w:p w14:paraId="229116EA" w14:textId="14D7EAED" w:rsidR="00305479" w:rsidRPr="00B76D5C" w:rsidRDefault="00D73E8B" w:rsidP="00305479">
      <w:pPr>
        <w:rPr>
          <w:rFonts w:asciiTheme="minorHAnsi" w:eastAsia="Arial" w:hAnsiTheme="minorHAnsi" w:cstheme="minorHAnsi"/>
        </w:rPr>
      </w:pPr>
      <w:hyperlink r:id="rId158" w:history="1">
        <w:r w:rsidR="001708F9" w:rsidRPr="00185607">
          <w:rPr>
            <w:rStyle w:val="Hyperlink"/>
            <w:rFonts w:asciiTheme="minorHAnsi" w:eastAsia="Arial" w:hAnsiTheme="minorHAnsi" w:cstheme="minorHAnsi"/>
          </w:rPr>
          <w:t>House of Representatives Inquiry int</w:t>
        </w:r>
        <w:r w:rsidR="00185607" w:rsidRPr="00185607">
          <w:rPr>
            <w:rStyle w:val="Hyperlink"/>
            <w:rFonts w:asciiTheme="minorHAnsi" w:eastAsia="Arial" w:hAnsiTheme="minorHAnsi" w:cstheme="minorHAnsi"/>
          </w:rPr>
          <w:t>o the Perceptions and Status of VET</w:t>
        </w:r>
      </w:hyperlink>
    </w:p>
    <w:p w14:paraId="7087DFCA" w14:textId="712F061F" w:rsidR="0080552D" w:rsidRDefault="00305479" w:rsidP="003A0A00">
      <w:r w:rsidRPr="00B76D5C">
        <w:t>T</w:t>
      </w:r>
      <w:r w:rsidR="0027662B">
        <w:t>h</w:t>
      </w:r>
      <w:r w:rsidR="003F0783">
        <w:t>e focus of this</w:t>
      </w:r>
      <w:r w:rsidR="0027662B">
        <w:t xml:space="preserve"> inquiry </w:t>
      </w:r>
      <w:r w:rsidR="00E31EE1">
        <w:t>was</w:t>
      </w:r>
      <w:r w:rsidR="0027662B">
        <w:t xml:space="preserve"> </w:t>
      </w:r>
      <w:r w:rsidR="00CD1E97">
        <w:t xml:space="preserve">how perceptions and status of VET </w:t>
      </w:r>
      <w:r w:rsidR="00D738E3">
        <w:t>impact</w:t>
      </w:r>
      <w:r w:rsidR="00524448">
        <w:t>:</w:t>
      </w:r>
      <w:r w:rsidR="00D738E3">
        <w:t xml:space="preserve"> </w:t>
      </w:r>
      <w:r w:rsidR="00600CA6" w:rsidRPr="00600CA6">
        <w:t>education and training choices of students, particularly those who lack the necessary foundation skills, or experience other disadvantages; and</w:t>
      </w:r>
      <w:r w:rsidR="00306015">
        <w:t xml:space="preserve"> </w:t>
      </w:r>
      <w:r w:rsidR="00600CA6" w:rsidRPr="00600CA6">
        <w:t>employer views and practices in relation to engagement with VET.</w:t>
      </w:r>
      <w:r w:rsidR="00524448">
        <w:t xml:space="preserve"> </w:t>
      </w:r>
      <w:r w:rsidR="00EC3533">
        <w:t xml:space="preserve">One hundred submissions were </w:t>
      </w:r>
      <w:r w:rsidR="002F3304">
        <w:t>received,</w:t>
      </w:r>
      <w:r w:rsidR="00EC3533">
        <w:t xml:space="preserve"> </w:t>
      </w:r>
      <w:r w:rsidR="00DC1DF7">
        <w:t xml:space="preserve">and fifteen </w:t>
      </w:r>
      <w:r w:rsidR="00BD5777">
        <w:t>public hearings</w:t>
      </w:r>
      <w:r w:rsidR="003E7BB6">
        <w:t xml:space="preserve"> </w:t>
      </w:r>
      <w:r w:rsidR="00E31EE1">
        <w:t>held</w:t>
      </w:r>
      <w:r w:rsidR="00016FF3">
        <w:t>, which</w:t>
      </w:r>
      <w:r w:rsidR="00E31EE1">
        <w:t xml:space="preserve"> inform</w:t>
      </w:r>
      <w:r w:rsidR="00016FF3">
        <w:t>ed</w:t>
      </w:r>
      <w:r w:rsidR="00E31EE1">
        <w:t xml:space="preserve"> a February 2024 report </w:t>
      </w:r>
      <w:r w:rsidR="00016FF3">
        <w:t xml:space="preserve">by the Committee </w:t>
      </w:r>
      <w:r w:rsidR="0080552D">
        <w:t>with 34 recommendations.</w:t>
      </w:r>
    </w:p>
    <w:p w14:paraId="7C1E660B" w14:textId="5C94A47E" w:rsidR="00F13F5A" w:rsidRDefault="00D73E8B" w:rsidP="003D070F">
      <w:pPr>
        <w:rPr>
          <w:rFonts w:asciiTheme="minorHAnsi" w:eastAsia="Arial" w:hAnsiTheme="minorHAnsi" w:cstheme="minorHAnsi"/>
        </w:rPr>
      </w:pPr>
      <w:hyperlink r:id="rId159" w:history="1">
        <w:r w:rsidR="00523FB5" w:rsidRPr="002F3304">
          <w:rPr>
            <w:rStyle w:val="Hyperlink"/>
            <w:rFonts w:asciiTheme="minorHAnsi" w:eastAsia="Arial" w:hAnsiTheme="minorHAnsi" w:cstheme="minorHAnsi"/>
          </w:rPr>
          <w:t xml:space="preserve">Strategic Review of the Australian </w:t>
        </w:r>
        <w:r w:rsidR="002F3304" w:rsidRPr="002F3304">
          <w:rPr>
            <w:rStyle w:val="Hyperlink"/>
            <w:rFonts w:asciiTheme="minorHAnsi" w:eastAsia="Arial" w:hAnsiTheme="minorHAnsi" w:cstheme="minorHAnsi"/>
          </w:rPr>
          <w:t>Apprenticeships Incentive System</w:t>
        </w:r>
        <w:r w:rsidR="0080552D" w:rsidRPr="002F3304">
          <w:rPr>
            <w:rStyle w:val="Hyperlink"/>
            <w:rFonts w:asciiTheme="minorHAnsi" w:eastAsia="Arial" w:hAnsiTheme="minorHAnsi" w:cstheme="minorHAnsi"/>
          </w:rPr>
          <w:t xml:space="preserve"> </w:t>
        </w:r>
        <w:r w:rsidR="003E7BB6" w:rsidRPr="002F3304">
          <w:rPr>
            <w:rStyle w:val="Hyperlink"/>
            <w:rFonts w:asciiTheme="minorHAnsi" w:eastAsia="Arial" w:hAnsiTheme="minorHAnsi" w:cstheme="minorHAnsi"/>
          </w:rPr>
          <w:t xml:space="preserve"> </w:t>
        </w:r>
      </w:hyperlink>
      <w:r w:rsidR="00BD5777">
        <w:rPr>
          <w:rFonts w:asciiTheme="minorHAnsi" w:eastAsia="Arial" w:hAnsiTheme="minorHAnsi" w:cstheme="minorHAnsi"/>
        </w:rPr>
        <w:t xml:space="preserve"> </w:t>
      </w:r>
    </w:p>
    <w:p w14:paraId="1A3BA237" w14:textId="420C0C84" w:rsidR="002825AF" w:rsidRPr="003A0A00" w:rsidRDefault="00014B79" w:rsidP="003A0A00">
      <w:pPr>
        <w:rPr>
          <w:lang w:eastAsia="en-AU"/>
        </w:rPr>
      </w:pPr>
      <w:r w:rsidRPr="00460605">
        <w:t>On 19 February 2024, the Minister for Skills and Training, the Hon Brendan O’Connor MP, announced the establishment of the Strategic Review of the Australian Apprenticeships Incentive System (the review). The review is being led by the Honourable Iain Ross AO and Ms Lisa Paul AO PSM.</w:t>
      </w:r>
      <w:r w:rsidR="002825AF" w:rsidRPr="00460605">
        <w:t xml:space="preserve"> </w:t>
      </w:r>
      <w:r w:rsidR="002D23C9" w:rsidRPr="003A0A00">
        <w:rPr>
          <w:rFonts w:eastAsia="Calibri"/>
        </w:rPr>
        <w:t>In establishing the review, the Minister acknowledged the importance of apprentices and trainees in helping meet current and emerging skills challenge</w:t>
      </w:r>
      <w:r w:rsidR="00D04242" w:rsidRPr="003A0A00">
        <w:rPr>
          <w:rFonts w:eastAsia="Calibri"/>
        </w:rPr>
        <w:t xml:space="preserve">s </w:t>
      </w:r>
      <w:r w:rsidR="002D23C9" w:rsidRPr="003A0A00">
        <w:rPr>
          <w:rFonts w:eastAsia="Calibri"/>
        </w:rPr>
        <w:t>and supporting the transition to a net zero economy.</w:t>
      </w:r>
      <w:r w:rsidR="00D04242" w:rsidRPr="003A0A00">
        <w:rPr>
          <w:rFonts w:eastAsia="Calibri"/>
        </w:rPr>
        <w:t xml:space="preserve"> </w:t>
      </w:r>
      <w:r w:rsidR="002825AF" w:rsidRPr="00460605">
        <w:t>The review aims to inform future policy development for the apprenticeships system, through evidence-based research</w:t>
      </w:r>
      <w:r w:rsidR="00123087" w:rsidRPr="00460605">
        <w:t xml:space="preserve">, with a </w:t>
      </w:r>
      <w:hyperlink r:id="rId160" w:history="1">
        <w:r w:rsidR="00123087" w:rsidRPr="00460605">
          <w:rPr>
            <w:rStyle w:val="Hyperlink"/>
            <w:rFonts w:asciiTheme="minorHAnsi" w:eastAsia="Arial" w:hAnsiTheme="minorHAnsi" w:cstheme="minorHAnsi"/>
          </w:rPr>
          <w:t>Background Paper</w:t>
        </w:r>
      </w:hyperlink>
      <w:r w:rsidR="00123087" w:rsidRPr="00460605">
        <w:t xml:space="preserve"> released in June 2024.</w:t>
      </w:r>
    </w:p>
    <w:p w14:paraId="0DCF311B" w14:textId="11D6C4CD" w:rsidR="00657C50" w:rsidRPr="007D72B4" w:rsidRDefault="00FC7A5E" w:rsidP="007E2211">
      <w:pPr>
        <w:pStyle w:val="Heading4"/>
        <w:keepNext/>
      </w:pPr>
      <w:r w:rsidRPr="007D72B4">
        <w:t>State Government</w:t>
      </w:r>
      <w:r w:rsidR="00BA0B68" w:rsidRPr="007D72B4">
        <w:t xml:space="preserve"> Reforms</w:t>
      </w:r>
    </w:p>
    <w:p w14:paraId="177B268B" w14:textId="6DFC1953" w:rsidR="00D16C5E" w:rsidRPr="00B76D5C" w:rsidRDefault="00E16B87" w:rsidP="00032CBD">
      <w:pPr>
        <w:rPr>
          <w:rFonts w:asciiTheme="minorHAnsi" w:eastAsia="Arial" w:hAnsiTheme="minorHAnsi" w:cstheme="minorHAnsi"/>
        </w:rPr>
      </w:pPr>
      <w:r w:rsidRPr="00B76D5C">
        <w:t xml:space="preserve">A number of State </w:t>
      </w:r>
      <w:r w:rsidR="00CB45E3" w:rsidRPr="00B76D5C">
        <w:rPr>
          <w:rFonts w:asciiTheme="minorHAnsi" w:eastAsia="Arial" w:hAnsiTheme="minorHAnsi" w:cstheme="minorHAnsi"/>
        </w:rPr>
        <w:t xml:space="preserve">Governments have recently announced </w:t>
      </w:r>
      <w:r w:rsidR="008C3C02" w:rsidRPr="00B76D5C">
        <w:rPr>
          <w:rFonts w:asciiTheme="minorHAnsi" w:eastAsia="Arial" w:hAnsiTheme="minorHAnsi" w:cstheme="minorHAnsi"/>
        </w:rPr>
        <w:t xml:space="preserve">reviews and </w:t>
      </w:r>
      <w:r w:rsidR="00F06BB3" w:rsidRPr="00B76D5C">
        <w:rPr>
          <w:rFonts w:asciiTheme="minorHAnsi" w:eastAsia="Arial" w:hAnsiTheme="minorHAnsi" w:cstheme="minorHAnsi"/>
        </w:rPr>
        <w:t>reform</w:t>
      </w:r>
      <w:r w:rsidR="0077729B">
        <w:rPr>
          <w:rFonts w:asciiTheme="minorHAnsi" w:eastAsia="Arial" w:hAnsiTheme="minorHAnsi" w:cstheme="minorHAnsi"/>
        </w:rPr>
        <w:t xml:space="preserve"> plans</w:t>
      </w:r>
      <w:r w:rsidR="00890E65" w:rsidRPr="00B76D5C">
        <w:rPr>
          <w:rFonts w:asciiTheme="minorHAnsi" w:eastAsia="Arial" w:hAnsiTheme="minorHAnsi" w:cstheme="minorHAnsi"/>
        </w:rPr>
        <w:t xml:space="preserve"> </w:t>
      </w:r>
      <w:r w:rsidR="002C7BFB" w:rsidRPr="00B76D5C">
        <w:rPr>
          <w:rFonts w:asciiTheme="minorHAnsi" w:eastAsia="Arial" w:hAnsiTheme="minorHAnsi" w:cstheme="minorHAnsi"/>
        </w:rPr>
        <w:t xml:space="preserve">relating </w:t>
      </w:r>
      <w:r w:rsidR="008E2E2E" w:rsidRPr="00B76D5C">
        <w:rPr>
          <w:rFonts w:asciiTheme="minorHAnsi" w:eastAsia="Arial" w:hAnsiTheme="minorHAnsi" w:cstheme="minorHAnsi"/>
        </w:rPr>
        <w:t>to Vocatio</w:t>
      </w:r>
      <w:r w:rsidR="008C3C02" w:rsidRPr="00B76D5C">
        <w:rPr>
          <w:rFonts w:asciiTheme="minorHAnsi" w:eastAsia="Arial" w:hAnsiTheme="minorHAnsi" w:cstheme="minorHAnsi"/>
        </w:rPr>
        <w:t>nal Education and Training</w:t>
      </w:r>
      <w:r w:rsidR="00890E65" w:rsidRPr="00B76D5C">
        <w:rPr>
          <w:rFonts w:asciiTheme="minorHAnsi" w:eastAsia="Arial" w:hAnsiTheme="minorHAnsi" w:cstheme="minorHAnsi"/>
        </w:rPr>
        <w:t xml:space="preserve"> </w:t>
      </w:r>
      <w:r w:rsidR="0077729B">
        <w:rPr>
          <w:rFonts w:asciiTheme="minorHAnsi" w:eastAsia="Arial" w:hAnsiTheme="minorHAnsi" w:cstheme="minorHAnsi"/>
        </w:rPr>
        <w:t>and Skills</w:t>
      </w:r>
      <w:r w:rsidR="00EC08FE">
        <w:rPr>
          <w:rFonts w:asciiTheme="minorHAnsi" w:eastAsia="Arial" w:hAnsiTheme="minorHAnsi" w:cstheme="minorHAnsi"/>
        </w:rPr>
        <w:t xml:space="preserve"> within their jurisdictions.</w:t>
      </w:r>
    </w:p>
    <w:p w14:paraId="19094D52" w14:textId="5A42A387" w:rsidR="00D16C5E" w:rsidRPr="00B76D5C" w:rsidRDefault="00D73E8B" w:rsidP="00CA433F">
      <w:pPr>
        <w:rPr>
          <w:rFonts w:asciiTheme="minorHAnsi" w:eastAsia="Arial" w:hAnsiTheme="minorHAnsi" w:cstheme="minorHAnsi"/>
        </w:rPr>
      </w:pPr>
      <w:hyperlink r:id="rId161">
        <w:r w:rsidR="00536F0A">
          <w:rPr>
            <w:rStyle w:val="Hyperlink"/>
            <w:rFonts w:asciiTheme="minorHAnsi" w:eastAsia="Arial" w:hAnsiTheme="minorHAnsi" w:cstheme="minorHAnsi"/>
            <w:color w:val="013D74"/>
          </w:rPr>
          <w:t>NSW VET Review</w:t>
        </w:r>
      </w:hyperlink>
      <w:r w:rsidR="00657C50" w:rsidRPr="00B76D5C">
        <w:rPr>
          <w:rFonts w:asciiTheme="minorHAnsi" w:eastAsia="Arial" w:hAnsiTheme="minorHAnsi" w:cstheme="minorHAnsi"/>
        </w:rPr>
        <w:t xml:space="preserve"> </w:t>
      </w:r>
    </w:p>
    <w:p w14:paraId="3F842CF6" w14:textId="301062E0" w:rsidR="00657C50" w:rsidRPr="00B76D5C" w:rsidRDefault="002C7BFB" w:rsidP="00032CBD">
      <w:pPr>
        <w:rPr>
          <w:rFonts w:asciiTheme="minorHAnsi" w:hAnsiTheme="minorHAnsi" w:cstheme="minorHAnsi"/>
        </w:rPr>
      </w:pPr>
      <w:r w:rsidRPr="00B76D5C">
        <w:t>This review</w:t>
      </w:r>
      <w:r w:rsidR="00574225">
        <w:rPr>
          <w:rFonts w:asciiTheme="minorHAnsi" w:eastAsia="Arial" w:hAnsiTheme="minorHAnsi" w:cstheme="minorHAnsi"/>
        </w:rPr>
        <w:t>,</w:t>
      </w:r>
      <w:r w:rsidRPr="00B76D5C">
        <w:rPr>
          <w:rFonts w:asciiTheme="minorHAnsi" w:eastAsia="Arial" w:hAnsiTheme="minorHAnsi" w:cstheme="minorHAnsi"/>
        </w:rPr>
        <w:t xml:space="preserve"> </w:t>
      </w:r>
      <w:r w:rsidR="00EC08FE">
        <w:rPr>
          <w:rFonts w:asciiTheme="minorHAnsi" w:eastAsia="Arial" w:hAnsiTheme="minorHAnsi" w:cstheme="minorHAnsi"/>
        </w:rPr>
        <w:t>which focuses primarily on TAFE NSW</w:t>
      </w:r>
      <w:r w:rsidR="00574225">
        <w:rPr>
          <w:rFonts w:asciiTheme="minorHAnsi" w:eastAsia="Arial" w:hAnsiTheme="minorHAnsi" w:cstheme="minorHAnsi"/>
        </w:rPr>
        <w:t>,</w:t>
      </w:r>
      <w:r w:rsidRPr="00B76D5C">
        <w:rPr>
          <w:rFonts w:asciiTheme="minorHAnsi" w:eastAsia="Arial" w:hAnsiTheme="minorHAnsi" w:cstheme="minorHAnsi"/>
        </w:rPr>
        <w:t xml:space="preserve"> </w:t>
      </w:r>
      <w:r w:rsidR="00662348" w:rsidRPr="00B76D5C">
        <w:rPr>
          <w:rFonts w:asciiTheme="minorHAnsi" w:eastAsia="Arial" w:hAnsiTheme="minorHAnsi" w:cstheme="minorHAnsi"/>
        </w:rPr>
        <w:t>is nearing completion. Following</w:t>
      </w:r>
      <w:r w:rsidR="00657C50" w:rsidRPr="00B76D5C">
        <w:rPr>
          <w:rFonts w:asciiTheme="minorHAnsi" w:eastAsia="Arial" w:hAnsiTheme="minorHAnsi" w:cstheme="minorHAnsi"/>
        </w:rPr>
        <w:t xml:space="preserve"> submissions </w:t>
      </w:r>
      <w:r w:rsidR="00662348" w:rsidRPr="00B76D5C">
        <w:rPr>
          <w:rFonts w:asciiTheme="minorHAnsi" w:eastAsia="Arial" w:hAnsiTheme="minorHAnsi" w:cstheme="minorHAnsi"/>
        </w:rPr>
        <w:t>on a d</w:t>
      </w:r>
      <w:r w:rsidR="00657C50" w:rsidRPr="00B76D5C">
        <w:rPr>
          <w:rFonts w:asciiTheme="minorHAnsi" w:eastAsia="Arial" w:hAnsiTheme="minorHAnsi" w:cstheme="minorHAnsi"/>
        </w:rPr>
        <w:t xml:space="preserve">iscussion </w:t>
      </w:r>
      <w:r w:rsidR="00662348" w:rsidRPr="00B76D5C">
        <w:rPr>
          <w:rFonts w:asciiTheme="minorHAnsi" w:eastAsia="Arial" w:hAnsiTheme="minorHAnsi" w:cstheme="minorHAnsi"/>
        </w:rPr>
        <w:t>p</w:t>
      </w:r>
      <w:r w:rsidR="00657C50" w:rsidRPr="00B76D5C">
        <w:rPr>
          <w:rFonts w:asciiTheme="minorHAnsi" w:eastAsia="Arial" w:hAnsiTheme="minorHAnsi" w:cstheme="minorHAnsi"/>
        </w:rPr>
        <w:t xml:space="preserve">aper </w:t>
      </w:r>
      <w:r w:rsidR="00662348" w:rsidRPr="00B76D5C">
        <w:rPr>
          <w:rFonts w:asciiTheme="minorHAnsi" w:eastAsia="Arial" w:hAnsiTheme="minorHAnsi" w:cstheme="minorHAnsi"/>
        </w:rPr>
        <w:t xml:space="preserve">which closed </w:t>
      </w:r>
      <w:r w:rsidR="00574225">
        <w:rPr>
          <w:rFonts w:asciiTheme="minorHAnsi" w:eastAsia="Arial" w:hAnsiTheme="minorHAnsi" w:cstheme="minorHAnsi"/>
        </w:rPr>
        <w:t xml:space="preserve">in </w:t>
      </w:r>
      <w:r w:rsidR="00657C50" w:rsidRPr="00B76D5C">
        <w:rPr>
          <w:rFonts w:asciiTheme="minorHAnsi" w:eastAsia="Arial" w:hAnsiTheme="minorHAnsi" w:cstheme="minorHAnsi"/>
        </w:rPr>
        <w:t>November 2023</w:t>
      </w:r>
      <w:r w:rsidR="0064171A" w:rsidRPr="00B76D5C">
        <w:rPr>
          <w:rFonts w:asciiTheme="minorHAnsi" w:eastAsia="Arial" w:hAnsiTheme="minorHAnsi" w:cstheme="minorHAnsi"/>
        </w:rPr>
        <w:t>,</w:t>
      </w:r>
      <w:r w:rsidR="001957AB" w:rsidRPr="00B76D5C">
        <w:rPr>
          <w:rFonts w:asciiTheme="minorHAnsi" w:eastAsia="Arial" w:hAnsiTheme="minorHAnsi" w:cstheme="minorHAnsi"/>
        </w:rPr>
        <w:t xml:space="preserve"> roundtables and a digital forum</w:t>
      </w:r>
      <w:r w:rsidR="0064171A" w:rsidRPr="00B76D5C">
        <w:rPr>
          <w:rFonts w:asciiTheme="minorHAnsi" w:eastAsia="Arial" w:hAnsiTheme="minorHAnsi" w:cstheme="minorHAnsi"/>
        </w:rPr>
        <w:t xml:space="preserve"> </w:t>
      </w:r>
      <w:r w:rsidR="00840F99">
        <w:rPr>
          <w:rFonts w:asciiTheme="minorHAnsi" w:eastAsia="Arial" w:hAnsiTheme="minorHAnsi" w:cstheme="minorHAnsi"/>
        </w:rPr>
        <w:t>were</w:t>
      </w:r>
      <w:r w:rsidR="00574225">
        <w:rPr>
          <w:rFonts w:asciiTheme="minorHAnsi" w:eastAsia="Arial" w:hAnsiTheme="minorHAnsi" w:cstheme="minorHAnsi"/>
        </w:rPr>
        <w:t xml:space="preserve"> then</w:t>
      </w:r>
      <w:r w:rsidR="00840F99">
        <w:rPr>
          <w:rFonts w:asciiTheme="minorHAnsi" w:eastAsia="Arial" w:hAnsiTheme="minorHAnsi" w:cstheme="minorHAnsi"/>
        </w:rPr>
        <w:t xml:space="preserve"> held which </w:t>
      </w:r>
      <w:r w:rsidR="0064171A" w:rsidRPr="00B76D5C">
        <w:rPr>
          <w:rFonts w:asciiTheme="minorHAnsi" w:eastAsia="Arial" w:hAnsiTheme="minorHAnsi" w:cstheme="minorHAnsi"/>
        </w:rPr>
        <w:t>informed</w:t>
      </w:r>
      <w:r w:rsidR="00F8028A" w:rsidRPr="00B76D5C">
        <w:rPr>
          <w:rFonts w:asciiTheme="minorHAnsi" w:eastAsia="Arial" w:hAnsiTheme="minorHAnsi" w:cstheme="minorHAnsi"/>
        </w:rPr>
        <w:t xml:space="preserve"> </w:t>
      </w:r>
      <w:r w:rsidR="00E5546A" w:rsidRPr="00B76D5C">
        <w:rPr>
          <w:rFonts w:asciiTheme="minorHAnsi" w:eastAsia="Arial" w:hAnsiTheme="minorHAnsi" w:cstheme="minorHAnsi"/>
        </w:rPr>
        <w:t xml:space="preserve">a </w:t>
      </w:r>
      <w:r w:rsidR="001957AB" w:rsidRPr="00B76D5C">
        <w:rPr>
          <w:rFonts w:asciiTheme="minorHAnsi" w:eastAsia="Arial" w:hAnsiTheme="minorHAnsi" w:cstheme="minorHAnsi"/>
        </w:rPr>
        <w:t>December 2023</w:t>
      </w:r>
      <w:r w:rsidR="00E5546A" w:rsidRPr="00B76D5C">
        <w:rPr>
          <w:rFonts w:asciiTheme="minorHAnsi" w:eastAsia="Arial" w:hAnsiTheme="minorHAnsi" w:cstheme="minorHAnsi"/>
        </w:rPr>
        <w:t xml:space="preserve"> </w:t>
      </w:r>
      <w:r w:rsidR="001957AB" w:rsidRPr="00B76D5C">
        <w:rPr>
          <w:rFonts w:asciiTheme="minorHAnsi" w:eastAsia="Arial" w:hAnsiTheme="minorHAnsi" w:cstheme="minorHAnsi"/>
        </w:rPr>
        <w:t xml:space="preserve">Interim Report. </w:t>
      </w:r>
      <w:r w:rsidR="00891438">
        <w:rPr>
          <w:rFonts w:asciiTheme="minorHAnsi" w:eastAsia="Arial" w:hAnsiTheme="minorHAnsi" w:cstheme="minorHAnsi"/>
        </w:rPr>
        <w:t>The</w:t>
      </w:r>
      <w:r w:rsidR="008E2E2E" w:rsidRPr="00B76D5C">
        <w:rPr>
          <w:rFonts w:asciiTheme="minorHAnsi" w:eastAsia="Arial" w:hAnsiTheme="minorHAnsi" w:cstheme="minorHAnsi"/>
        </w:rPr>
        <w:t xml:space="preserve"> F</w:t>
      </w:r>
      <w:r w:rsidR="001957AB" w:rsidRPr="00B76D5C">
        <w:rPr>
          <w:rFonts w:asciiTheme="minorHAnsi" w:eastAsia="Arial" w:hAnsiTheme="minorHAnsi" w:cstheme="minorHAnsi"/>
        </w:rPr>
        <w:t xml:space="preserve">inal </w:t>
      </w:r>
      <w:r w:rsidR="008E2E2E" w:rsidRPr="00B76D5C">
        <w:rPr>
          <w:rFonts w:asciiTheme="minorHAnsi" w:eastAsia="Arial" w:hAnsiTheme="minorHAnsi" w:cstheme="minorHAnsi"/>
        </w:rPr>
        <w:t>R</w:t>
      </w:r>
      <w:r w:rsidR="001957AB" w:rsidRPr="00B76D5C">
        <w:rPr>
          <w:rFonts w:asciiTheme="minorHAnsi" w:eastAsia="Arial" w:hAnsiTheme="minorHAnsi" w:cstheme="minorHAnsi"/>
        </w:rPr>
        <w:t xml:space="preserve">eport </w:t>
      </w:r>
      <w:r w:rsidR="009A4D29">
        <w:rPr>
          <w:rFonts w:asciiTheme="minorHAnsi" w:eastAsia="Arial" w:hAnsiTheme="minorHAnsi" w:cstheme="minorHAnsi"/>
        </w:rPr>
        <w:t>was</w:t>
      </w:r>
      <w:r w:rsidR="00D47B92">
        <w:rPr>
          <w:rFonts w:asciiTheme="minorHAnsi" w:eastAsia="Arial" w:hAnsiTheme="minorHAnsi" w:cstheme="minorHAnsi"/>
        </w:rPr>
        <w:t xml:space="preserve"> </w:t>
      </w:r>
      <w:r w:rsidR="00891438">
        <w:rPr>
          <w:rFonts w:asciiTheme="minorHAnsi" w:eastAsia="Arial" w:hAnsiTheme="minorHAnsi" w:cstheme="minorHAnsi"/>
        </w:rPr>
        <w:t xml:space="preserve">publicly </w:t>
      </w:r>
      <w:r w:rsidR="00D47B92">
        <w:rPr>
          <w:rFonts w:asciiTheme="minorHAnsi" w:eastAsia="Arial" w:hAnsiTheme="minorHAnsi" w:cstheme="minorHAnsi"/>
        </w:rPr>
        <w:t xml:space="preserve">released in August </w:t>
      </w:r>
      <w:r w:rsidR="00891438">
        <w:rPr>
          <w:rFonts w:asciiTheme="minorHAnsi" w:eastAsia="Arial" w:hAnsiTheme="minorHAnsi" w:cstheme="minorHAnsi"/>
        </w:rPr>
        <w:t>2024</w:t>
      </w:r>
      <w:r w:rsidR="001957AB" w:rsidRPr="00B76D5C">
        <w:rPr>
          <w:rFonts w:asciiTheme="minorHAnsi" w:eastAsia="Arial" w:hAnsiTheme="minorHAnsi" w:cstheme="minorHAnsi"/>
        </w:rPr>
        <w:t>.</w:t>
      </w:r>
      <w:r w:rsidR="00657C50" w:rsidRPr="00B76D5C">
        <w:rPr>
          <w:rFonts w:asciiTheme="minorHAnsi" w:eastAsia="Arial" w:hAnsiTheme="minorHAnsi" w:cstheme="minorHAnsi"/>
        </w:rPr>
        <w:t xml:space="preserve"> </w:t>
      </w:r>
    </w:p>
    <w:p w14:paraId="0B90414B" w14:textId="5F402FF8" w:rsidR="00B76D5C" w:rsidRPr="00B76D5C" w:rsidRDefault="00D73E8B" w:rsidP="00CA433F">
      <w:pPr>
        <w:rPr>
          <w:rFonts w:asciiTheme="minorHAnsi" w:hAnsiTheme="minorHAnsi" w:cstheme="minorHAnsi"/>
        </w:rPr>
      </w:pPr>
      <w:hyperlink r:id="rId162" w:history="1">
        <w:r w:rsidR="002A5B91" w:rsidRPr="00215D2F">
          <w:rPr>
            <w:rStyle w:val="Hyperlink"/>
            <w:rFonts w:asciiTheme="minorHAnsi" w:hAnsiTheme="minorHAnsi" w:cstheme="minorHAnsi"/>
          </w:rPr>
          <w:t xml:space="preserve">Victorian Skills Plan: A </w:t>
        </w:r>
        <w:r w:rsidR="00215D2F" w:rsidRPr="00215D2F">
          <w:rPr>
            <w:rStyle w:val="Hyperlink"/>
            <w:rFonts w:asciiTheme="minorHAnsi" w:hAnsiTheme="minorHAnsi" w:cstheme="minorHAnsi"/>
          </w:rPr>
          <w:t>New Era for Skills</w:t>
        </w:r>
      </w:hyperlink>
    </w:p>
    <w:p w14:paraId="571F63D8" w14:textId="12F57931" w:rsidR="00E610E3" w:rsidRDefault="00080244" w:rsidP="00032CBD">
      <w:pPr>
        <w:rPr>
          <w:rFonts w:asciiTheme="minorHAnsi" w:hAnsiTheme="minorHAnsi" w:cstheme="minorHAnsi"/>
        </w:rPr>
      </w:pPr>
      <w:r>
        <w:t>Developed by t</w:t>
      </w:r>
      <w:r w:rsidR="00716515" w:rsidRPr="00716515">
        <w:rPr>
          <w:rFonts w:asciiTheme="minorHAnsi" w:hAnsiTheme="minorHAnsi" w:cstheme="minorHAnsi"/>
        </w:rPr>
        <w:t>he Victorian Skills Authority</w:t>
      </w:r>
      <w:r>
        <w:rPr>
          <w:rFonts w:asciiTheme="minorHAnsi" w:hAnsiTheme="minorHAnsi" w:cstheme="minorHAnsi"/>
        </w:rPr>
        <w:t>, t</w:t>
      </w:r>
      <w:r w:rsidR="00716515" w:rsidRPr="00716515">
        <w:rPr>
          <w:rFonts w:asciiTheme="minorHAnsi" w:hAnsiTheme="minorHAnsi" w:cstheme="minorHAnsi"/>
        </w:rPr>
        <w:t>his Skills Plan provides a ‘skills roadmap’</w:t>
      </w:r>
      <w:r w:rsidR="0030506C">
        <w:rPr>
          <w:rFonts w:asciiTheme="minorHAnsi" w:hAnsiTheme="minorHAnsi" w:cstheme="minorHAnsi"/>
        </w:rPr>
        <w:t xml:space="preserve"> for Victoria.</w:t>
      </w:r>
      <w:r w:rsidR="00716515" w:rsidRPr="00716515">
        <w:rPr>
          <w:rFonts w:asciiTheme="minorHAnsi" w:hAnsiTheme="minorHAnsi" w:cstheme="minorHAnsi"/>
        </w:rPr>
        <w:t xml:space="preserve"> </w:t>
      </w:r>
      <w:r w:rsidR="00F64E0E">
        <w:rPr>
          <w:rFonts w:asciiTheme="minorHAnsi" w:hAnsiTheme="minorHAnsi" w:cstheme="minorHAnsi"/>
        </w:rPr>
        <w:t>The Plan</w:t>
      </w:r>
      <w:r w:rsidR="00716515" w:rsidRPr="00716515">
        <w:rPr>
          <w:rFonts w:asciiTheme="minorHAnsi" w:hAnsiTheme="minorHAnsi" w:cstheme="minorHAnsi"/>
        </w:rPr>
        <w:t xml:space="preserve"> identifies actions and the further work needed to build a robust skills base and shape the next generation of skills delivery strategies</w:t>
      </w:r>
      <w:r w:rsidR="00F64E0E">
        <w:rPr>
          <w:rFonts w:asciiTheme="minorHAnsi" w:hAnsiTheme="minorHAnsi" w:cstheme="minorHAnsi"/>
        </w:rPr>
        <w:t xml:space="preserve"> in that State. It</w:t>
      </w:r>
      <w:r w:rsidR="00716515" w:rsidRPr="00716515">
        <w:rPr>
          <w:rFonts w:asciiTheme="minorHAnsi" w:hAnsiTheme="minorHAnsi" w:cstheme="minorHAnsi"/>
        </w:rPr>
        <w:t xml:space="preserve"> focuses on the occupations and skills that industry and workers need and are delivered by the TAFE and training system, Adult Community Education and Higher Education.</w:t>
      </w:r>
    </w:p>
    <w:p w14:paraId="36119639" w14:textId="4AFCED93" w:rsidR="00BA1671" w:rsidRPr="00B76D5C" w:rsidRDefault="00D73E8B" w:rsidP="00CA433F">
      <w:pPr>
        <w:rPr>
          <w:rFonts w:asciiTheme="minorHAnsi" w:hAnsiTheme="minorHAnsi" w:cstheme="minorHAnsi"/>
        </w:rPr>
      </w:pPr>
      <w:hyperlink r:id="rId163" w:history="1">
        <w:r w:rsidR="00BA1671" w:rsidRPr="00BE36D5">
          <w:rPr>
            <w:rStyle w:val="Hyperlink"/>
            <w:rFonts w:asciiTheme="minorHAnsi" w:hAnsiTheme="minorHAnsi" w:cstheme="minorHAnsi"/>
          </w:rPr>
          <w:t>Skilled. Thriving. Connected</w:t>
        </w:r>
        <w:r w:rsidR="00BE36D5" w:rsidRPr="00BE36D5">
          <w:rPr>
            <w:rStyle w:val="Hyperlink"/>
            <w:rFonts w:asciiTheme="minorHAnsi" w:hAnsiTheme="minorHAnsi" w:cstheme="minorHAnsi"/>
          </w:rPr>
          <w:t>:</w:t>
        </w:r>
        <w:r w:rsidR="00BA1671" w:rsidRPr="00BE36D5">
          <w:rPr>
            <w:rStyle w:val="Hyperlink"/>
            <w:rFonts w:asciiTheme="minorHAnsi" w:hAnsiTheme="minorHAnsi" w:cstheme="minorHAnsi"/>
          </w:rPr>
          <w:t xml:space="preserve"> New </w:t>
        </w:r>
        <w:r w:rsidR="00BE36D5" w:rsidRPr="00BE36D5">
          <w:rPr>
            <w:rStyle w:val="Hyperlink"/>
            <w:rFonts w:asciiTheme="minorHAnsi" w:hAnsiTheme="minorHAnsi" w:cstheme="minorHAnsi"/>
          </w:rPr>
          <w:t xml:space="preserve">VET policy from </w:t>
        </w:r>
        <w:r w:rsidR="00BA1671" w:rsidRPr="00BE36D5">
          <w:rPr>
            <w:rStyle w:val="Hyperlink"/>
            <w:rFonts w:asciiTheme="minorHAnsi" w:hAnsiTheme="minorHAnsi" w:cstheme="minorHAnsi"/>
          </w:rPr>
          <w:t>So</w:t>
        </w:r>
        <w:r w:rsidR="009D0224" w:rsidRPr="00BE36D5">
          <w:rPr>
            <w:rStyle w:val="Hyperlink"/>
            <w:rFonts w:asciiTheme="minorHAnsi" w:hAnsiTheme="minorHAnsi" w:cstheme="minorHAnsi"/>
          </w:rPr>
          <w:t>uth Australi</w:t>
        </w:r>
        <w:r w:rsidR="00BE36D5" w:rsidRPr="00BE36D5">
          <w:rPr>
            <w:rStyle w:val="Hyperlink"/>
            <w:rFonts w:asciiTheme="minorHAnsi" w:hAnsiTheme="minorHAnsi" w:cstheme="minorHAnsi"/>
          </w:rPr>
          <w:t>a</w:t>
        </w:r>
      </w:hyperlink>
    </w:p>
    <w:p w14:paraId="56A8AC78" w14:textId="6A721748" w:rsidR="00572723" w:rsidRPr="004D3081" w:rsidRDefault="004D3081" w:rsidP="00032CBD">
      <w:pPr>
        <w:rPr>
          <w:rFonts w:asciiTheme="minorHAnsi" w:hAnsiTheme="minorHAnsi" w:cstheme="minorHAnsi"/>
        </w:rPr>
      </w:pPr>
      <w:r w:rsidRPr="004D3081">
        <w:t xml:space="preserve">The </w:t>
      </w:r>
      <w:r w:rsidR="00D92003">
        <w:rPr>
          <w:rFonts w:asciiTheme="minorHAnsi" w:hAnsiTheme="minorHAnsi" w:cstheme="minorHAnsi"/>
        </w:rPr>
        <w:t>policy</w:t>
      </w:r>
      <w:r w:rsidR="00552753">
        <w:rPr>
          <w:rFonts w:asciiTheme="minorHAnsi" w:hAnsiTheme="minorHAnsi" w:cstheme="minorHAnsi"/>
        </w:rPr>
        <w:t xml:space="preserve"> </w:t>
      </w:r>
      <w:r w:rsidRPr="004D3081">
        <w:rPr>
          <w:rFonts w:asciiTheme="minorHAnsi" w:hAnsiTheme="minorHAnsi" w:cstheme="minorHAnsi"/>
        </w:rPr>
        <w:t>outlines significant reforms for South Australia’s skills system</w:t>
      </w:r>
      <w:r w:rsidR="00C866C4">
        <w:rPr>
          <w:rFonts w:asciiTheme="minorHAnsi" w:hAnsiTheme="minorHAnsi" w:cstheme="minorHAnsi"/>
        </w:rPr>
        <w:t>, including</w:t>
      </w:r>
      <w:r w:rsidR="00CD2B01">
        <w:rPr>
          <w:rFonts w:asciiTheme="minorHAnsi" w:hAnsiTheme="minorHAnsi" w:cstheme="minorHAnsi"/>
        </w:rPr>
        <w:t>:</w:t>
      </w:r>
      <w:r w:rsidR="00C866C4">
        <w:rPr>
          <w:rFonts w:asciiTheme="minorHAnsi" w:hAnsiTheme="minorHAnsi" w:cstheme="minorHAnsi"/>
        </w:rPr>
        <w:t xml:space="preserve"> a </w:t>
      </w:r>
      <w:r w:rsidR="00C866C4" w:rsidRPr="00C866C4">
        <w:rPr>
          <w:rFonts w:asciiTheme="minorHAnsi" w:hAnsiTheme="minorHAnsi" w:cstheme="minorHAnsi"/>
        </w:rPr>
        <w:t>stronger focus on learner wellbeing and completions</w:t>
      </w:r>
      <w:r w:rsidR="00CD2B01">
        <w:rPr>
          <w:rFonts w:asciiTheme="minorHAnsi" w:hAnsiTheme="minorHAnsi" w:cstheme="minorHAnsi"/>
        </w:rPr>
        <w:t xml:space="preserve">; </w:t>
      </w:r>
      <w:r w:rsidR="00C866C4" w:rsidRPr="00C866C4">
        <w:rPr>
          <w:rFonts w:asciiTheme="minorHAnsi" w:hAnsiTheme="minorHAnsi" w:cstheme="minorHAnsi"/>
        </w:rPr>
        <w:t>greater government direction on where investment goes better aligned to skills need and state priorities</w:t>
      </w:r>
      <w:r w:rsidR="00CD2B01">
        <w:rPr>
          <w:rFonts w:asciiTheme="minorHAnsi" w:hAnsiTheme="minorHAnsi" w:cstheme="minorHAnsi"/>
        </w:rPr>
        <w:t xml:space="preserve">; </w:t>
      </w:r>
      <w:r w:rsidR="00C866C4" w:rsidRPr="00C866C4">
        <w:rPr>
          <w:rFonts w:asciiTheme="minorHAnsi" w:hAnsiTheme="minorHAnsi" w:cstheme="minorHAnsi"/>
        </w:rPr>
        <w:t xml:space="preserve">Placing TAFE SA at the centre of the skills system to deliver on government priorities, ensure regional communities have access to training, and drive collaboration </w:t>
      </w:r>
      <w:r w:rsidR="00AB3E30">
        <w:rPr>
          <w:rFonts w:asciiTheme="minorHAnsi" w:hAnsiTheme="minorHAnsi" w:cstheme="minorHAnsi"/>
        </w:rPr>
        <w:t>across</w:t>
      </w:r>
      <w:r w:rsidR="001E57CA">
        <w:rPr>
          <w:rFonts w:asciiTheme="minorHAnsi" w:hAnsiTheme="minorHAnsi" w:cstheme="minorHAnsi"/>
        </w:rPr>
        <w:t xml:space="preserve"> the sector;</w:t>
      </w:r>
      <w:r w:rsidR="00C866C4" w:rsidRPr="00C866C4">
        <w:rPr>
          <w:rFonts w:asciiTheme="minorHAnsi" w:hAnsiTheme="minorHAnsi" w:cstheme="minorHAnsi"/>
        </w:rPr>
        <w:t xml:space="preserve"> and </w:t>
      </w:r>
      <w:r w:rsidR="001E57CA">
        <w:rPr>
          <w:rFonts w:asciiTheme="minorHAnsi" w:hAnsiTheme="minorHAnsi" w:cstheme="minorHAnsi"/>
        </w:rPr>
        <w:t>placing</w:t>
      </w:r>
      <w:r w:rsidR="00C866C4" w:rsidRPr="00C866C4">
        <w:rPr>
          <w:rFonts w:asciiTheme="minorHAnsi" w:hAnsiTheme="minorHAnsi" w:cstheme="minorHAnsi"/>
        </w:rPr>
        <w:t xml:space="preserve"> greater emphasis on ensuring the quality and integrity of training providers and employers.</w:t>
      </w:r>
    </w:p>
    <w:p w14:paraId="5CA42CCF" w14:textId="4E7FA683" w:rsidR="00E610E3" w:rsidRDefault="00D73E8B" w:rsidP="00CA433F">
      <w:pPr>
        <w:rPr>
          <w:rFonts w:asciiTheme="minorHAnsi" w:hAnsiTheme="minorHAnsi" w:cstheme="minorHAnsi"/>
        </w:rPr>
      </w:pPr>
      <w:hyperlink r:id="rId164" w:history="1">
        <w:r w:rsidR="00E610E3" w:rsidRPr="00B76D5C">
          <w:rPr>
            <w:rStyle w:val="Hyperlink"/>
            <w:rFonts w:asciiTheme="minorHAnsi" w:hAnsiTheme="minorHAnsi" w:cstheme="minorHAnsi"/>
          </w:rPr>
          <w:t>Queensland Skills Strategy</w:t>
        </w:r>
        <w:r w:rsidR="0062158D">
          <w:rPr>
            <w:rStyle w:val="Hyperlink"/>
            <w:rFonts w:asciiTheme="minorHAnsi" w:hAnsiTheme="minorHAnsi" w:cstheme="minorHAnsi"/>
          </w:rPr>
          <w:t xml:space="preserve"> 2024</w:t>
        </w:r>
        <w:r w:rsidR="007D1B04">
          <w:rPr>
            <w:rStyle w:val="Hyperlink"/>
            <w:rFonts w:asciiTheme="minorHAnsi" w:hAnsiTheme="minorHAnsi" w:cstheme="minorHAnsi"/>
          </w:rPr>
          <w:t>–</w:t>
        </w:r>
        <w:r w:rsidR="0062158D">
          <w:rPr>
            <w:rStyle w:val="Hyperlink"/>
            <w:rFonts w:asciiTheme="minorHAnsi" w:hAnsiTheme="minorHAnsi" w:cstheme="minorHAnsi"/>
          </w:rPr>
          <w:t>2028</w:t>
        </w:r>
      </w:hyperlink>
    </w:p>
    <w:p w14:paraId="5356B294" w14:textId="4AF3C869" w:rsidR="00567E49" w:rsidRDefault="00104FB3" w:rsidP="00032CBD">
      <w:pPr>
        <w:rPr>
          <w:rFonts w:asciiTheme="minorHAnsi" w:hAnsiTheme="minorHAnsi"/>
        </w:rPr>
      </w:pPr>
      <w:r w:rsidRPr="00104FB3">
        <w:t xml:space="preserve">The strategy </w:t>
      </w:r>
      <w:r w:rsidR="00A36FC4" w:rsidRPr="53E7323F">
        <w:rPr>
          <w:rFonts w:asciiTheme="minorHAnsi" w:hAnsiTheme="minorHAnsi"/>
        </w:rPr>
        <w:t xml:space="preserve">aims to </w:t>
      </w:r>
      <w:r w:rsidRPr="53E7323F">
        <w:rPr>
          <w:rFonts w:asciiTheme="minorHAnsi" w:hAnsiTheme="minorHAnsi"/>
        </w:rPr>
        <w:t>strengthen</w:t>
      </w:r>
      <w:r w:rsidR="00A36FC4" w:rsidRPr="53E7323F">
        <w:rPr>
          <w:rFonts w:asciiTheme="minorHAnsi" w:hAnsiTheme="minorHAnsi"/>
        </w:rPr>
        <w:t xml:space="preserve"> the Queensland</w:t>
      </w:r>
      <w:r w:rsidRPr="53E7323F">
        <w:rPr>
          <w:rFonts w:asciiTheme="minorHAnsi" w:hAnsiTheme="minorHAnsi"/>
        </w:rPr>
        <w:t xml:space="preserve"> TAFE and training system while guiding billions in annual investment in skills over 5 years – funding 1 million subsidised and Free TAFE training places.</w:t>
      </w:r>
      <w:r w:rsidR="00A36FC4" w:rsidRPr="53E7323F">
        <w:rPr>
          <w:rFonts w:asciiTheme="minorHAnsi" w:hAnsiTheme="minorHAnsi"/>
        </w:rPr>
        <w:t xml:space="preserve"> </w:t>
      </w:r>
      <w:r w:rsidRPr="53E7323F">
        <w:rPr>
          <w:rFonts w:asciiTheme="minorHAnsi" w:hAnsiTheme="minorHAnsi"/>
        </w:rPr>
        <w:t>It is also Queensland's roadmap to deliver on the National Skills Agreement, tackling national priorities like critical skills growth, delivering TAFE Centres of Excellence, improving course completions and greater access to foundation skills.</w:t>
      </w:r>
    </w:p>
    <w:p w14:paraId="4CBDAF76" w14:textId="77777777" w:rsidR="00657C50" w:rsidRPr="00925A18" w:rsidRDefault="00657C50" w:rsidP="00557C2D">
      <w:pPr>
        <w:pStyle w:val="Heading3"/>
      </w:pPr>
      <w:r w:rsidRPr="00925A18">
        <w:t>Migration</w:t>
      </w:r>
    </w:p>
    <w:p w14:paraId="24011065" w14:textId="04B4EF1E" w:rsidR="00657C50" w:rsidRPr="00241C3F" w:rsidRDefault="00657C50" w:rsidP="00557C2D">
      <w:pPr>
        <w:pStyle w:val="Heading4"/>
      </w:pPr>
      <w:r w:rsidRPr="00241C3F">
        <w:t>Review of the Migration System – Final Report</w:t>
      </w:r>
    </w:p>
    <w:p w14:paraId="57DEB3F4" w14:textId="77777777" w:rsidR="00657C50" w:rsidRPr="00BE5032" w:rsidRDefault="00657C50" w:rsidP="00032CBD">
      <w:r w:rsidRPr="00BE5032">
        <w:t>On 2 September 2022, the Minister for Home Affairs, the Hon Clare O'Neil MP announced a comprehensive review of Australia's migration system.</w:t>
      </w:r>
    </w:p>
    <w:p w14:paraId="15AA7980" w14:textId="7A191432" w:rsidR="00657C50" w:rsidRPr="00BE5032" w:rsidRDefault="00657C50" w:rsidP="00032CBD">
      <w:pPr>
        <w:rPr>
          <w:rFonts w:cs="Arial"/>
          <w:kern w:val="2"/>
          <w14:ligatures w14:val="standardContextual"/>
        </w:rPr>
      </w:pPr>
      <w:r w:rsidRPr="00BE5032">
        <w:rPr>
          <w:kern w:val="2"/>
          <w14:ligatures w14:val="standardContextual"/>
        </w:rPr>
        <w:t>The review received 483 submissions, and on 21 March 2023, the</w:t>
      </w:r>
      <w:r w:rsidRPr="00C70BD9">
        <w:rPr>
          <w:rFonts w:eastAsia="Arial" w:cs="Arial"/>
        </w:rPr>
        <w:t xml:space="preserve"> </w:t>
      </w:r>
      <w:hyperlink r:id="rId165">
        <w:r w:rsidRPr="00C70BD9">
          <w:rPr>
            <w:rStyle w:val="Hyperlink"/>
            <w:rFonts w:eastAsia="Arial" w:cs="Arial"/>
            <w:color w:val="013D74"/>
          </w:rPr>
          <w:t>Review of the Migration System Final Report</w:t>
        </w:r>
      </w:hyperlink>
      <w:r w:rsidRPr="00C70BD9">
        <w:rPr>
          <w:rFonts w:eastAsia="Arial" w:cs="Arial"/>
        </w:rPr>
        <w:t xml:space="preserve"> </w:t>
      </w:r>
      <w:r w:rsidRPr="00BE5032">
        <w:rPr>
          <w:rFonts w:cs="Arial"/>
          <w:kern w:val="2"/>
          <w14:ligatures w14:val="standardContextual"/>
        </w:rPr>
        <w:t xml:space="preserve">was presented to the Government. Chapter 13 discusses regional migration settings and the challenges and reform opportunities available to help meet skills needs and support regional and economic development in regional Australia. </w:t>
      </w:r>
    </w:p>
    <w:p w14:paraId="4803DF84" w14:textId="77777777" w:rsidR="00657C50" w:rsidRPr="00BE5032" w:rsidRDefault="00657C50" w:rsidP="00032CBD">
      <w:pPr>
        <w:rPr>
          <w:kern w:val="2"/>
          <w14:ligatures w14:val="standardContextual"/>
        </w:rPr>
      </w:pPr>
      <w:r w:rsidRPr="00BE5032">
        <w:rPr>
          <w:kern w:val="2"/>
          <w14:ligatures w14:val="standardContextual"/>
        </w:rPr>
        <w:t xml:space="preserve">The Review provides data showing that migrants, across all visa programs, have been less likely than Australians to live in regional areas (page 124). It notes while visa settings offer pathways to encourage migrants to live and work in regional Australia, there are limited migration levers to incentivise people to remain long term.   </w:t>
      </w:r>
    </w:p>
    <w:p w14:paraId="57A2B7BF" w14:textId="77777777" w:rsidR="00657C50" w:rsidRPr="00BE5032" w:rsidRDefault="00657C50" w:rsidP="00032CBD">
      <w:r w:rsidRPr="00BE5032">
        <w:t xml:space="preserve">Submissions to the review provided differing views on the value and effectiveness of regional visa programs. While many submissions strongly supported the continuation of specific regional visas and concessions, others (such as the Grattan Institute) recommended the regional visa streams be abolished, arguing that trying to divert migrants to regional areas to boost local populations would result in distortions with net adverse economic impacts. </w:t>
      </w:r>
    </w:p>
    <w:p w14:paraId="187010B4" w14:textId="77777777" w:rsidR="00657C50" w:rsidRPr="00BE5032" w:rsidRDefault="00657C50" w:rsidP="00032CBD">
      <w:r w:rsidRPr="00BE5032">
        <w:t>The Review commented on the complexity of regional migration settings through providing summaries of:</w:t>
      </w:r>
    </w:p>
    <w:p w14:paraId="218D7AD1" w14:textId="701355C6" w:rsidR="00657C50" w:rsidRPr="00032CBD" w:rsidRDefault="00657C50" w:rsidP="007E2211">
      <w:pPr>
        <w:pStyle w:val="ListBullet"/>
      </w:pPr>
      <w:r w:rsidRPr="00032CBD">
        <w:t xml:space="preserve">the various permanent and temporary visa programs available for regional and place-based (State and Territory nominated) migration, as well as mainstream visas that include regional concessions (page 126); and </w:t>
      </w:r>
    </w:p>
    <w:p w14:paraId="36D54EDE" w14:textId="77777777" w:rsidR="00657C50" w:rsidRPr="00032CBD" w:rsidRDefault="00657C50" w:rsidP="007E2211">
      <w:pPr>
        <w:pStyle w:val="ListBullet"/>
      </w:pPr>
      <w:r w:rsidRPr="00032CBD">
        <w:t xml:space="preserve">noting the complicated and frequently changing definition of ‘regional’ used for migration purposes (page 128) which is a source of criticism and confusion. </w:t>
      </w:r>
    </w:p>
    <w:p w14:paraId="303F5DC9" w14:textId="77777777" w:rsidR="00657C50" w:rsidRPr="00BE5032" w:rsidRDefault="00657C50" w:rsidP="00032CBD">
      <w:r w:rsidRPr="00BE5032">
        <w:t>The Review concluded that these visas encompass inconsistent criteria, multiple occupation lists and bespoke arrangements, adding to the complexity of the migration system without serving a clearly articulated purpose. It found an incremental, patchwork approach to migration policy is evident in the many different approaches now in place to support regions.</w:t>
      </w:r>
    </w:p>
    <w:p w14:paraId="09FDB845" w14:textId="77777777" w:rsidR="00657C50" w:rsidRPr="00BE5032" w:rsidRDefault="00657C50" w:rsidP="00032CBD">
      <w:r w:rsidRPr="00BE5032">
        <w:t xml:space="preserve">The Review concluded that regional migration programs have had little success to date and recommended a planned approach to regional and state and territory nominated migration that may allow movement away from the complex visa settings currently in place. For example, the Review proposed linking the number of migration places open to any state or territory to specific regional economic and community development plans. It argued that such plans could highlight how and when housing, infrastructure and services will be provided to support the existing community and proposed migration flows. </w:t>
      </w:r>
    </w:p>
    <w:p w14:paraId="6592F725" w14:textId="77777777" w:rsidR="00657C50" w:rsidRPr="00BE5032" w:rsidRDefault="00657C50" w:rsidP="00032CBD">
      <w:r w:rsidRPr="00BE5032">
        <w:t xml:space="preserve">The Review suggested there could be value in considering whether states and territories should be provided with greater flexibility to determine how to allocate permanent visas with respect to the needs of their jurisdiction.  In conjunction with this measure, existing regional concessions in mainstream permanent visas (e.g. additional points available for regional study) could be removed to ensure those programs are strongly focused on selecting migrants who will best meet national economic objectives. </w:t>
      </w:r>
    </w:p>
    <w:p w14:paraId="52203C9A" w14:textId="77777777" w:rsidR="00657C50" w:rsidRPr="00BE5032" w:rsidRDefault="00657C50" w:rsidP="00032CBD">
      <w:r w:rsidRPr="00BE5032">
        <w:t>The Review concluded that the effectiveness of this approach could be supported by greater collaboration across governments around data-sharing, skills shortage evaluation tools and other capabilities.</w:t>
      </w:r>
    </w:p>
    <w:p w14:paraId="39C1CAF2" w14:textId="77777777" w:rsidR="00657C50" w:rsidRPr="00FC5C04" w:rsidRDefault="00657C50" w:rsidP="00557C2D">
      <w:pPr>
        <w:pStyle w:val="Heading4"/>
      </w:pPr>
      <w:r w:rsidRPr="00FC5C04">
        <w:t>Migration Strategy</w:t>
      </w:r>
    </w:p>
    <w:p w14:paraId="640C89A6" w14:textId="5C57B61C" w:rsidR="00657C50" w:rsidRPr="00ED3CD5" w:rsidRDefault="00657C50" w:rsidP="00032CBD">
      <w:pPr>
        <w:rPr>
          <w:rFonts w:asciiTheme="majorHAnsi" w:hAnsiTheme="majorHAnsi" w:cstheme="majorHAnsi"/>
        </w:rPr>
      </w:pPr>
      <w:r w:rsidRPr="00FC5C04">
        <w:t>The Government’s Migration Strategy was released on 11 December 2023 and outlines a new vision for Australia’s migration system, with a policy roadmap containing 8 key actions and over 25 new policy commitments and areas for future reform. These include new commitments to evaluate regional migration settings and the Working Holiday Maker program to ensure migration supports development objectives in regional Australia and to ensure regional visas receive highest priority for visa processing</w:t>
      </w:r>
      <w:r w:rsidRPr="00ED3CD5">
        <w:rPr>
          <w:rFonts w:asciiTheme="majorHAnsi" w:eastAsia="Arial" w:hAnsiTheme="majorHAnsi" w:cstheme="majorHAnsi"/>
        </w:rPr>
        <w:t>.</w:t>
      </w:r>
    </w:p>
    <w:p w14:paraId="2D3C69AA" w14:textId="63E71E43" w:rsidR="00657C50" w:rsidRPr="00C70BD9" w:rsidRDefault="5DB307AE" w:rsidP="00E667DE">
      <w:pPr>
        <w:rPr>
          <w:rFonts w:cs="Arial"/>
          <w:kern w:val="2"/>
          <w14:ligatures w14:val="standardContextual"/>
        </w:rPr>
      </w:pPr>
      <w:r w:rsidRPr="00FC5C04">
        <w:rPr>
          <w:rFonts w:cs="Arial"/>
          <w:kern w:val="2"/>
          <w14:ligatures w14:val="standardContextual"/>
        </w:rPr>
        <w:t>T</w:t>
      </w:r>
      <w:r w:rsidR="56C97C87" w:rsidRPr="00FC5C04">
        <w:rPr>
          <w:rFonts w:cs="Arial"/>
          <w:kern w:val="2"/>
          <w14:ligatures w14:val="standardContextual"/>
        </w:rPr>
        <w:t xml:space="preserve">he </w:t>
      </w:r>
      <w:r w:rsidR="00030BB1" w:rsidRPr="00FC5C04">
        <w:rPr>
          <w:rFonts w:cs="Arial"/>
          <w:kern w:val="2"/>
          <w14:ligatures w14:val="standardContextual"/>
        </w:rPr>
        <w:t xml:space="preserve">Department of Home Affairs </w:t>
      </w:r>
      <w:r w:rsidR="717B4F5F" w:rsidRPr="00FC5C04">
        <w:rPr>
          <w:rFonts w:cs="Arial"/>
          <w:kern w:val="2"/>
          <w14:ligatures w14:val="standardContextual"/>
        </w:rPr>
        <w:t>has</w:t>
      </w:r>
      <w:r w:rsidR="00A466D8" w:rsidRPr="00FC5C04">
        <w:rPr>
          <w:rFonts w:cs="Arial"/>
          <w:kern w:val="2"/>
          <w14:ligatures w14:val="standardContextual"/>
        </w:rPr>
        <w:t xml:space="preserve"> </w:t>
      </w:r>
      <w:r w:rsidR="00636CB1" w:rsidRPr="00FC5C04">
        <w:rPr>
          <w:rFonts w:cs="Arial"/>
          <w:kern w:val="2"/>
          <w14:ligatures w14:val="standardContextual"/>
        </w:rPr>
        <w:t>recently</w:t>
      </w:r>
      <w:r w:rsidR="00A466D8" w:rsidRPr="00FC5C04">
        <w:rPr>
          <w:rFonts w:cs="Arial"/>
          <w:kern w:val="2"/>
          <w14:ligatures w14:val="standardContextual"/>
        </w:rPr>
        <w:t xml:space="preserve"> </w:t>
      </w:r>
      <w:r w:rsidR="56C97C87" w:rsidRPr="00FC5C04">
        <w:rPr>
          <w:rFonts w:cs="Arial"/>
          <w:kern w:val="2"/>
          <w14:ligatures w14:val="standardContextual"/>
        </w:rPr>
        <w:t>released</w:t>
      </w:r>
      <w:r w:rsidR="56C97C87" w:rsidRPr="00ED3CD5">
        <w:rPr>
          <w:rFonts w:asciiTheme="majorHAnsi" w:eastAsia="Arial" w:hAnsiTheme="majorHAnsi" w:cstheme="majorHAnsi"/>
        </w:rPr>
        <w:t xml:space="preserve"> ‘</w:t>
      </w:r>
      <w:hyperlink r:id="rId166">
        <w:r w:rsidR="56C97C87" w:rsidRPr="00C70BD9">
          <w:rPr>
            <w:rStyle w:val="Hyperlink"/>
            <w:rFonts w:asciiTheme="majorHAnsi" w:eastAsia="Arial" w:hAnsiTheme="majorHAnsi" w:cstheme="majorHAnsi"/>
          </w:rPr>
          <w:t xml:space="preserve">Supporting strong and sustainable regions – Review of Regional Migration Settings </w:t>
        </w:r>
        <w:r w:rsidR="54134C29" w:rsidRPr="00C70BD9">
          <w:rPr>
            <w:rStyle w:val="Hyperlink"/>
            <w:rFonts w:asciiTheme="majorHAnsi" w:eastAsia="Arial" w:hAnsiTheme="majorHAnsi" w:cstheme="majorHAnsi"/>
          </w:rPr>
          <w:t>Discussion Paper – June 2024</w:t>
        </w:r>
      </w:hyperlink>
      <w:r w:rsidR="54134C29" w:rsidRPr="00C70BD9">
        <w:rPr>
          <w:rFonts w:asciiTheme="majorHAnsi" w:eastAsia="Arial" w:hAnsiTheme="majorHAnsi" w:cstheme="majorHAnsi"/>
        </w:rPr>
        <w:t>’</w:t>
      </w:r>
      <w:r w:rsidR="00030BB1" w:rsidRPr="00C70BD9">
        <w:rPr>
          <w:rFonts w:asciiTheme="majorHAnsi" w:eastAsia="Arial" w:hAnsiTheme="majorHAnsi" w:cstheme="majorHAnsi"/>
        </w:rPr>
        <w:t xml:space="preserve"> </w:t>
      </w:r>
      <w:r w:rsidR="00030BB1" w:rsidRPr="00C70BD9">
        <w:rPr>
          <w:rFonts w:cs="Arial"/>
          <w:kern w:val="2"/>
          <w14:ligatures w14:val="standardContextual"/>
        </w:rPr>
        <w:t>and</w:t>
      </w:r>
      <w:r w:rsidR="00E870D6" w:rsidRPr="00C70BD9">
        <w:rPr>
          <w:rFonts w:cs="Arial"/>
          <w:kern w:val="2"/>
          <w14:ligatures w14:val="standardContextual"/>
        </w:rPr>
        <w:t xml:space="preserve"> </w:t>
      </w:r>
      <w:r w:rsidR="0078546D">
        <w:rPr>
          <w:rFonts w:cs="Arial"/>
          <w:kern w:val="2"/>
          <w14:ligatures w14:val="standardContextual"/>
        </w:rPr>
        <w:t xml:space="preserve">has </w:t>
      </w:r>
      <w:r w:rsidR="00E870D6" w:rsidRPr="00C70BD9">
        <w:rPr>
          <w:rFonts w:cs="Arial"/>
          <w:kern w:val="2"/>
          <w14:ligatures w14:val="standardContextual"/>
        </w:rPr>
        <w:t xml:space="preserve"> invited</w:t>
      </w:r>
      <w:r w:rsidR="003955B8" w:rsidRPr="00C70BD9">
        <w:rPr>
          <w:rFonts w:cs="Arial"/>
          <w:kern w:val="2"/>
          <w14:ligatures w14:val="standardContextual"/>
        </w:rPr>
        <w:t xml:space="preserve"> s</w:t>
      </w:r>
      <w:r w:rsidR="0080047A" w:rsidRPr="00C70BD9">
        <w:rPr>
          <w:rFonts w:cs="Arial"/>
          <w:kern w:val="2"/>
          <w14:ligatures w14:val="standardContextual"/>
        </w:rPr>
        <w:t xml:space="preserve">ubmissions </w:t>
      </w:r>
      <w:r w:rsidR="005E0052" w:rsidRPr="00C70BD9">
        <w:rPr>
          <w:rFonts w:cs="Arial"/>
          <w:kern w:val="2"/>
          <w14:ligatures w14:val="standardContextual"/>
        </w:rPr>
        <w:t xml:space="preserve">on it </w:t>
      </w:r>
      <w:r w:rsidR="00C108E3" w:rsidRPr="00C70BD9">
        <w:rPr>
          <w:rFonts w:cs="Arial"/>
          <w:kern w:val="2"/>
          <w14:ligatures w14:val="standardContextual"/>
        </w:rPr>
        <w:t>by</w:t>
      </w:r>
      <w:r w:rsidR="003955B8" w:rsidRPr="00C70BD9">
        <w:rPr>
          <w:rFonts w:cs="Arial"/>
          <w:kern w:val="2"/>
          <w14:ligatures w14:val="standardContextual"/>
        </w:rPr>
        <w:t xml:space="preserve"> </w:t>
      </w:r>
      <w:r w:rsidR="0080047A" w:rsidRPr="00C70BD9">
        <w:rPr>
          <w:rFonts w:cs="Arial"/>
          <w:kern w:val="2"/>
          <w14:ligatures w14:val="standardContextual"/>
        </w:rPr>
        <w:t>26 July 20</w:t>
      </w:r>
      <w:r w:rsidR="003955B8" w:rsidRPr="00C70BD9">
        <w:rPr>
          <w:rFonts w:cs="Arial"/>
          <w:kern w:val="2"/>
          <w14:ligatures w14:val="standardContextual"/>
        </w:rPr>
        <w:t>24</w:t>
      </w:r>
      <w:r w:rsidR="00AB6C12" w:rsidRPr="00C70BD9">
        <w:rPr>
          <w:rFonts w:cs="Arial"/>
          <w:kern w:val="2"/>
          <w14:ligatures w14:val="standardContextual"/>
        </w:rPr>
        <w:t xml:space="preserve">. </w:t>
      </w:r>
      <w:r w:rsidR="00152830" w:rsidRPr="00C70BD9">
        <w:rPr>
          <w:rFonts w:cs="Arial"/>
          <w:kern w:val="2"/>
          <w14:ligatures w14:val="standardContextual"/>
        </w:rPr>
        <w:t xml:space="preserve">The </w:t>
      </w:r>
      <w:r w:rsidR="00AB6C12" w:rsidRPr="00C70BD9">
        <w:rPr>
          <w:rFonts w:cs="Arial"/>
          <w:kern w:val="2"/>
          <w14:ligatures w14:val="standardContextual"/>
        </w:rPr>
        <w:t>discussion</w:t>
      </w:r>
      <w:r w:rsidR="00A466D8" w:rsidRPr="00C70BD9">
        <w:rPr>
          <w:rFonts w:cs="Arial"/>
          <w:kern w:val="2"/>
          <w14:ligatures w14:val="standardContextual"/>
        </w:rPr>
        <w:t xml:space="preserve"> paper</w:t>
      </w:r>
      <w:r w:rsidR="00F50788" w:rsidRPr="00C70BD9">
        <w:rPr>
          <w:rFonts w:cs="Arial"/>
          <w:kern w:val="2"/>
          <w14:ligatures w14:val="standardContextual"/>
        </w:rPr>
        <w:t xml:space="preserve"> proposes objectives for regional migration, suggests opportunities where regional migration could work better and </w:t>
      </w:r>
      <w:r w:rsidR="0030242E" w:rsidRPr="00C70BD9">
        <w:rPr>
          <w:rFonts w:cs="Arial"/>
          <w:kern w:val="2"/>
          <w14:ligatures w14:val="standardContextual"/>
        </w:rPr>
        <w:t xml:space="preserve">asks </w:t>
      </w:r>
      <w:r w:rsidR="00F50788" w:rsidRPr="00C70BD9">
        <w:rPr>
          <w:rFonts w:cs="Arial"/>
          <w:kern w:val="2"/>
          <w14:ligatures w14:val="standardContextual"/>
        </w:rPr>
        <w:t>questions on which the Government is seeking feedback from stakeholders</w:t>
      </w:r>
      <w:r w:rsidR="007E0A8F" w:rsidRPr="00C70BD9">
        <w:rPr>
          <w:rFonts w:cs="Arial"/>
          <w:kern w:val="2"/>
          <w14:ligatures w14:val="standardContextual"/>
        </w:rPr>
        <w:t>.</w:t>
      </w:r>
    </w:p>
    <w:p w14:paraId="5580667E" w14:textId="50E2BFCB" w:rsidR="007D6D9E" w:rsidRPr="007E2211" w:rsidRDefault="007D6D9E" w:rsidP="007E2211">
      <w:pPr>
        <w:pStyle w:val="ListBullet"/>
        <w:numPr>
          <w:ilvl w:val="0"/>
          <w:numId w:val="24"/>
        </w:numPr>
      </w:pPr>
      <w:r w:rsidRPr="00E667DE">
        <w:t xml:space="preserve">How the various temporary and permanent visas available to the regions </w:t>
      </w:r>
      <w:r w:rsidR="004F481B" w:rsidRPr="00E667DE">
        <w:t>ca</w:t>
      </w:r>
      <w:r w:rsidR="00687CF8" w:rsidRPr="00E667DE">
        <w:t>n work</w:t>
      </w:r>
      <w:r w:rsidR="004F481B" w:rsidRPr="00E667DE">
        <w:t xml:space="preserve"> </w:t>
      </w:r>
      <w:r w:rsidRPr="00E667DE">
        <w:t xml:space="preserve">together </w:t>
      </w:r>
      <w:r w:rsidRPr="007E2211">
        <w:t>to better meet skills needs? For example, Designated Area Migration</w:t>
      </w:r>
      <w:r w:rsidR="004F481B" w:rsidRPr="007E2211">
        <w:t xml:space="preserve"> </w:t>
      </w:r>
      <w:r w:rsidRPr="007E2211">
        <w:t>Agreements (DAMAs) and regional employer sponsored visas.</w:t>
      </w:r>
    </w:p>
    <w:p w14:paraId="69334F58" w14:textId="77777777" w:rsidR="007D6D9E" w:rsidRPr="007E2211" w:rsidRDefault="007D6D9E" w:rsidP="007E2211">
      <w:pPr>
        <w:pStyle w:val="ListBullet"/>
        <w:numPr>
          <w:ilvl w:val="0"/>
          <w:numId w:val="24"/>
        </w:numPr>
      </w:pPr>
      <w:r w:rsidRPr="007E2211">
        <w:t>Should there be a regional occupation list? How should regional occupation lists</w:t>
      </w:r>
      <w:r w:rsidR="004F481B" w:rsidRPr="007E2211">
        <w:t xml:space="preserve"> </w:t>
      </w:r>
      <w:r w:rsidRPr="007E2211">
        <w:t>work alongside the Core Skills Occupation List? What should be considered in</w:t>
      </w:r>
      <w:r w:rsidR="004F481B" w:rsidRPr="007E2211">
        <w:t xml:space="preserve"> </w:t>
      </w:r>
      <w:r w:rsidRPr="007E2211">
        <w:t>compiling the regional occupation list?</w:t>
      </w:r>
    </w:p>
    <w:p w14:paraId="36F40C0E" w14:textId="77777777" w:rsidR="007D6D9E" w:rsidRPr="007E2211" w:rsidRDefault="007D6D9E" w:rsidP="007E2211">
      <w:pPr>
        <w:pStyle w:val="ListBullet"/>
        <w:numPr>
          <w:ilvl w:val="0"/>
          <w:numId w:val="24"/>
        </w:numPr>
      </w:pPr>
      <w:r w:rsidRPr="007E2211">
        <w:t>Could the definitions of regional be aligned across the various regional visas? How</w:t>
      </w:r>
      <w:r w:rsidR="004F481B" w:rsidRPr="007E2211">
        <w:t xml:space="preserve"> </w:t>
      </w:r>
      <w:r w:rsidRPr="007E2211">
        <w:t>can definitions be structured to better account for the unique circumstances of</w:t>
      </w:r>
      <w:r w:rsidR="004F481B" w:rsidRPr="007E2211">
        <w:t xml:space="preserve"> </w:t>
      </w:r>
      <w:r w:rsidRPr="007E2211">
        <w:t>regions?</w:t>
      </w:r>
    </w:p>
    <w:p w14:paraId="61E5DA35" w14:textId="15B71D93" w:rsidR="008E47F7" w:rsidRPr="007E2211" w:rsidRDefault="00C10EF9" w:rsidP="007E2211">
      <w:pPr>
        <w:pStyle w:val="ListBullet"/>
        <w:numPr>
          <w:ilvl w:val="0"/>
          <w:numId w:val="24"/>
        </w:numPr>
      </w:pPr>
      <w:r w:rsidRPr="007E2211">
        <w:t>How can we reform Working Holiday Maker program visa settings to limit exploitation, while still ensuring regional Australia can access the workers it needs</w:t>
      </w:r>
      <w:r w:rsidR="008E47F7" w:rsidRPr="007E2211">
        <w:t>? For example, are there innovative strategies to incentivise Working Holiday Makers to choose regional Australia as their preferred destination, without tying the incentives to specified work visa requirements?</w:t>
      </w:r>
      <w:r w:rsidRPr="007E2211">
        <w:t xml:space="preserve"> </w:t>
      </w:r>
    </w:p>
    <w:p w14:paraId="43267D4E" w14:textId="77777777" w:rsidR="008E47F7" w:rsidRPr="007E2211" w:rsidRDefault="00C10EF9" w:rsidP="007E2211">
      <w:pPr>
        <w:pStyle w:val="ListBullet"/>
        <w:numPr>
          <w:ilvl w:val="0"/>
          <w:numId w:val="24"/>
        </w:numPr>
      </w:pPr>
      <w:r w:rsidRPr="007E2211">
        <w:t>How can we ensure a more consistent approach to lower paid migration across various visa products, as well as reflect our commitment to maintain the primacy of our relationships with the Pacific?</w:t>
      </w:r>
    </w:p>
    <w:p w14:paraId="15312484" w14:textId="130DAF71" w:rsidR="008E47F7" w:rsidRPr="007E2211" w:rsidRDefault="00B6290C" w:rsidP="007E2211">
      <w:pPr>
        <w:pStyle w:val="ListBullet"/>
        <w:numPr>
          <w:ilvl w:val="0"/>
          <w:numId w:val="24"/>
        </w:numPr>
      </w:pPr>
      <w:r w:rsidRPr="007E2211">
        <w:t xml:space="preserve">Noting the limitations of visa settings, what factors encourage more migrants </w:t>
      </w:r>
      <w:r w:rsidR="0061101B" w:rsidRPr="007E2211">
        <w:t xml:space="preserve">to </w:t>
      </w:r>
      <w:r w:rsidRPr="007E2211">
        <w:t>choose to settle in the regions and improve retention?</w:t>
      </w:r>
    </w:p>
    <w:p w14:paraId="3E34A2EE" w14:textId="5AD565BE" w:rsidR="008E47F7" w:rsidRPr="007E2211" w:rsidRDefault="00B6290C" w:rsidP="007E2211">
      <w:pPr>
        <w:pStyle w:val="ListBullet"/>
        <w:numPr>
          <w:ilvl w:val="0"/>
          <w:numId w:val="24"/>
        </w:numPr>
      </w:pPr>
      <w:r w:rsidRPr="007E2211">
        <w:t xml:space="preserve">Do provisional visas successfully encourage large scale retention of migrants </w:t>
      </w:r>
      <w:r w:rsidR="008139C2" w:rsidRPr="007E2211">
        <w:t xml:space="preserve">in the </w:t>
      </w:r>
      <w:r w:rsidRPr="007E2211">
        <w:t xml:space="preserve">regions? Is the length of a provisional visa the right length? Should both </w:t>
      </w:r>
      <w:r w:rsidR="007F6410" w:rsidRPr="007E2211">
        <w:t xml:space="preserve">the </w:t>
      </w:r>
      <w:r w:rsidRPr="007E2211">
        <w:t>regional employer</w:t>
      </w:r>
      <w:r w:rsidR="007F6410" w:rsidRPr="007E2211">
        <w:t>-</w:t>
      </w:r>
      <w:r w:rsidRPr="007E2211">
        <w:t>sponsored visa and the regional nominated visa have provisional visa arrangements?</w:t>
      </w:r>
    </w:p>
    <w:p w14:paraId="784A512C" w14:textId="16C27CA6" w:rsidR="00B6290C" w:rsidRPr="00E667DE" w:rsidRDefault="00B6290C" w:rsidP="007E2211">
      <w:pPr>
        <w:pStyle w:val="ListBullet"/>
        <w:numPr>
          <w:ilvl w:val="0"/>
          <w:numId w:val="24"/>
        </w:numPr>
      </w:pPr>
      <w:r w:rsidRPr="007E2211">
        <w:t>How can we improve planning for regional migration, especially given migrants to regional Australia post</w:t>
      </w:r>
      <w:r w:rsidRPr="00E667DE">
        <w:t>-pandemic? Should there be more flexibility provided to states and territories in planning for regional migration?</w:t>
      </w:r>
    </w:p>
    <w:p w14:paraId="313E69F5" w14:textId="3E531FF2" w:rsidR="009E41F5" w:rsidRPr="0078546D" w:rsidRDefault="00D04873" w:rsidP="00E667DE">
      <w:pPr>
        <w:rPr>
          <w:rFonts w:cs="Arial"/>
          <w:kern w:val="2"/>
          <w14:ligatures w14:val="standardContextual"/>
        </w:rPr>
      </w:pPr>
      <w:r w:rsidRPr="0078546D">
        <w:t xml:space="preserve">JSA </w:t>
      </w:r>
      <w:r w:rsidR="00F6122B" w:rsidRPr="0078546D">
        <w:rPr>
          <w:rFonts w:cs="Arial"/>
          <w:kern w:val="2"/>
          <w14:ligatures w14:val="standardContextual"/>
        </w:rPr>
        <w:t xml:space="preserve">will work with the </w:t>
      </w:r>
      <w:r w:rsidR="00124DAF" w:rsidRPr="0078546D">
        <w:rPr>
          <w:rFonts w:cs="Arial"/>
          <w:kern w:val="2"/>
          <w14:ligatures w14:val="standardContextual"/>
        </w:rPr>
        <w:t>Department of Employment and Workplace Rel</w:t>
      </w:r>
      <w:r w:rsidR="00AC6A50" w:rsidRPr="0078546D">
        <w:rPr>
          <w:rFonts w:cs="Arial"/>
          <w:kern w:val="2"/>
          <w14:ligatures w14:val="standardContextual"/>
        </w:rPr>
        <w:t>ations and other agencies</w:t>
      </w:r>
      <w:r w:rsidR="00B217DA" w:rsidRPr="0078546D">
        <w:rPr>
          <w:rFonts w:cs="Arial"/>
          <w:kern w:val="2"/>
          <w14:ligatures w14:val="standardContextual"/>
        </w:rPr>
        <w:t xml:space="preserve"> </w:t>
      </w:r>
      <w:r w:rsidR="008C7591" w:rsidRPr="0078546D">
        <w:rPr>
          <w:rFonts w:cs="Arial"/>
          <w:kern w:val="2"/>
          <w14:ligatures w14:val="standardContextual"/>
        </w:rPr>
        <w:t xml:space="preserve">across government </w:t>
      </w:r>
      <w:r w:rsidR="00D65259" w:rsidRPr="0078546D">
        <w:rPr>
          <w:rFonts w:cs="Arial"/>
          <w:kern w:val="2"/>
          <w14:ligatures w14:val="standardContextual"/>
        </w:rPr>
        <w:t xml:space="preserve">to </w:t>
      </w:r>
      <w:r w:rsidR="00B217DA" w:rsidRPr="0078546D">
        <w:rPr>
          <w:rFonts w:cs="Arial"/>
          <w:kern w:val="2"/>
          <w14:ligatures w14:val="standardContextual"/>
        </w:rPr>
        <w:t xml:space="preserve">help </w:t>
      </w:r>
      <w:r w:rsidR="008C7591" w:rsidRPr="0078546D">
        <w:rPr>
          <w:rFonts w:cs="Arial"/>
          <w:kern w:val="2"/>
          <w14:ligatures w14:val="standardContextual"/>
        </w:rPr>
        <w:t>the De</w:t>
      </w:r>
      <w:r w:rsidR="004C0478" w:rsidRPr="0078546D">
        <w:rPr>
          <w:rFonts w:cs="Arial"/>
          <w:kern w:val="2"/>
          <w14:ligatures w14:val="standardContextual"/>
        </w:rPr>
        <w:t xml:space="preserve">partment of </w:t>
      </w:r>
      <w:r w:rsidR="00BD069F" w:rsidRPr="0078546D">
        <w:rPr>
          <w:rFonts w:cs="Arial"/>
          <w:kern w:val="2"/>
          <w14:ligatures w14:val="standardContextual"/>
        </w:rPr>
        <w:t xml:space="preserve">Home Affairs </w:t>
      </w:r>
      <w:r w:rsidR="00B5278B" w:rsidRPr="0078546D">
        <w:rPr>
          <w:rFonts w:cs="Arial"/>
          <w:kern w:val="2"/>
          <w14:ligatures w14:val="standardContextual"/>
        </w:rPr>
        <w:t xml:space="preserve">to </w:t>
      </w:r>
      <w:r w:rsidR="000475C1" w:rsidRPr="0078546D">
        <w:rPr>
          <w:rFonts w:cs="Arial"/>
          <w:kern w:val="2"/>
          <w14:ligatures w14:val="standardContextual"/>
        </w:rPr>
        <w:t xml:space="preserve">consider </w:t>
      </w:r>
      <w:r w:rsidR="00B217DA" w:rsidRPr="0078546D">
        <w:rPr>
          <w:rFonts w:cs="Arial"/>
          <w:kern w:val="2"/>
          <w14:ligatures w14:val="standardContextual"/>
        </w:rPr>
        <w:t xml:space="preserve">these questions </w:t>
      </w:r>
      <w:r w:rsidR="000317FC" w:rsidRPr="0078546D">
        <w:rPr>
          <w:rFonts w:cs="Arial"/>
          <w:kern w:val="2"/>
          <w14:ligatures w14:val="standardContextual"/>
        </w:rPr>
        <w:t xml:space="preserve">and </w:t>
      </w:r>
      <w:r w:rsidR="009E41F5" w:rsidRPr="0078546D">
        <w:rPr>
          <w:rFonts w:cs="Arial"/>
          <w:kern w:val="2"/>
          <w14:ligatures w14:val="standardContextual"/>
        </w:rPr>
        <w:t xml:space="preserve">ultimately </w:t>
      </w:r>
      <w:r w:rsidR="00F014C9" w:rsidRPr="0078546D">
        <w:rPr>
          <w:rFonts w:cs="Arial"/>
          <w:kern w:val="2"/>
          <w14:ligatures w14:val="standardContextual"/>
        </w:rPr>
        <w:t xml:space="preserve">provide advice to Government on regional migration </w:t>
      </w:r>
      <w:r w:rsidR="00A22555" w:rsidRPr="0078546D">
        <w:rPr>
          <w:rFonts w:cs="Arial"/>
          <w:kern w:val="2"/>
          <w14:ligatures w14:val="standardContextual"/>
        </w:rPr>
        <w:t>settings.</w:t>
      </w:r>
      <w:r w:rsidR="00147355" w:rsidRPr="0078546D">
        <w:rPr>
          <w:rFonts w:cs="Arial"/>
          <w:kern w:val="2"/>
          <w14:ligatures w14:val="standardContextual"/>
        </w:rPr>
        <w:t xml:space="preserve"> </w:t>
      </w:r>
    </w:p>
    <w:p w14:paraId="0A2CC715" w14:textId="2A293891" w:rsidR="00D365BB" w:rsidRPr="0078546D" w:rsidRDefault="00CF7DF4" w:rsidP="00E667DE">
      <w:pPr>
        <w:rPr>
          <w:rFonts w:cs="Arial"/>
          <w:kern w:val="2"/>
          <w14:ligatures w14:val="standardContextual"/>
        </w:rPr>
      </w:pPr>
      <w:r w:rsidRPr="0078546D">
        <w:t xml:space="preserve">In so doing, JSA will </w:t>
      </w:r>
      <w:r w:rsidR="00FB1C4D" w:rsidRPr="0078546D">
        <w:rPr>
          <w:rFonts w:cs="Arial"/>
          <w:kern w:val="2"/>
          <w14:ligatures w14:val="standardContextual"/>
        </w:rPr>
        <w:t xml:space="preserve">draw upon </w:t>
      </w:r>
      <w:r w:rsidR="00915666" w:rsidRPr="0078546D">
        <w:rPr>
          <w:rFonts w:cs="Arial"/>
          <w:kern w:val="2"/>
          <w14:ligatures w14:val="standardContextual"/>
        </w:rPr>
        <w:t>it</w:t>
      </w:r>
      <w:r w:rsidR="00747F85" w:rsidRPr="0078546D">
        <w:rPr>
          <w:rFonts w:cs="Arial"/>
          <w:kern w:val="2"/>
          <w14:ligatures w14:val="standardContextual"/>
        </w:rPr>
        <w:t xml:space="preserve">s </w:t>
      </w:r>
      <w:r w:rsidR="00361C14" w:rsidRPr="0078546D">
        <w:rPr>
          <w:rFonts w:cs="Arial"/>
          <w:kern w:val="2"/>
          <w14:ligatures w14:val="standardContextual"/>
        </w:rPr>
        <w:t xml:space="preserve">analytical tools </w:t>
      </w:r>
      <w:r w:rsidR="00DF4B67" w:rsidRPr="0078546D">
        <w:rPr>
          <w:rFonts w:cs="Arial"/>
          <w:kern w:val="2"/>
          <w14:ligatures w14:val="standardContextual"/>
        </w:rPr>
        <w:t xml:space="preserve">and </w:t>
      </w:r>
      <w:r w:rsidR="000E604B" w:rsidRPr="0078546D">
        <w:rPr>
          <w:rFonts w:cs="Arial"/>
          <w:kern w:val="2"/>
          <w14:ligatures w14:val="standardContextual"/>
        </w:rPr>
        <w:t xml:space="preserve">regional </w:t>
      </w:r>
      <w:r w:rsidR="00B52B7C" w:rsidRPr="0078546D">
        <w:rPr>
          <w:rFonts w:cs="Arial"/>
          <w:kern w:val="2"/>
          <w14:ligatures w14:val="standardContextual"/>
        </w:rPr>
        <w:t>and sector-specific</w:t>
      </w:r>
      <w:r w:rsidR="004C5D18" w:rsidRPr="0078546D">
        <w:rPr>
          <w:rFonts w:cs="Arial"/>
          <w:kern w:val="2"/>
          <w14:ligatures w14:val="standardContextual"/>
        </w:rPr>
        <w:t xml:space="preserve"> </w:t>
      </w:r>
      <w:r w:rsidR="000E604B" w:rsidRPr="0078546D">
        <w:rPr>
          <w:rFonts w:cs="Arial"/>
          <w:kern w:val="2"/>
          <w14:ligatures w14:val="standardContextual"/>
        </w:rPr>
        <w:t xml:space="preserve">labour market and skills </w:t>
      </w:r>
      <w:r w:rsidR="00DF4B67" w:rsidRPr="0078546D">
        <w:rPr>
          <w:rFonts w:cs="Arial"/>
          <w:kern w:val="2"/>
          <w14:ligatures w14:val="standardContextual"/>
        </w:rPr>
        <w:t xml:space="preserve">analysis and </w:t>
      </w:r>
      <w:r w:rsidR="00361C14" w:rsidRPr="0078546D">
        <w:rPr>
          <w:rFonts w:cs="Arial"/>
          <w:kern w:val="2"/>
          <w14:ligatures w14:val="standardContextual"/>
        </w:rPr>
        <w:t>research</w:t>
      </w:r>
      <w:r w:rsidR="00DF4B67" w:rsidRPr="0078546D">
        <w:rPr>
          <w:rFonts w:cs="Arial"/>
          <w:kern w:val="2"/>
          <w14:ligatures w14:val="standardContextual"/>
        </w:rPr>
        <w:t>,</w:t>
      </w:r>
      <w:r w:rsidR="007C550A" w:rsidRPr="0078546D">
        <w:rPr>
          <w:rFonts w:cs="Arial"/>
          <w:kern w:val="2"/>
          <w14:ligatures w14:val="standardContextual"/>
        </w:rPr>
        <w:t xml:space="preserve"> incl</w:t>
      </w:r>
      <w:r w:rsidR="00307372" w:rsidRPr="0078546D">
        <w:rPr>
          <w:rFonts w:cs="Arial"/>
          <w:kern w:val="2"/>
          <w14:ligatures w14:val="standardContextual"/>
        </w:rPr>
        <w:t xml:space="preserve">uding </w:t>
      </w:r>
      <w:r w:rsidR="00202314" w:rsidRPr="0078546D">
        <w:rPr>
          <w:rFonts w:cs="Arial"/>
          <w:kern w:val="2"/>
          <w14:ligatures w14:val="standardContextual"/>
        </w:rPr>
        <w:t>the</w:t>
      </w:r>
      <w:r w:rsidR="00307372" w:rsidRPr="0078546D">
        <w:rPr>
          <w:rFonts w:cs="Arial"/>
          <w:kern w:val="2"/>
          <w14:ligatures w14:val="standardContextual"/>
        </w:rPr>
        <w:t xml:space="preserve"> </w:t>
      </w:r>
      <w:r w:rsidR="00C868D1" w:rsidRPr="0078546D">
        <w:rPr>
          <w:rFonts w:cs="Arial"/>
          <w:kern w:val="2"/>
          <w14:ligatures w14:val="standardContextual"/>
        </w:rPr>
        <w:t>Regional</w:t>
      </w:r>
      <w:r w:rsidR="00600CB3" w:rsidRPr="0078546D">
        <w:rPr>
          <w:rFonts w:cs="Arial"/>
          <w:kern w:val="2"/>
          <w14:ligatures w14:val="standardContextual"/>
        </w:rPr>
        <w:t>, Rural and Remote</w:t>
      </w:r>
      <w:r w:rsidR="00C868D1" w:rsidRPr="0078546D">
        <w:rPr>
          <w:rFonts w:cs="Arial"/>
          <w:kern w:val="2"/>
          <w14:ligatures w14:val="standardContextual"/>
        </w:rPr>
        <w:t xml:space="preserve"> </w:t>
      </w:r>
      <w:r w:rsidR="0069054C" w:rsidRPr="0078546D">
        <w:rPr>
          <w:rFonts w:cs="Arial"/>
          <w:kern w:val="2"/>
          <w14:ligatures w14:val="standardContextual"/>
        </w:rPr>
        <w:t xml:space="preserve">Jobs and Skills </w:t>
      </w:r>
      <w:r w:rsidR="00C868D1" w:rsidRPr="0078546D">
        <w:rPr>
          <w:rFonts w:cs="Arial"/>
          <w:kern w:val="2"/>
          <w14:ligatures w14:val="standardContextual"/>
        </w:rPr>
        <w:t>Roadmap</w:t>
      </w:r>
      <w:r w:rsidR="00F82FE6" w:rsidRPr="0078546D">
        <w:rPr>
          <w:rFonts w:cs="Arial"/>
          <w:kern w:val="2"/>
          <w14:ligatures w14:val="standardContextual"/>
        </w:rPr>
        <w:t xml:space="preserve"> and </w:t>
      </w:r>
      <w:r w:rsidR="00791252" w:rsidRPr="0078546D">
        <w:rPr>
          <w:rFonts w:cs="Arial"/>
          <w:kern w:val="2"/>
          <w14:ligatures w14:val="standardContextual"/>
        </w:rPr>
        <w:t xml:space="preserve">major </w:t>
      </w:r>
      <w:r w:rsidR="00232265" w:rsidRPr="0078546D">
        <w:rPr>
          <w:rFonts w:cs="Arial"/>
          <w:kern w:val="2"/>
          <w14:ligatures w14:val="standardContextual"/>
        </w:rPr>
        <w:t xml:space="preserve">JSA </w:t>
      </w:r>
      <w:r w:rsidR="00791252" w:rsidRPr="0078546D">
        <w:rPr>
          <w:rFonts w:cs="Arial"/>
          <w:kern w:val="2"/>
          <w14:ligatures w14:val="standardContextual"/>
        </w:rPr>
        <w:t>c</w:t>
      </w:r>
      <w:r w:rsidR="00232265" w:rsidRPr="0078546D">
        <w:rPr>
          <w:rFonts w:cs="Arial"/>
          <w:kern w:val="2"/>
          <w14:ligatures w14:val="standardContextual"/>
        </w:rPr>
        <w:t xml:space="preserve">apacity </w:t>
      </w:r>
      <w:r w:rsidR="00791252" w:rsidRPr="0078546D">
        <w:rPr>
          <w:rFonts w:cs="Arial"/>
          <w:kern w:val="2"/>
          <w14:ligatures w14:val="standardContextual"/>
        </w:rPr>
        <w:t>s</w:t>
      </w:r>
      <w:r w:rsidR="00232265" w:rsidRPr="0078546D">
        <w:rPr>
          <w:rFonts w:cs="Arial"/>
          <w:kern w:val="2"/>
          <w14:ligatures w14:val="standardContextual"/>
        </w:rPr>
        <w:t xml:space="preserve">tudies. </w:t>
      </w:r>
    </w:p>
    <w:p w14:paraId="1C8D8C4D" w14:textId="674BBDEE" w:rsidR="00583CAA" w:rsidRPr="0078546D" w:rsidRDefault="00232265" w:rsidP="00E667DE">
      <w:pPr>
        <w:rPr>
          <w:rFonts w:cs="Arial"/>
          <w:kern w:val="2"/>
          <w14:ligatures w14:val="standardContextual"/>
        </w:rPr>
      </w:pPr>
      <w:r w:rsidRPr="0078546D">
        <w:t>For example, i</w:t>
      </w:r>
      <w:r w:rsidR="00B40F24" w:rsidRPr="0078546D">
        <w:rPr>
          <w:rFonts w:cs="Arial"/>
          <w:kern w:val="2"/>
          <w14:ligatures w14:val="standardContextual"/>
        </w:rPr>
        <w:t xml:space="preserve">n </w:t>
      </w:r>
      <w:r w:rsidR="00365C1A" w:rsidRPr="0078546D">
        <w:rPr>
          <w:rFonts w:cs="Arial"/>
          <w:kern w:val="2"/>
          <w14:ligatures w14:val="standardContextual"/>
        </w:rPr>
        <w:t>relation to</w:t>
      </w:r>
      <w:r w:rsidR="00B40F24" w:rsidRPr="0078546D">
        <w:rPr>
          <w:rFonts w:cs="Arial"/>
          <w:kern w:val="2"/>
          <w14:ligatures w14:val="standardContextual"/>
        </w:rPr>
        <w:t xml:space="preserve"> </w:t>
      </w:r>
      <w:r w:rsidR="00CB39DF" w:rsidRPr="0078546D">
        <w:rPr>
          <w:rFonts w:cs="Arial"/>
          <w:kern w:val="2"/>
          <w14:ligatures w14:val="standardContextual"/>
        </w:rPr>
        <w:t xml:space="preserve">the questions posed concerning the </w:t>
      </w:r>
      <w:r w:rsidR="00B40F24" w:rsidRPr="0078546D">
        <w:rPr>
          <w:rFonts w:cs="Arial"/>
          <w:kern w:val="2"/>
          <w14:ligatures w14:val="standardContextual"/>
        </w:rPr>
        <w:t xml:space="preserve">Working Holiday Maker program visa settings and low paid migration, the </w:t>
      </w:r>
      <w:r w:rsidR="00031035" w:rsidRPr="0078546D">
        <w:rPr>
          <w:rFonts w:cs="Arial"/>
          <w:kern w:val="2"/>
          <w14:ligatures w14:val="standardContextual"/>
        </w:rPr>
        <w:t>discussion</w:t>
      </w:r>
      <w:r w:rsidR="00B40F24" w:rsidRPr="0078546D">
        <w:rPr>
          <w:rFonts w:cs="Arial"/>
          <w:kern w:val="2"/>
          <w14:ligatures w14:val="standardContextual"/>
        </w:rPr>
        <w:t xml:space="preserve"> paper notes the JSA Food Supply Chain Capacity Study</w:t>
      </w:r>
      <w:r w:rsidR="00D517EE" w:rsidRPr="0078546D">
        <w:rPr>
          <w:rFonts w:cs="Arial"/>
          <w:kern w:val="2"/>
          <w14:ligatures w14:val="standardContextual"/>
        </w:rPr>
        <w:t>,</w:t>
      </w:r>
      <w:r w:rsidR="005D089F" w:rsidRPr="0078546D">
        <w:rPr>
          <w:rFonts w:cs="Arial"/>
          <w:kern w:val="2"/>
          <w14:ligatures w14:val="standardContextual"/>
        </w:rPr>
        <w:t xml:space="preserve"> </w:t>
      </w:r>
      <w:r w:rsidR="00D517EE" w:rsidRPr="0078546D">
        <w:rPr>
          <w:rFonts w:cs="Arial"/>
          <w:kern w:val="2"/>
          <w14:ligatures w14:val="standardContextual"/>
        </w:rPr>
        <w:t>due to be completed September 2024,</w:t>
      </w:r>
      <w:r w:rsidR="005D089F" w:rsidRPr="0078546D">
        <w:rPr>
          <w:rFonts w:cs="Arial"/>
          <w:kern w:val="2"/>
          <w14:ligatures w14:val="standardContextual"/>
        </w:rPr>
        <w:t xml:space="preserve"> </w:t>
      </w:r>
      <w:r w:rsidR="00B40F24" w:rsidRPr="0078546D">
        <w:rPr>
          <w:rFonts w:cs="Arial"/>
          <w:kern w:val="2"/>
          <w14:ligatures w14:val="standardContextual"/>
        </w:rPr>
        <w:t>will inform any potential reforms in th</w:t>
      </w:r>
      <w:r w:rsidR="005D089F" w:rsidRPr="0078546D">
        <w:rPr>
          <w:rFonts w:cs="Arial"/>
          <w:kern w:val="2"/>
          <w14:ligatures w14:val="standardContextual"/>
        </w:rPr>
        <w:t>at</w:t>
      </w:r>
      <w:r w:rsidR="00B40F24" w:rsidRPr="0078546D">
        <w:rPr>
          <w:rFonts w:cs="Arial"/>
          <w:kern w:val="2"/>
          <w14:ligatures w14:val="standardContextual"/>
        </w:rPr>
        <w:t xml:space="preserve"> space (page 14). </w:t>
      </w:r>
      <w:r w:rsidR="00583CAA" w:rsidRPr="0078546D">
        <w:rPr>
          <w:rFonts w:cs="Arial"/>
          <w:kern w:val="2"/>
          <w14:ligatures w14:val="standardContextual"/>
        </w:rPr>
        <w:t>Th</w:t>
      </w:r>
      <w:r w:rsidR="00D12765" w:rsidRPr="0078546D">
        <w:rPr>
          <w:rFonts w:cs="Arial"/>
          <w:kern w:val="2"/>
          <w14:ligatures w14:val="standardContextual"/>
        </w:rPr>
        <w:t>at</w:t>
      </w:r>
      <w:r w:rsidR="00583CAA" w:rsidRPr="0078546D">
        <w:rPr>
          <w:rFonts w:cs="Arial"/>
          <w:kern w:val="2"/>
          <w14:ligatures w14:val="standardContextual"/>
        </w:rPr>
        <w:t xml:space="preserve"> study will examine all aspects of the Food Supply Chain workforce, including the contributions of permanent and temporary migration. It will also examine how to address genuine shortages while preventing migrant exploitation.</w:t>
      </w:r>
    </w:p>
    <w:p w14:paraId="1DBF80E2" w14:textId="0253C25E" w:rsidR="00657C50" w:rsidRPr="0078546D" w:rsidRDefault="007B58FD" w:rsidP="00E667DE">
      <w:pPr>
        <w:rPr>
          <w:rFonts w:cs="Arial"/>
          <w:kern w:val="2"/>
          <w14:ligatures w14:val="standardContextual"/>
        </w:rPr>
      </w:pPr>
      <w:r w:rsidRPr="0078546D">
        <w:t xml:space="preserve">In respect of </w:t>
      </w:r>
      <w:r w:rsidR="006F053B" w:rsidRPr="0078546D">
        <w:rPr>
          <w:rFonts w:cs="Arial"/>
          <w:kern w:val="2"/>
          <w14:ligatures w14:val="standardContextual"/>
        </w:rPr>
        <w:t>the</w:t>
      </w:r>
      <w:r w:rsidR="001A2A2C" w:rsidRPr="0078546D">
        <w:rPr>
          <w:rFonts w:cs="Arial"/>
          <w:kern w:val="2"/>
          <w14:ligatures w14:val="standardContextual"/>
        </w:rPr>
        <w:t xml:space="preserve"> factors impacting </w:t>
      </w:r>
      <w:r w:rsidR="00FC646C" w:rsidRPr="0078546D">
        <w:rPr>
          <w:rFonts w:cs="Arial"/>
          <w:kern w:val="2"/>
          <w14:ligatures w14:val="standardContextual"/>
        </w:rPr>
        <w:t xml:space="preserve">the </w:t>
      </w:r>
      <w:r w:rsidRPr="0078546D">
        <w:rPr>
          <w:rFonts w:cs="Arial"/>
          <w:kern w:val="2"/>
          <w14:ligatures w14:val="standardContextual"/>
        </w:rPr>
        <w:t xml:space="preserve">retention </w:t>
      </w:r>
      <w:r w:rsidR="00642E30" w:rsidRPr="0078546D">
        <w:rPr>
          <w:rFonts w:cs="Arial"/>
          <w:kern w:val="2"/>
          <w14:ligatures w14:val="standardContextual"/>
        </w:rPr>
        <w:t xml:space="preserve">and </w:t>
      </w:r>
      <w:r w:rsidRPr="0078546D">
        <w:rPr>
          <w:rFonts w:cs="Arial"/>
          <w:kern w:val="2"/>
          <w14:ligatures w14:val="standardContextual"/>
        </w:rPr>
        <w:t>movement of migrants</w:t>
      </w:r>
      <w:r w:rsidR="00D62222" w:rsidRPr="0078546D">
        <w:rPr>
          <w:rFonts w:cs="Arial"/>
          <w:kern w:val="2"/>
          <w14:ligatures w14:val="standardContextual"/>
        </w:rPr>
        <w:t>,</w:t>
      </w:r>
      <w:r w:rsidRPr="0078546D">
        <w:rPr>
          <w:rFonts w:cs="Arial"/>
          <w:kern w:val="2"/>
          <w14:ligatures w14:val="standardContextual"/>
        </w:rPr>
        <w:t xml:space="preserve"> </w:t>
      </w:r>
      <w:r w:rsidR="00141A6B">
        <w:rPr>
          <w:rFonts w:cs="Arial"/>
          <w:kern w:val="2"/>
          <w14:ligatures w14:val="standardContextual"/>
        </w:rPr>
        <w:t xml:space="preserve">this presents an opportunity for </w:t>
      </w:r>
      <w:r w:rsidR="00695E1A" w:rsidRPr="0078546D">
        <w:rPr>
          <w:rFonts w:cs="Arial"/>
          <w:kern w:val="2"/>
          <w14:ligatures w14:val="standardContextual"/>
        </w:rPr>
        <w:t xml:space="preserve">JSA </w:t>
      </w:r>
      <w:r w:rsidR="00141A6B">
        <w:rPr>
          <w:rFonts w:cs="Arial"/>
          <w:kern w:val="2"/>
          <w14:ligatures w14:val="standardContextual"/>
        </w:rPr>
        <w:t xml:space="preserve">to undertake </w:t>
      </w:r>
      <w:r w:rsidR="00DE69AF">
        <w:rPr>
          <w:rFonts w:cs="Arial"/>
          <w:kern w:val="2"/>
          <w14:ligatures w14:val="standardContextual"/>
        </w:rPr>
        <w:t>analysis</w:t>
      </w:r>
      <w:r w:rsidR="006E08B0" w:rsidRPr="0078546D">
        <w:rPr>
          <w:rFonts w:cs="Arial"/>
          <w:kern w:val="2"/>
          <w14:ligatures w14:val="standardContextual"/>
        </w:rPr>
        <w:t xml:space="preserve"> in 2024</w:t>
      </w:r>
      <w:r w:rsidR="00941EA1">
        <w:rPr>
          <w:rFonts w:cs="Arial"/>
          <w:kern w:val="2"/>
          <w14:ligatures w14:val="standardContextual"/>
        </w:rPr>
        <w:t>–</w:t>
      </w:r>
      <w:r w:rsidR="006E08B0" w:rsidRPr="0078546D">
        <w:rPr>
          <w:rFonts w:cs="Arial"/>
          <w:kern w:val="2"/>
          <w14:ligatures w14:val="standardContextual"/>
        </w:rPr>
        <w:t xml:space="preserve">25 </w:t>
      </w:r>
      <w:r w:rsidR="004622C2">
        <w:rPr>
          <w:rFonts w:cs="Arial"/>
          <w:kern w:val="2"/>
          <w14:ligatures w14:val="standardContextual"/>
        </w:rPr>
        <w:t>using</w:t>
      </w:r>
      <w:r w:rsidR="00365C1A" w:rsidRPr="0078546D">
        <w:rPr>
          <w:rFonts w:cs="Arial"/>
          <w:kern w:val="2"/>
          <w14:ligatures w14:val="standardContextual"/>
        </w:rPr>
        <w:t xml:space="preserve"> linked and administrative data to examine</w:t>
      </w:r>
      <w:r w:rsidRPr="0078546D">
        <w:rPr>
          <w:rFonts w:cs="Arial"/>
          <w:kern w:val="2"/>
          <w14:ligatures w14:val="standardContextual"/>
        </w:rPr>
        <w:t xml:space="preserve"> migrant transitions</w:t>
      </w:r>
      <w:r w:rsidR="00573A22" w:rsidRPr="0078546D">
        <w:rPr>
          <w:rFonts w:cs="Arial"/>
          <w:kern w:val="2"/>
          <w14:ligatures w14:val="standardContextual"/>
        </w:rPr>
        <w:t>.</w:t>
      </w:r>
    </w:p>
    <w:p w14:paraId="49BA5714" w14:textId="77777777" w:rsidR="007E2211" w:rsidRDefault="007E2211" w:rsidP="007E2211">
      <w:pPr>
        <w:sectPr w:rsidR="007E2211" w:rsidSect="005C1F87">
          <w:headerReference w:type="even" r:id="rId167"/>
          <w:headerReference w:type="default" r:id="rId168"/>
          <w:headerReference w:type="first" r:id="rId169"/>
          <w:footerReference w:type="first" r:id="rId170"/>
          <w:pgSz w:w="11906" w:h="16838"/>
          <w:pgMar w:top="1134" w:right="1440" w:bottom="1418" w:left="1440" w:header="0" w:footer="539" w:gutter="0"/>
          <w:cols w:space="708"/>
          <w:titlePg/>
          <w:docGrid w:linePitch="360"/>
        </w:sectPr>
      </w:pPr>
      <w:bookmarkStart w:id="98" w:name="_Toc158722834"/>
    </w:p>
    <w:p w14:paraId="1D4D5BA9" w14:textId="5B01F5C7" w:rsidR="00DC63F3" w:rsidRPr="00A1076E" w:rsidRDefault="00E138E6" w:rsidP="00A1076E">
      <w:pPr>
        <w:pStyle w:val="Heading1"/>
        <w:rPr>
          <w:rFonts w:asciiTheme="minorHAnsi" w:hAnsiTheme="minorHAnsi" w:cstheme="minorHAnsi"/>
        </w:rPr>
      </w:pPr>
      <w:bookmarkStart w:id="99" w:name="_Toc178173754"/>
      <w:r w:rsidRPr="00A1076E">
        <w:rPr>
          <w:rFonts w:asciiTheme="minorHAnsi" w:hAnsiTheme="minorHAnsi" w:cstheme="minorHAnsi"/>
        </w:rPr>
        <w:t xml:space="preserve">Appendix </w:t>
      </w:r>
      <w:r w:rsidR="006E4AAD" w:rsidRPr="00A1076E">
        <w:rPr>
          <w:rFonts w:asciiTheme="minorHAnsi" w:hAnsiTheme="minorHAnsi" w:cstheme="minorHAnsi"/>
        </w:rPr>
        <w:t>B</w:t>
      </w:r>
      <w:r w:rsidRPr="00A1076E">
        <w:rPr>
          <w:rFonts w:asciiTheme="minorHAnsi" w:hAnsiTheme="minorHAnsi" w:cstheme="minorHAnsi"/>
        </w:rPr>
        <w:t xml:space="preserve">: </w:t>
      </w:r>
      <w:bookmarkStart w:id="100" w:name="_Toc171937476"/>
      <w:r w:rsidR="00DC63F3" w:rsidRPr="00A1076E">
        <w:rPr>
          <w:rFonts w:asciiTheme="minorHAnsi" w:hAnsiTheme="minorHAnsi" w:cstheme="minorHAnsi"/>
        </w:rPr>
        <w:t>Regional Australia and defining regions</w:t>
      </w:r>
      <w:bookmarkEnd w:id="99"/>
      <w:bookmarkEnd w:id="100"/>
    </w:p>
    <w:p w14:paraId="3BC22036" w14:textId="2E4F2B3E" w:rsidR="00DC63F3" w:rsidRPr="009E292C" w:rsidRDefault="00C610F3" w:rsidP="004B2242">
      <w:r w:rsidRPr="009E292C">
        <w:t xml:space="preserve">‘Regions’ can be defined in many ways. Structured and well-defined regions are essential for data analysis. </w:t>
      </w:r>
      <w:r w:rsidR="00DC63F3" w:rsidRPr="009E292C">
        <w:t>As mentioned earlier</w:t>
      </w:r>
      <w:r w:rsidR="00EF6D10">
        <w:t>,</w:t>
      </w:r>
      <w:r w:rsidR="00DC63F3" w:rsidRPr="009E292C">
        <w:t xml:space="preserve"> the focus of th</w:t>
      </w:r>
      <w:r w:rsidR="00EF6D10">
        <w:t>is report</w:t>
      </w:r>
      <w:r w:rsidR="00DC63F3" w:rsidRPr="009E292C">
        <w:t xml:space="preserve"> is those parts of Australia outside of capital city areas, recognising that there is considerable variation across </w:t>
      </w:r>
      <w:r w:rsidR="00EF6D10">
        <w:t>r</w:t>
      </w:r>
      <w:r w:rsidR="00DC63F3" w:rsidRPr="009E292C">
        <w:t>egional Australia.</w:t>
      </w:r>
    </w:p>
    <w:p w14:paraId="5BE3C2AA" w14:textId="3CB4DB78" w:rsidR="00981A2F" w:rsidRPr="00A4123D" w:rsidRDefault="00DC63F3" w:rsidP="004B2242">
      <w:r w:rsidRPr="009E292C">
        <w:t xml:space="preserve">The primary geographic classification that is available to </w:t>
      </w:r>
      <w:r w:rsidR="00C610F3" w:rsidRPr="009E292C">
        <w:t xml:space="preserve">analyse a broad range of </w:t>
      </w:r>
      <w:r w:rsidRPr="009E292C">
        <w:t xml:space="preserve">labour market and skills data </w:t>
      </w:r>
      <w:r w:rsidR="00C610F3" w:rsidRPr="009E292C">
        <w:t>is</w:t>
      </w:r>
      <w:r w:rsidRPr="009E292C">
        <w:t xml:space="preserve"> the</w:t>
      </w:r>
      <w:r w:rsidRPr="00601FF4">
        <w:rPr>
          <w:rFonts w:asciiTheme="minorHAnsi" w:hAnsiTheme="minorHAnsi" w:cstheme="minorHAnsi"/>
        </w:rPr>
        <w:t xml:space="preserve"> </w:t>
      </w:r>
      <w:r w:rsidR="009817E4">
        <w:rPr>
          <w:rFonts w:asciiTheme="minorHAnsi" w:hAnsiTheme="minorHAnsi" w:cstheme="minorHAnsi"/>
        </w:rPr>
        <w:t xml:space="preserve">ABS </w:t>
      </w:r>
      <w:hyperlink r:id="rId171" w:history="1">
        <w:r w:rsidRPr="00C610F3">
          <w:rPr>
            <w:rStyle w:val="Hyperlink"/>
            <w:rFonts w:asciiTheme="minorHAnsi" w:hAnsiTheme="minorHAnsi" w:cstheme="minorHAnsi"/>
          </w:rPr>
          <w:t>Australian Statistical Geography Standard (ASGS)</w:t>
        </w:r>
      </w:hyperlink>
      <w:r w:rsidRPr="00601FF4">
        <w:rPr>
          <w:rFonts w:asciiTheme="minorHAnsi" w:hAnsiTheme="minorHAnsi" w:cstheme="minorHAnsi"/>
        </w:rPr>
        <w:t xml:space="preserve">. </w:t>
      </w:r>
      <w:r w:rsidRPr="00A4123D">
        <w:t>Within the main structure of the ASGS states and territories are initially divided into ‘Greater Capital City Statistical Areas</w:t>
      </w:r>
      <w:r w:rsidR="0096615A">
        <w:t>’</w:t>
      </w:r>
      <w:r w:rsidRPr="00A4123D">
        <w:t xml:space="preserve"> (GCCSA) and Rest of State (RoS). With increasing levels of detail in the classification these areas are then divided into Statistical Areas level 4 (SA4s), level 3 </w:t>
      </w:r>
      <w:r w:rsidR="00981A2F" w:rsidRPr="00A4123D">
        <w:t xml:space="preserve">(SA3s), level 2 (SA2s) and level 1 (SA1s). </w:t>
      </w:r>
    </w:p>
    <w:p w14:paraId="7C0CEE44" w14:textId="7ACF1084" w:rsidR="00981A2F" w:rsidRDefault="00981A2F" w:rsidP="004B2242">
      <w:r>
        <w:t xml:space="preserve">SA4s are designed for the output of a variety of regional </w:t>
      </w:r>
      <w:r w:rsidR="00D72D53">
        <w:t>data and</w:t>
      </w:r>
      <w:r>
        <w:t xml:space="preserve"> represent labour markets and the functional area of capital cities.</w:t>
      </w:r>
      <w:r w:rsidRPr="00093B7C">
        <w:rPr>
          <w:rFonts w:cs="Arial"/>
          <w:vertAlign w:val="superscript"/>
        </w:rPr>
        <w:footnoteReference w:id="109"/>
      </w:r>
      <w:r w:rsidRPr="00AA359D">
        <w:rPr>
          <w:rFonts w:cs="Arial"/>
          <w:vertAlign w:val="subscript"/>
        </w:rPr>
        <w:t xml:space="preserve"> </w:t>
      </w:r>
      <w:r>
        <w:t xml:space="preserve">Given the variety of regional data available at the SA4 level, it makes it a commonly used spatial unit for regional analysis. That said, some regional data is only readily available at the GCCSA/RoS areas. </w:t>
      </w:r>
    </w:p>
    <w:p w14:paraId="29B370E0" w14:textId="01245BF3" w:rsidR="00DC63F3" w:rsidRPr="00A4123D" w:rsidRDefault="00DC63F3" w:rsidP="004B2242">
      <w:r w:rsidRPr="00A4123D">
        <w:t xml:space="preserve">The ASGS also includes a remoteness structure, which divides Australia into </w:t>
      </w:r>
      <w:r w:rsidR="00093B7C">
        <w:t>5</w:t>
      </w:r>
      <w:r w:rsidRPr="00A4123D">
        <w:t xml:space="preserve"> classes of remoteness (</w:t>
      </w:r>
      <w:r w:rsidR="002A3EB9">
        <w:t>major</w:t>
      </w:r>
      <w:r w:rsidRPr="00A4123D">
        <w:t xml:space="preserve"> cities, inner regional, outer regional, remote and very remote) which are characterised by a measure of relative geographic access to services</w:t>
      </w:r>
      <w:r w:rsidR="00EE5697">
        <w:t>.</w:t>
      </w:r>
      <w:r w:rsidR="00F511FB">
        <w:rPr>
          <w:rStyle w:val="FootnoteReference"/>
        </w:rPr>
        <w:footnoteReference w:id="110"/>
      </w:r>
      <w:r w:rsidR="007D1B04">
        <w:t xml:space="preserve"> </w:t>
      </w:r>
      <w:r w:rsidRPr="00A4123D">
        <w:t>At the higher levels of the ASGS main structure there is not a clear concordance to remoteness, particularly for SA4s that cover large geographic areas.</w:t>
      </w:r>
    </w:p>
    <w:p w14:paraId="669D50E2" w14:textId="2412F340" w:rsidR="00981A2F" w:rsidRDefault="00981A2F" w:rsidP="004B2242">
      <w:r>
        <w:t xml:space="preserve">A number of data sources used in this report, </w:t>
      </w:r>
      <w:r w:rsidRPr="00A4123D">
        <w:t xml:space="preserve">such as the National Centre for Vocational Education Research (NCVER) total VET students and courses dataset and some of the </w:t>
      </w:r>
      <w:r w:rsidR="00C24440">
        <w:t>h</w:t>
      </w:r>
      <w:r w:rsidRPr="00A4123D">
        <w:t xml:space="preserve">igher </w:t>
      </w:r>
      <w:r w:rsidR="00C24440">
        <w:t>e</w:t>
      </w:r>
      <w:r w:rsidRPr="00A4123D">
        <w:t xml:space="preserve">ducation data, has coded student’s residential address to remoteness, so the remoteness structure is used. </w:t>
      </w:r>
      <w:r>
        <w:t>It is worth noting, that within the remoteness structure the ‘</w:t>
      </w:r>
      <w:r w:rsidR="00B62A9A">
        <w:t>major</w:t>
      </w:r>
      <w:r>
        <w:t xml:space="preserve"> cities’ classification is not equivalent to </w:t>
      </w:r>
      <w:r w:rsidR="0025395C">
        <w:t>‘</w:t>
      </w:r>
      <w:r w:rsidR="00761008">
        <w:t>greater capital cities</w:t>
      </w:r>
      <w:r w:rsidR="002B7FF7">
        <w:t xml:space="preserve">’ </w:t>
      </w:r>
      <w:r w:rsidR="003C0F76">
        <w:t>(</w:t>
      </w:r>
      <w:r>
        <w:t>GCCSA</w:t>
      </w:r>
      <w:r w:rsidR="003C0F76">
        <w:t>)</w:t>
      </w:r>
      <w:r>
        <w:t xml:space="preserve"> within the ASGS main structure, notably Darwin and Hobart are classed </w:t>
      </w:r>
      <w:r w:rsidR="00F82685">
        <w:t xml:space="preserve">as </w:t>
      </w:r>
      <w:r w:rsidR="002E1E57">
        <w:t>capital</w:t>
      </w:r>
      <w:r>
        <w:t xml:space="preserve"> cities within the</w:t>
      </w:r>
      <w:r w:rsidR="00F82685">
        <w:t xml:space="preserve"> GCCSA but </w:t>
      </w:r>
      <w:r w:rsidR="00BB02EC">
        <w:t>are not classed as ‘major cities’ within the</w:t>
      </w:r>
      <w:r>
        <w:t xml:space="preserve"> remoteness structure.</w:t>
      </w:r>
      <w:r w:rsidR="00644254">
        <w:t xml:space="preserve"> Also, </w:t>
      </w:r>
      <w:r w:rsidR="00B71F4F">
        <w:t>universities based in Hobart (University of Tasmania) and Darwin (Charles Darwin University) are considered regional univ</w:t>
      </w:r>
      <w:r w:rsidR="00DA44C6">
        <w:t>ersities so are included in the analysis of specific regional universities.</w:t>
      </w:r>
    </w:p>
    <w:p w14:paraId="0410FCCA" w14:textId="35506B0A" w:rsidR="00F63948" w:rsidRPr="00D275FF" w:rsidRDefault="00F63948" w:rsidP="004B2242">
      <w:pPr>
        <w:rPr>
          <w:b/>
          <w:bCs/>
        </w:rPr>
      </w:pPr>
      <w:r>
        <w:t xml:space="preserve">There is an opportunity for JSA to develop a </w:t>
      </w:r>
      <w:r w:rsidR="00901851">
        <w:t xml:space="preserve">framework to characterise </w:t>
      </w:r>
      <w:r w:rsidR="0006365D">
        <w:t xml:space="preserve">and group </w:t>
      </w:r>
      <w:r w:rsidR="001D6045">
        <w:t>regions</w:t>
      </w:r>
      <w:r w:rsidR="00800223">
        <w:t xml:space="preserve"> </w:t>
      </w:r>
      <w:r w:rsidR="0006365D">
        <w:t>based on their labour</w:t>
      </w:r>
      <w:r w:rsidR="001E6481">
        <w:t xml:space="preserve"> market composition and performance, also taking into account geographic and other characteristics. </w:t>
      </w:r>
      <w:r w:rsidR="00D5756D">
        <w:t xml:space="preserve">This work can build on </w:t>
      </w:r>
      <w:r w:rsidR="00174CCB">
        <w:t>other e</w:t>
      </w:r>
      <w:r w:rsidR="00BC0369">
        <w:t>xisting approaches to characterise regions</w:t>
      </w:r>
      <w:r w:rsidR="00F80F54">
        <w:t>, such as those</w:t>
      </w:r>
      <w:r w:rsidR="00621341">
        <w:t xml:space="preserve"> used by </w:t>
      </w:r>
      <w:r w:rsidR="0024339A">
        <w:t>the Regional Australia Institute</w:t>
      </w:r>
      <w:r w:rsidR="008025D0">
        <w:t xml:space="preserve"> and the </w:t>
      </w:r>
      <w:r w:rsidR="00F80F54" w:rsidRPr="00F80F54">
        <w:t xml:space="preserve">Bureau of Communications, Arts and Regional </w:t>
      </w:r>
      <w:r w:rsidR="00F80F54">
        <w:t>R</w:t>
      </w:r>
      <w:r w:rsidR="00F80F54" w:rsidRPr="00F80F54">
        <w:t>esearch</w:t>
      </w:r>
      <w:r w:rsidR="00F80F54">
        <w:t>.</w:t>
      </w:r>
    </w:p>
    <w:p w14:paraId="17DAE72D" w14:textId="079665E5" w:rsidR="00DC63F3" w:rsidRDefault="00DC63F3" w:rsidP="00E54B8C"/>
    <w:p w14:paraId="248F1BF4" w14:textId="77777777" w:rsidR="007E2211" w:rsidRDefault="007E2211" w:rsidP="007E2211">
      <w:pPr>
        <w:sectPr w:rsidR="007E2211" w:rsidSect="005C1F87">
          <w:pgSz w:w="11906" w:h="16838"/>
          <w:pgMar w:top="1134" w:right="1440" w:bottom="1418" w:left="1440" w:header="0" w:footer="539" w:gutter="0"/>
          <w:cols w:space="708"/>
          <w:titlePg/>
          <w:docGrid w:linePitch="360"/>
        </w:sectPr>
      </w:pPr>
      <w:bookmarkStart w:id="101" w:name="_Appendix_C:_Regional"/>
      <w:bookmarkStart w:id="102" w:name="_Toc171937477"/>
      <w:bookmarkEnd w:id="101"/>
    </w:p>
    <w:p w14:paraId="5B2FF179" w14:textId="08E95E30" w:rsidR="007170FB" w:rsidRPr="003739A9" w:rsidRDefault="007170FB" w:rsidP="00A1076E">
      <w:pPr>
        <w:pStyle w:val="Heading1"/>
        <w:rPr>
          <w:rFonts w:asciiTheme="minorHAnsi" w:hAnsiTheme="minorHAnsi" w:cstheme="minorHAnsi"/>
        </w:rPr>
      </w:pPr>
      <w:bookmarkStart w:id="103" w:name="_Toc178173755"/>
      <w:r>
        <w:rPr>
          <w:rFonts w:asciiTheme="minorHAnsi" w:hAnsiTheme="minorHAnsi" w:cstheme="minorHAnsi"/>
        </w:rPr>
        <w:t xml:space="preserve">Appendix </w:t>
      </w:r>
      <w:r w:rsidR="00A91189">
        <w:rPr>
          <w:rFonts w:asciiTheme="minorHAnsi" w:hAnsiTheme="minorHAnsi" w:cstheme="minorHAnsi"/>
        </w:rPr>
        <w:t>C</w:t>
      </w:r>
      <w:r>
        <w:rPr>
          <w:rFonts w:asciiTheme="minorHAnsi" w:hAnsiTheme="minorHAnsi" w:cstheme="minorHAnsi"/>
        </w:rPr>
        <w:t>: R</w:t>
      </w:r>
      <w:r w:rsidR="003660D4">
        <w:rPr>
          <w:rFonts w:asciiTheme="minorHAnsi" w:hAnsiTheme="minorHAnsi" w:cstheme="minorHAnsi"/>
        </w:rPr>
        <w:t xml:space="preserve">egional Labour Market Indicator </w:t>
      </w:r>
      <w:r w:rsidR="000F6044">
        <w:rPr>
          <w:rFonts w:asciiTheme="minorHAnsi" w:hAnsiTheme="minorHAnsi" w:cstheme="minorHAnsi"/>
        </w:rPr>
        <w:t xml:space="preserve">(RLMI) </w:t>
      </w:r>
      <w:r w:rsidR="00D14807">
        <w:rPr>
          <w:rFonts w:asciiTheme="minorHAnsi" w:hAnsiTheme="minorHAnsi" w:cstheme="minorHAnsi"/>
        </w:rPr>
        <w:t>E</w:t>
      </w:r>
      <w:r>
        <w:rPr>
          <w:rFonts w:asciiTheme="minorHAnsi" w:hAnsiTheme="minorHAnsi" w:cstheme="minorHAnsi"/>
        </w:rPr>
        <w:t xml:space="preserve">xplanatory </w:t>
      </w:r>
      <w:r w:rsidR="00D14807">
        <w:rPr>
          <w:rFonts w:asciiTheme="minorHAnsi" w:hAnsiTheme="minorHAnsi" w:cstheme="minorHAnsi"/>
        </w:rPr>
        <w:t>N</w:t>
      </w:r>
      <w:r>
        <w:rPr>
          <w:rFonts w:asciiTheme="minorHAnsi" w:hAnsiTheme="minorHAnsi" w:cstheme="minorHAnsi"/>
        </w:rPr>
        <w:t>otes</w:t>
      </w:r>
      <w:bookmarkEnd w:id="102"/>
      <w:bookmarkEnd w:id="103"/>
    </w:p>
    <w:p w14:paraId="594F9D53" w14:textId="77777777" w:rsidR="007170FB" w:rsidRPr="003739A9" w:rsidRDefault="007170FB" w:rsidP="007E2211">
      <w:pPr>
        <w:pStyle w:val="Heading2noTOC"/>
      </w:pPr>
      <w:bookmarkStart w:id="104" w:name="_Toc171937478"/>
      <w:r>
        <w:t>Purpose</w:t>
      </w:r>
      <w:bookmarkEnd w:id="104"/>
    </w:p>
    <w:p w14:paraId="5E536858" w14:textId="77777777" w:rsidR="00856312" w:rsidRPr="00856312" w:rsidRDefault="007170FB" w:rsidP="00232DF5">
      <w:r w:rsidRPr="00856312">
        <w:t xml:space="preserve">Gaining an understanding of the trends that are associated with regional labour market performance will help better inform policy development and assist in ensuring Australia has the necessary pre-requisites to build a better-skilled and more adaptable workforce to position the Australian labour market for the future. </w:t>
      </w:r>
    </w:p>
    <w:p w14:paraId="40D6E716" w14:textId="77777777" w:rsidR="007170FB" w:rsidRPr="00856312" w:rsidRDefault="007170FB" w:rsidP="00232DF5">
      <w:r w:rsidRPr="00856312">
        <w:t>Central to this effort is to measure labour market performance across regions. Doing so, however, is a complex task. For instance, while the unemployment rate is a useful indicator of labour market tightness, it is only one of a number of labour market indicators and identifying common trends across separate indicators can be challenging, particularly at the regional level where labour market indicators are inherently volatile due to poor data quality.</w:t>
      </w:r>
    </w:p>
    <w:p w14:paraId="0F6C1F25" w14:textId="77777777" w:rsidR="007170FB" w:rsidRPr="00856312" w:rsidRDefault="007170FB" w:rsidP="00232DF5">
      <w:r w:rsidRPr="00856312">
        <w:t>To overcome these challenges, the Regional Labour Market Indicator (RLMI) combines key measures of spare labour market capacity, from both an employee and employer perspective, into a single, and easy to interpret, summary measure (with regions grouped into distinct categories of overall labour market performance, ranging from ‘poor’ to ‘strong’) which provides an accurate and reliable view of labour market performance. A strong labour market, that is characterised by a high rate of employment, where employment opportunities are extended to all who want them, is central to a strong economy and prosperous and inclusive society.</w:t>
      </w:r>
    </w:p>
    <w:p w14:paraId="41F3945A" w14:textId="77777777" w:rsidR="007170FB" w:rsidRPr="00856312" w:rsidRDefault="007170FB" w:rsidP="00232DF5">
      <w:r w:rsidRPr="00856312">
        <w:t>Importantly, the RLMI’s purpose aligns closely with the Australian Government’s approach to consider a broader range of labour market indicators, including of labour market utilisation, to measure progress towards sustained and inclusive full employment, as outlined in </w:t>
      </w:r>
      <w:r w:rsidRPr="00856312">
        <w:rPr>
          <w:i/>
        </w:rPr>
        <w:t>Working Future: The Australian Government’s White paper on Jobs and Opportunities</w:t>
      </w:r>
      <w:r w:rsidRPr="00856312">
        <w:t xml:space="preserve">. </w:t>
      </w:r>
    </w:p>
    <w:p w14:paraId="388F063B" w14:textId="77777777" w:rsidR="007170FB" w:rsidRDefault="007170FB" w:rsidP="007E2211">
      <w:pPr>
        <w:pStyle w:val="Heading2noTOC"/>
      </w:pPr>
      <w:bookmarkStart w:id="105" w:name="_Toc171937479"/>
      <w:r>
        <w:t>Factors used to assess labour market performance</w:t>
      </w:r>
      <w:bookmarkEnd w:id="105"/>
    </w:p>
    <w:p w14:paraId="61EECE7D" w14:textId="66718C26" w:rsidR="007170FB" w:rsidRPr="00856312" w:rsidRDefault="007170FB" w:rsidP="00232DF5">
      <w:r w:rsidRPr="00856312">
        <w:t xml:space="preserve">The </w:t>
      </w:r>
      <w:r w:rsidRPr="00B9624B">
        <w:rPr>
          <w:rStyle w:val="Emphasis"/>
        </w:rPr>
        <w:t>working age (15</w:t>
      </w:r>
      <w:r w:rsidR="007D1B04">
        <w:rPr>
          <w:rFonts w:cs="Arial"/>
          <w:kern w:val="2"/>
          <w14:ligatures w14:val="standardContextual"/>
        </w:rPr>
        <w:t>–</w:t>
      </w:r>
      <w:r w:rsidRPr="00B9624B">
        <w:rPr>
          <w:rStyle w:val="Emphasis"/>
        </w:rPr>
        <w:t>64 years) employment rate</w:t>
      </w:r>
      <w:r w:rsidRPr="00856312">
        <w:t xml:space="preserve"> is one of the most commonly used indicators for understanding conditions in the labour market and is a key measure of strength. It provides an insight into the extent to which available labour (some individual’s personal circumstances may prevent them from participating in the labour market) is being used and is unaffected by voluntary changes in labour force participation. </w:t>
      </w:r>
    </w:p>
    <w:p w14:paraId="21746F13" w14:textId="77777777" w:rsidR="007170FB" w:rsidRPr="00856312" w:rsidRDefault="007170FB" w:rsidP="00232DF5">
      <w:r w:rsidRPr="00856312">
        <w:t xml:space="preserve">Along with the employment rate, the </w:t>
      </w:r>
      <w:r w:rsidRPr="00B9624B">
        <w:rPr>
          <w:rStyle w:val="Emphasis"/>
        </w:rPr>
        <w:t>unemployment rate</w:t>
      </w:r>
      <w:r w:rsidRPr="00856312">
        <w:t xml:space="preserve"> is one of the most commonly used indicators for understanding conditions in the labour market and is a key measure of spare capacity. It provides insights into the availability of unused labour that is willing and available for work. </w:t>
      </w:r>
    </w:p>
    <w:p w14:paraId="0AD5E154" w14:textId="77777777" w:rsidR="007170FB" w:rsidRPr="00856312" w:rsidRDefault="007170FB" w:rsidP="00232DF5">
      <w:r w:rsidRPr="00856312">
        <w:t xml:space="preserve">The </w:t>
      </w:r>
      <w:r w:rsidRPr="00B9624B">
        <w:rPr>
          <w:rStyle w:val="Emphasis"/>
        </w:rPr>
        <w:t>JobSeeker income support rate</w:t>
      </w:r>
      <w:r w:rsidRPr="00856312">
        <w:t xml:space="preserve"> is a reliable measure of spare capacity in the labour market and is an important complement to other measures of spare capacity. It is a combination of the JobSeeker payment and Youth Allowance (other) payment, measured as a proportion of the working age population. These payments are designed to provide financial assistance to support those looking for working, including those who may be working part-time. </w:t>
      </w:r>
    </w:p>
    <w:p w14:paraId="4A321A8C" w14:textId="543F594B" w:rsidR="007170FB" w:rsidRPr="00856312" w:rsidRDefault="007170FB" w:rsidP="00232DF5">
      <w:r w:rsidRPr="00856312">
        <w:t xml:space="preserve">The </w:t>
      </w:r>
      <w:r w:rsidRPr="00B9624B">
        <w:rPr>
          <w:rStyle w:val="Emphasis"/>
        </w:rPr>
        <w:t>underemployment rate</w:t>
      </w:r>
      <w:r w:rsidRPr="00856312">
        <w:t xml:space="preserve"> takes a broad view of underutilisation by measuring the share of the labour force that is employed, but not fully utilised in terms of the amount of work people would like. It is an important complement to the unemployment rate in assessing how much spare capacity could be called upon in adapting to labour market strength and weakness. </w:t>
      </w:r>
      <w:r w:rsidR="00B01B39" w:rsidRPr="00653D2A">
        <w:t>This measure is only robust at the greater capital city/rest of state level of geography.</w:t>
      </w:r>
    </w:p>
    <w:p w14:paraId="7F314E30" w14:textId="6F6A7186" w:rsidR="007170FB" w:rsidRPr="00653D2A" w:rsidRDefault="007170FB" w:rsidP="00232DF5">
      <w:r w:rsidRPr="00856312">
        <w:t xml:space="preserve">The </w:t>
      </w:r>
      <w:r w:rsidRPr="00B9624B">
        <w:rPr>
          <w:rStyle w:val="Emphasis"/>
        </w:rPr>
        <w:t>vacancy fill rate</w:t>
      </w:r>
      <w:r w:rsidRPr="00856312">
        <w:t xml:space="preserve"> is a key measure of unmet demand for labour. A low fill rate indicates that the demand for labour is not matched by the supply of labour from workers. This may be due to a lack of suitable applicants or high search costs that reduce labour market matching efficiency. Poorer-performing regions experience more difficulty filling vacant positions, despite having a higher availability of unused labour willing and available to work.</w:t>
      </w:r>
      <w:r w:rsidR="00653D2A">
        <w:t xml:space="preserve"> </w:t>
      </w:r>
      <w:r w:rsidR="00653D2A" w:rsidRPr="00653D2A">
        <w:t>This measure is only robust at the greater capital city/rest of state level of geography.</w:t>
      </w:r>
    </w:p>
    <w:p w14:paraId="219185C5" w14:textId="77777777" w:rsidR="007170FB" w:rsidRPr="0075089D" w:rsidRDefault="007170FB" w:rsidP="007E2211">
      <w:pPr>
        <w:pStyle w:val="Heading2noTOC"/>
      </w:pPr>
      <w:bookmarkStart w:id="106" w:name="_Toc171937480"/>
      <w:r w:rsidRPr="0075089D">
        <w:t>Methodology</w:t>
      </w:r>
      <w:bookmarkEnd w:id="106"/>
    </w:p>
    <w:p w14:paraId="66C593A2" w14:textId="77777777" w:rsidR="007170FB" w:rsidRPr="007E2211" w:rsidRDefault="007170FB" w:rsidP="003D070F">
      <w:r w:rsidRPr="00232DF5">
        <w:t>Please refer to the</w:t>
      </w:r>
      <w:r w:rsidRPr="00FB6AD5">
        <w:rPr>
          <w:rFonts w:eastAsia="Arial Nova"/>
          <w:i/>
          <w:iCs/>
        </w:rPr>
        <w:t xml:space="preserve"> </w:t>
      </w:r>
      <w:hyperlink r:id="rId172" w:history="1">
        <w:r w:rsidRPr="00232DF5">
          <w:rPr>
            <w:rStyle w:val="Hyperlink"/>
            <w:rFonts w:eastAsia="Arial Nova"/>
          </w:rPr>
          <w:t>RLMI Methodology Paper</w:t>
        </w:r>
      </w:hyperlink>
      <w:r w:rsidRPr="00232DF5">
        <w:rPr>
          <w:rFonts w:eastAsia="Arial Nova"/>
        </w:rPr>
        <w:t xml:space="preserve"> </w:t>
      </w:r>
      <w:r w:rsidRPr="00232DF5">
        <w:t>for more information on the RLMI</w:t>
      </w:r>
      <w:r w:rsidRPr="00232DF5">
        <w:rPr>
          <w:rFonts w:eastAsia="Arial Nova"/>
        </w:rPr>
        <w:t>.</w:t>
      </w:r>
      <w:r w:rsidRPr="00FB6AD5">
        <w:rPr>
          <w:rFonts w:eastAsia="Arial Nova"/>
          <w:i/>
          <w:iCs/>
        </w:rPr>
        <w:t xml:space="preserve"> </w:t>
      </w:r>
    </w:p>
    <w:p w14:paraId="6D0ADFE7" w14:textId="77777777" w:rsidR="007E2211" w:rsidRDefault="007E2211" w:rsidP="0063616E">
      <w:pPr>
        <w:pStyle w:val="Heading1"/>
        <w:rPr>
          <w:rFonts w:asciiTheme="majorHAnsi" w:hAnsiTheme="majorHAnsi" w:cstheme="majorHAnsi"/>
        </w:rPr>
        <w:sectPr w:rsidR="007E2211" w:rsidSect="005C1F87">
          <w:pgSz w:w="11906" w:h="16838"/>
          <w:pgMar w:top="1134" w:right="1440" w:bottom="1418" w:left="1440" w:header="0" w:footer="539" w:gutter="0"/>
          <w:cols w:space="708"/>
          <w:titlePg/>
          <w:docGrid w:linePitch="360"/>
        </w:sectPr>
      </w:pPr>
      <w:bookmarkStart w:id="107" w:name="_Toc171937481"/>
    </w:p>
    <w:p w14:paraId="382D242D" w14:textId="0B71948A" w:rsidR="00D15BE2" w:rsidRPr="0063616E" w:rsidRDefault="00D15BE2" w:rsidP="0063616E">
      <w:pPr>
        <w:pStyle w:val="Heading1"/>
        <w:rPr>
          <w:rFonts w:asciiTheme="majorHAnsi" w:hAnsiTheme="majorHAnsi" w:cstheme="majorHAnsi"/>
        </w:rPr>
      </w:pPr>
      <w:bookmarkStart w:id="108" w:name="_Toc178173756"/>
      <w:r w:rsidRPr="0063616E">
        <w:rPr>
          <w:rFonts w:asciiTheme="majorHAnsi" w:hAnsiTheme="majorHAnsi" w:cstheme="majorHAnsi"/>
        </w:rPr>
        <w:t xml:space="preserve">Appendix </w:t>
      </w:r>
      <w:r w:rsidR="00A91189">
        <w:rPr>
          <w:rFonts w:asciiTheme="majorHAnsi" w:hAnsiTheme="majorHAnsi" w:cstheme="majorHAnsi"/>
        </w:rPr>
        <w:t>D</w:t>
      </w:r>
      <w:r w:rsidRPr="0063616E">
        <w:rPr>
          <w:rFonts w:asciiTheme="majorHAnsi" w:hAnsiTheme="majorHAnsi" w:cstheme="majorHAnsi"/>
        </w:rPr>
        <w:t xml:space="preserve">: </w:t>
      </w:r>
      <w:r w:rsidR="003660D4">
        <w:rPr>
          <w:rFonts w:asciiTheme="minorHAnsi" w:hAnsiTheme="minorHAnsi" w:cstheme="minorHAnsi"/>
        </w:rPr>
        <w:t>R</w:t>
      </w:r>
      <w:r w:rsidR="000F6044">
        <w:rPr>
          <w:rFonts w:asciiTheme="minorHAnsi" w:hAnsiTheme="minorHAnsi" w:cstheme="minorHAnsi"/>
        </w:rPr>
        <w:t>LMI</w:t>
      </w:r>
      <w:r w:rsidR="003660D4">
        <w:rPr>
          <w:rFonts w:asciiTheme="minorHAnsi" w:hAnsiTheme="minorHAnsi" w:cstheme="minorHAnsi"/>
        </w:rPr>
        <w:t xml:space="preserve"> </w:t>
      </w:r>
      <w:r w:rsidR="00D14807">
        <w:rPr>
          <w:rFonts w:asciiTheme="majorHAnsi" w:hAnsiTheme="majorHAnsi" w:cstheme="majorHAnsi"/>
        </w:rPr>
        <w:t>R</w:t>
      </w:r>
      <w:r w:rsidR="0070310B" w:rsidRPr="0063616E">
        <w:rPr>
          <w:rFonts w:asciiTheme="majorHAnsi" w:hAnsiTheme="majorHAnsi" w:cstheme="majorHAnsi"/>
        </w:rPr>
        <w:t>atings</w:t>
      </w:r>
      <w:r w:rsidR="003378CB" w:rsidRPr="0063616E">
        <w:rPr>
          <w:rFonts w:asciiTheme="majorHAnsi" w:hAnsiTheme="majorHAnsi" w:cstheme="majorHAnsi"/>
        </w:rPr>
        <w:t xml:space="preserve"> of </w:t>
      </w:r>
      <w:r w:rsidR="00D14807">
        <w:rPr>
          <w:rFonts w:asciiTheme="majorHAnsi" w:hAnsiTheme="majorHAnsi" w:cstheme="majorHAnsi"/>
        </w:rPr>
        <w:t>R</w:t>
      </w:r>
      <w:r w:rsidR="0070310B" w:rsidRPr="0063616E">
        <w:rPr>
          <w:rFonts w:asciiTheme="majorHAnsi" w:hAnsiTheme="majorHAnsi" w:cstheme="majorHAnsi"/>
        </w:rPr>
        <w:t>elative</w:t>
      </w:r>
      <w:r w:rsidR="003378CB" w:rsidRPr="0063616E">
        <w:rPr>
          <w:rFonts w:asciiTheme="majorHAnsi" w:hAnsiTheme="majorHAnsi" w:cstheme="majorHAnsi"/>
        </w:rPr>
        <w:t xml:space="preserve"> </w:t>
      </w:r>
      <w:r w:rsidR="00D14807">
        <w:rPr>
          <w:rFonts w:asciiTheme="majorHAnsi" w:hAnsiTheme="majorHAnsi" w:cstheme="majorHAnsi"/>
        </w:rPr>
        <w:t>L</w:t>
      </w:r>
      <w:r w:rsidR="003378CB" w:rsidRPr="0063616E">
        <w:rPr>
          <w:rFonts w:asciiTheme="majorHAnsi" w:hAnsiTheme="majorHAnsi" w:cstheme="majorHAnsi"/>
        </w:rPr>
        <w:t xml:space="preserve">abour </w:t>
      </w:r>
      <w:r w:rsidR="00D14807">
        <w:rPr>
          <w:rFonts w:asciiTheme="majorHAnsi" w:hAnsiTheme="majorHAnsi" w:cstheme="majorHAnsi"/>
        </w:rPr>
        <w:t>M</w:t>
      </w:r>
      <w:r w:rsidR="003378CB" w:rsidRPr="0063616E">
        <w:rPr>
          <w:rFonts w:asciiTheme="majorHAnsi" w:hAnsiTheme="majorHAnsi" w:cstheme="majorHAnsi"/>
        </w:rPr>
        <w:t xml:space="preserve">arket </w:t>
      </w:r>
      <w:r w:rsidR="00D14807">
        <w:rPr>
          <w:rFonts w:asciiTheme="majorHAnsi" w:hAnsiTheme="majorHAnsi" w:cstheme="majorHAnsi"/>
        </w:rPr>
        <w:t>S</w:t>
      </w:r>
      <w:r w:rsidR="003378CB" w:rsidRPr="0063616E">
        <w:rPr>
          <w:rFonts w:asciiTheme="majorHAnsi" w:hAnsiTheme="majorHAnsi" w:cstheme="majorHAnsi"/>
        </w:rPr>
        <w:t>trength</w:t>
      </w:r>
      <w:bookmarkEnd w:id="107"/>
      <w:bookmarkEnd w:id="108"/>
    </w:p>
    <w:p w14:paraId="0E27B793" w14:textId="37EC28AE" w:rsidR="002806C0" w:rsidRPr="003C7F4A" w:rsidRDefault="003C7F4A" w:rsidP="007E2211">
      <w:pPr>
        <w:pStyle w:val="Caption"/>
      </w:pPr>
      <w:r w:rsidRPr="003C7F4A">
        <w:t xml:space="preserve">Table 18: </w:t>
      </w:r>
      <w:r w:rsidR="002037DD" w:rsidRPr="003C7F4A">
        <w:t xml:space="preserve">RLMI ratings of relative labour market strength, </w:t>
      </w:r>
      <w:r w:rsidR="00A1519B">
        <w:t>June</w:t>
      </w:r>
      <w:r w:rsidR="00A1519B" w:rsidRPr="003C7F4A">
        <w:t xml:space="preserve"> </w:t>
      </w:r>
      <w:r w:rsidR="002037DD" w:rsidRPr="003C7F4A">
        <w:t>2024</w:t>
      </w:r>
    </w:p>
    <w:tbl>
      <w:tblPr>
        <w:tblStyle w:val="JSATable1"/>
        <w:tblW w:w="5000" w:type="pct"/>
        <w:tblLook w:val="04A0" w:firstRow="1" w:lastRow="0" w:firstColumn="1" w:lastColumn="0" w:noHBand="0" w:noVBand="1"/>
      </w:tblPr>
      <w:tblGrid>
        <w:gridCol w:w="4956"/>
        <w:gridCol w:w="79"/>
        <w:gridCol w:w="3991"/>
      </w:tblGrid>
      <w:tr w:rsidR="00AE1040" w:rsidRPr="00D3551F" w14:paraId="46B4B7DD" w14:textId="77777777" w:rsidTr="00AE1040">
        <w:trPr>
          <w:cnfStyle w:val="100000000000" w:firstRow="1" w:lastRow="0" w:firstColumn="0" w:lastColumn="0" w:oddVBand="0" w:evenVBand="0" w:oddHBand="0" w:evenHBand="0" w:firstRowFirstColumn="0" w:firstRowLastColumn="0" w:lastRowFirstColumn="0" w:lastRowLastColumn="0"/>
          <w:cantSplit/>
          <w:trHeight w:val="397"/>
        </w:trPr>
        <w:tc>
          <w:tcPr>
            <w:tcW w:w="5000" w:type="pct"/>
            <w:gridSpan w:val="3"/>
            <w:noWrap/>
            <w:vAlign w:val="center"/>
            <w:hideMark/>
          </w:tcPr>
          <w:p w14:paraId="75E0A8B2" w14:textId="77777777" w:rsidR="00AE1040" w:rsidRPr="007E2211" w:rsidRDefault="00AE1040" w:rsidP="007E2211">
            <w:pPr>
              <w:jc w:val="center"/>
              <w:rPr>
                <w:b/>
                <w:bCs/>
              </w:rPr>
            </w:pPr>
            <w:r w:rsidRPr="007E2211">
              <w:rPr>
                <w:b/>
                <w:bCs/>
              </w:rPr>
              <w:t>Strong</w:t>
            </w:r>
          </w:p>
        </w:tc>
      </w:tr>
      <w:tr w:rsidR="00AE1040" w:rsidRPr="00D3551F" w14:paraId="522F25F0" w14:textId="77777777" w:rsidTr="00A12739">
        <w:trPr>
          <w:cantSplit/>
          <w:trHeight w:val="397"/>
        </w:trPr>
        <w:tc>
          <w:tcPr>
            <w:tcW w:w="2789" w:type="pct"/>
            <w:gridSpan w:val="2"/>
            <w:noWrap/>
            <w:vAlign w:val="center"/>
            <w:hideMark/>
          </w:tcPr>
          <w:p w14:paraId="1DFE7539" w14:textId="77777777" w:rsidR="00AE1040" w:rsidRPr="00BB248F" w:rsidRDefault="00AE1040" w:rsidP="00AE1040">
            <w:pPr>
              <w:rPr>
                <w:rFonts w:eastAsia="Times New Roman" w:cs="Arial"/>
                <w:color w:val="000000"/>
              </w:rPr>
            </w:pPr>
            <w:r w:rsidRPr="00BB248F">
              <w:rPr>
                <w:rFonts w:eastAsia="Times New Roman" w:cs="Arial"/>
                <w:color w:val="000000"/>
              </w:rPr>
              <w:t>Sydney - Baulkham Hills and Hawkesbury (NSW)</w:t>
            </w:r>
          </w:p>
        </w:tc>
        <w:tc>
          <w:tcPr>
            <w:tcW w:w="2211" w:type="pct"/>
            <w:vAlign w:val="center"/>
          </w:tcPr>
          <w:p w14:paraId="45E3E0AD" w14:textId="1A2766F0" w:rsidR="00AE1040" w:rsidRPr="00BB248F" w:rsidRDefault="00A12739" w:rsidP="00AE1040">
            <w:pPr>
              <w:rPr>
                <w:rFonts w:eastAsia="Times New Roman" w:cs="Arial"/>
                <w:color w:val="000000"/>
              </w:rPr>
            </w:pPr>
            <w:r w:rsidRPr="00BB248F">
              <w:rPr>
                <w:rFonts w:eastAsia="Times New Roman" w:cs="Arial"/>
                <w:color w:val="000000"/>
              </w:rPr>
              <w:t>Melbourne - Inner South (Vic.)</w:t>
            </w:r>
          </w:p>
        </w:tc>
      </w:tr>
      <w:tr w:rsidR="00A12739" w:rsidRPr="00D3551F" w14:paraId="49675B16"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89" w:type="pct"/>
            <w:gridSpan w:val="2"/>
            <w:noWrap/>
            <w:vAlign w:val="center"/>
            <w:hideMark/>
          </w:tcPr>
          <w:p w14:paraId="75CF40E6" w14:textId="77777777" w:rsidR="00A12739" w:rsidRPr="00BB248F" w:rsidRDefault="00A12739" w:rsidP="00A12739">
            <w:pPr>
              <w:rPr>
                <w:rFonts w:eastAsia="Times New Roman" w:cs="Arial"/>
                <w:color w:val="000000"/>
              </w:rPr>
            </w:pPr>
            <w:r w:rsidRPr="00BB248F">
              <w:rPr>
                <w:rFonts w:eastAsia="Times New Roman" w:cs="Arial"/>
                <w:color w:val="000000"/>
              </w:rPr>
              <w:t>Sydney - Eastern Suburbs (NSW)</w:t>
            </w:r>
          </w:p>
        </w:tc>
        <w:tc>
          <w:tcPr>
            <w:tcW w:w="2211" w:type="pct"/>
            <w:vAlign w:val="center"/>
          </w:tcPr>
          <w:p w14:paraId="2AF9BA28" w14:textId="5B250539" w:rsidR="00A12739" w:rsidRPr="00BB248F" w:rsidRDefault="00A12739" w:rsidP="00A12739">
            <w:pPr>
              <w:rPr>
                <w:rFonts w:eastAsia="Times New Roman" w:cs="Arial"/>
                <w:color w:val="000000"/>
              </w:rPr>
            </w:pPr>
            <w:r>
              <w:rPr>
                <w:rFonts w:eastAsia="Times New Roman" w:cs="Arial"/>
                <w:color w:val="000000"/>
              </w:rPr>
              <w:t>Warrnambool and South West (Vic.)</w:t>
            </w:r>
          </w:p>
        </w:tc>
      </w:tr>
      <w:tr w:rsidR="00A12739" w:rsidRPr="00D3551F" w14:paraId="0FC99E18" w14:textId="77777777" w:rsidTr="00A12739">
        <w:trPr>
          <w:cantSplit/>
          <w:trHeight w:val="397"/>
        </w:trPr>
        <w:tc>
          <w:tcPr>
            <w:tcW w:w="2789" w:type="pct"/>
            <w:gridSpan w:val="2"/>
            <w:noWrap/>
            <w:vAlign w:val="center"/>
            <w:hideMark/>
          </w:tcPr>
          <w:p w14:paraId="1D1E2A92" w14:textId="77777777" w:rsidR="00A12739" w:rsidRPr="00BB248F" w:rsidRDefault="00A12739" w:rsidP="00A12739">
            <w:pPr>
              <w:rPr>
                <w:rFonts w:eastAsia="Times New Roman" w:cs="Arial"/>
                <w:color w:val="000000"/>
              </w:rPr>
            </w:pPr>
            <w:r w:rsidRPr="00BB248F">
              <w:rPr>
                <w:rFonts w:eastAsia="Times New Roman" w:cs="Arial"/>
                <w:color w:val="000000"/>
              </w:rPr>
              <w:t>Sydney - Inner West (NSW)</w:t>
            </w:r>
          </w:p>
        </w:tc>
        <w:tc>
          <w:tcPr>
            <w:tcW w:w="2211" w:type="pct"/>
            <w:vAlign w:val="center"/>
          </w:tcPr>
          <w:p w14:paraId="2953D2C5" w14:textId="3E5E8F15" w:rsidR="00A12739" w:rsidRPr="00BB248F" w:rsidRDefault="00A12739" w:rsidP="00A12739">
            <w:pPr>
              <w:rPr>
                <w:rFonts w:eastAsia="Times New Roman" w:cs="Arial"/>
                <w:color w:val="000000"/>
              </w:rPr>
            </w:pPr>
            <w:r w:rsidRPr="00BB248F">
              <w:rPr>
                <w:rFonts w:eastAsia="Times New Roman" w:cs="Arial"/>
                <w:color w:val="000000"/>
              </w:rPr>
              <w:t>Brisbane - West (QLD)</w:t>
            </w:r>
          </w:p>
        </w:tc>
      </w:tr>
      <w:tr w:rsidR="00A12739" w:rsidRPr="00D3551F" w14:paraId="402B7C04"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89" w:type="pct"/>
            <w:gridSpan w:val="2"/>
            <w:noWrap/>
            <w:vAlign w:val="center"/>
            <w:hideMark/>
          </w:tcPr>
          <w:p w14:paraId="44C2BFFB" w14:textId="7267A2FA" w:rsidR="00A12739" w:rsidRPr="00FF5EE2" w:rsidRDefault="00A12739" w:rsidP="00A12739">
            <w:pPr>
              <w:rPr>
                <w:rFonts w:cs="Arial"/>
                <w:color w:val="000000"/>
              </w:rPr>
            </w:pPr>
            <w:r>
              <w:rPr>
                <w:rFonts w:cs="Arial"/>
                <w:color w:val="000000"/>
              </w:rPr>
              <w:t>Sydney - Northern Beaches</w:t>
            </w:r>
          </w:p>
        </w:tc>
        <w:tc>
          <w:tcPr>
            <w:tcW w:w="2211" w:type="pct"/>
            <w:vAlign w:val="center"/>
          </w:tcPr>
          <w:p w14:paraId="7E4BE209" w14:textId="4CA3FD1B" w:rsidR="00A12739" w:rsidRPr="00BB248F" w:rsidRDefault="00A12739" w:rsidP="00A12739">
            <w:pPr>
              <w:rPr>
                <w:rFonts w:eastAsia="Times New Roman" w:cs="Arial"/>
                <w:color w:val="000000"/>
              </w:rPr>
            </w:pPr>
            <w:r w:rsidRPr="00BB248F">
              <w:rPr>
                <w:rFonts w:eastAsia="Times New Roman" w:cs="Arial"/>
                <w:color w:val="000000"/>
              </w:rPr>
              <w:t>Brisbane Inner City (QLD)</w:t>
            </w:r>
          </w:p>
        </w:tc>
      </w:tr>
      <w:tr w:rsidR="00A12739" w:rsidRPr="00D3551F" w14:paraId="483A25F8" w14:textId="77777777" w:rsidTr="00DE6F95">
        <w:trPr>
          <w:cantSplit/>
          <w:trHeight w:val="397"/>
        </w:trPr>
        <w:tc>
          <w:tcPr>
            <w:tcW w:w="2789" w:type="pct"/>
            <w:gridSpan w:val="2"/>
            <w:noWrap/>
            <w:vAlign w:val="center"/>
          </w:tcPr>
          <w:p w14:paraId="5F416BF6" w14:textId="64BFC72C" w:rsidR="00A12739" w:rsidRPr="00BB248F" w:rsidRDefault="00A12739" w:rsidP="00A12739">
            <w:pPr>
              <w:rPr>
                <w:rFonts w:eastAsia="Times New Roman" w:cs="Arial"/>
                <w:color w:val="000000"/>
              </w:rPr>
            </w:pPr>
            <w:r>
              <w:rPr>
                <w:rFonts w:eastAsia="Times New Roman" w:cs="Arial"/>
                <w:color w:val="000000"/>
              </w:rPr>
              <w:t xml:space="preserve">Sydney </w:t>
            </w:r>
            <w:r w:rsidR="00941EA1">
              <w:rPr>
                <w:rFonts w:eastAsia="Times New Roman" w:cs="Arial"/>
                <w:color w:val="000000"/>
              </w:rPr>
              <w:t>-</w:t>
            </w:r>
            <w:r>
              <w:rPr>
                <w:rFonts w:eastAsia="Times New Roman" w:cs="Arial"/>
                <w:color w:val="000000"/>
              </w:rPr>
              <w:t xml:space="preserve"> Outer West and Blue Mountains (NSW)</w:t>
            </w:r>
          </w:p>
        </w:tc>
        <w:tc>
          <w:tcPr>
            <w:tcW w:w="2211" w:type="pct"/>
            <w:vAlign w:val="center"/>
          </w:tcPr>
          <w:p w14:paraId="6BD79348" w14:textId="06C6EFF9" w:rsidR="00A12739" w:rsidRPr="00BB248F" w:rsidRDefault="00A12739" w:rsidP="00A12739">
            <w:pPr>
              <w:rPr>
                <w:rFonts w:eastAsia="Times New Roman" w:cs="Arial"/>
                <w:color w:val="000000"/>
              </w:rPr>
            </w:pPr>
            <w:r w:rsidRPr="00BB248F">
              <w:rPr>
                <w:rFonts w:eastAsia="Times New Roman" w:cs="Arial"/>
                <w:color w:val="000000"/>
              </w:rPr>
              <w:t>Perth - Inner (WA)</w:t>
            </w:r>
          </w:p>
        </w:tc>
      </w:tr>
      <w:tr w:rsidR="00A12739" w:rsidRPr="00D3551F" w14:paraId="2DAADD9E" w14:textId="77777777" w:rsidTr="00DE6F95">
        <w:trPr>
          <w:cnfStyle w:val="000000010000" w:firstRow="0" w:lastRow="0" w:firstColumn="0" w:lastColumn="0" w:oddVBand="0" w:evenVBand="0" w:oddHBand="0" w:evenHBand="1" w:firstRowFirstColumn="0" w:firstRowLastColumn="0" w:lastRowFirstColumn="0" w:lastRowLastColumn="0"/>
          <w:cantSplit/>
          <w:trHeight w:val="397"/>
        </w:trPr>
        <w:tc>
          <w:tcPr>
            <w:tcW w:w="2789" w:type="pct"/>
            <w:gridSpan w:val="2"/>
            <w:noWrap/>
            <w:vAlign w:val="center"/>
          </w:tcPr>
          <w:p w14:paraId="79CF7BD3" w14:textId="7F1EA9B3" w:rsidR="00A12739" w:rsidRPr="00BB248F" w:rsidRDefault="00A12739" w:rsidP="00A12739">
            <w:pPr>
              <w:rPr>
                <w:rFonts w:eastAsia="Times New Roman" w:cs="Arial"/>
                <w:color w:val="000000"/>
              </w:rPr>
            </w:pPr>
            <w:r>
              <w:rPr>
                <w:rFonts w:eastAsia="Times New Roman" w:cs="Arial"/>
                <w:color w:val="000000"/>
              </w:rPr>
              <w:t xml:space="preserve">Sydney </w:t>
            </w:r>
            <w:r w:rsidR="00941EA1">
              <w:rPr>
                <w:rFonts w:eastAsia="Times New Roman" w:cs="Arial"/>
                <w:color w:val="000000"/>
              </w:rPr>
              <w:t>-</w:t>
            </w:r>
            <w:r>
              <w:rPr>
                <w:rFonts w:eastAsia="Times New Roman" w:cs="Arial"/>
                <w:color w:val="000000"/>
              </w:rPr>
              <w:t xml:space="preserve"> Sutherland (NSW)</w:t>
            </w:r>
          </w:p>
        </w:tc>
        <w:tc>
          <w:tcPr>
            <w:tcW w:w="2211" w:type="pct"/>
            <w:vAlign w:val="center"/>
          </w:tcPr>
          <w:p w14:paraId="27CE3A9A" w14:textId="6C91A80D" w:rsidR="00A12739" w:rsidRPr="00BB248F" w:rsidRDefault="00A12739" w:rsidP="00A12739">
            <w:pPr>
              <w:rPr>
                <w:rFonts w:eastAsia="Times New Roman" w:cs="Arial"/>
                <w:color w:val="000000"/>
              </w:rPr>
            </w:pPr>
            <w:r w:rsidRPr="00BB248F">
              <w:rPr>
                <w:rFonts w:eastAsia="Times New Roman" w:cs="Arial"/>
                <w:color w:val="000000"/>
              </w:rPr>
              <w:t>Australian Capital Territory</w:t>
            </w:r>
          </w:p>
        </w:tc>
      </w:tr>
      <w:tr w:rsidR="00A12739" w:rsidRPr="00D3551F" w14:paraId="25F930C0" w14:textId="77777777" w:rsidTr="00AE1040">
        <w:trPr>
          <w:cantSplit/>
          <w:trHeight w:val="397"/>
        </w:trPr>
        <w:tc>
          <w:tcPr>
            <w:tcW w:w="5000" w:type="pct"/>
            <w:gridSpan w:val="3"/>
            <w:shd w:val="clear" w:color="auto" w:fill="2F005F"/>
            <w:noWrap/>
            <w:vAlign w:val="center"/>
            <w:hideMark/>
          </w:tcPr>
          <w:p w14:paraId="1CF96089" w14:textId="77777777" w:rsidR="00A12739" w:rsidRPr="007E2211" w:rsidRDefault="00A12739" w:rsidP="007E2211">
            <w:pPr>
              <w:jc w:val="center"/>
              <w:rPr>
                <w:b/>
                <w:bCs/>
              </w:rPr>
            </w:pPr>
            <w:r w:rsidRPr="007E2211">
              <w:rPr>
                <w:b/>
                <w:bCs/>
              </w:rPr>
              <w:t>Above average</w:t>
            </w:r>
          </w:p>
        </w:tc>
      </w:tr>
      <w:tr w:rsidR="00A12739" w:rsidRPr="00D3551F" w14:paraId="4CCEE606"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63D00C71" w14:textId="166294FF" w:rsidR="00A12739" w:rsidRPr="001C495A" w:rsidRDefault="001C495A" w:rsidP="00A12739">
            <w:pPr>
              <w:rPr>
                <w:rFonts w:cs="Arial"/>
                <w:color w:val="000000"/>
              </w:rPr>
            </w:pPr>
            <w:r>
              <w:rPr>
                <w:rFonts w:cs="Arial"/>
                <w:color w:val="000000"/>
              </w:rPr>
              <w:t>Capital Region</w:t>
            </w:r>
            <w:r w:rsidR="00B526BD">
              <w:rPr>
                <w:rFonts w:cs="Arial"/>
                <w:color w:val="000000"/>
              </w:rPr>
              <w:t xml:space="preserve"> (NSW)</w:t>
            </w:r>
          </w:p>
        </w:tc>
        <w:tc>
          <w:tcPr>
            <w:tcW w:w="2255" w:type="pct"/>
            <w:gridSpan w:val="2"/>
            <w:vAlign w:val="center"/>
          </w:tcPr>
          <w:p w14:paraId="3F7A2AF6" w14:textId="62EAD704" w:rsidR="00A12739" w:rsidRPr="00BB248F" w:rsidRDefault="00A12739" w:rsidP="00A12739">
            <w:pPr>
              <w:rPr>
                <w:rFonts w:eastAsia="Times New Roman" w:cs="Arial"/>
                <w:color w:val="000000"/>
              </w:rPr>
            </w:pPr>
            <w:r w:rsidRPr="00BB248F">
              <w:rPr>
                <w:rFonts w:eastAsia="Times New Roman" w:cs="Arial"/>
                <w:color w:val="000000"/>
              </w:rPr>
              <w:t xml:space="preserve">Brisbane </w:t>
            </w:r>
            <w:r w:rsidR="00941EA1">
              <w:rPr>
                <w:rFonts w:eastAsia="Times New Roman" w:cs="Arial"/>
                <w:color w:val="000000"/>
              </w:rPr>
              <w:t>-</w:t>
            </w:r>
            <w:r w:rsidRPr="00BB248F">
              <w:rPr>
                <w:rFonts w:eastAsia="Times New Roman" w:cs="Arial"/>
                <w:color w:val="000000"/>
              </w:rPr>
              <w:t xml:space="preserve"> East (QLD)</w:t>
            </w:r>
          </w:p>
        </w:tc>
      </w:tr>
      <w:tr w:rsidR="00A12739" w:rsidRPr="00D3551F" w14:paraId="1F484DBB" w14:textId="77777777" w:rsidTr="00F3141F">
        <w:trPr>
          <w:cantSplit/>
          <w:trHeight w:val="397"/>
        </w:trPr>
        <w:tc>
          <w:tcPr>
            <w:tcW w:w="2745" w:type="pct"/>
            <w:noWrap/>
            <w:vAlign w:val="center"/>
          </w:tcPr>
          <w:p w14:paraId="385B5909" w14:textId="4C226AE5" w:rsidR="00A12739" w:rsidRPr="0012431B" w:rsidRDefault="001C495A" w:rsidP="00A12739">
            <w:pPr>
              <w:rPr>
                <w:rFonts w:cs="Arial"/>
                <w:color w:val="000000"/>
              </w:rPr>
            </w:pPr>
            <w:r>
              <w:rPr>
                <w:rFonts w:cs="Arial"/>
                <w:color w:val="000000"/>
              </w:rPr>
              <w:t>Central Coast</w:t>
            </w:r>
            <w:r w:rsidR="00B526BD">
              <w:rPr>
                <w:rFonts w:cs="Arial"/>
                <w:color w:val="000000"/>
              </w:rPr>
              <w:t xml:space="preserve"> (NSW)</w:t>
            </w:r>
          </w:p>
        </w:tc>
        <w:tc>
          <w:tcPr>
            <w:tcW w:w="2255" w:type="pct"/>
            <w:gridSpan w:val="2"/>
            <w:vAlign w:val="center"/>
          </w:tcPr>
          <w:p w14:paraId="2373747B" w14:textId="77777777" w:rsidR="00A12739" w:rsidRPr="00BB248F" w:rsidRDefault="00A12739" w:rsidP="00A12739">
            <w:pPr>
              <w:rPr>
                <w:rFonts w:eastAsia="Times New Roman" w:cs="Arial"/>
                <w:color w:val="000000"/>
              </w:rPr>
            </w:pPr>
            <w:r w:rsidRPr="00BB248F">
              <w:rPr>
                <w:rFonts w:eastAsia="Times New Roman" w:cs="Arial"/>
                <w:color w:val="000000"/>
              </w:rPr>
              <w:t>Brisbane - North (QLD)</w:t>
            </w:r>
          </w:p>
        </w:tc>
      </w:tr>
      <w:tr w:rsidR="00A12739" w:rsidRPr="00D3551F" w14:paraId="764D46E1"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33DAB781" w14:textId="4DBC9D54" w:rsidR="00A12739" w:rsidRPr="0012431B" w:rsidRDefault="0012431B" w:rsidP="00A12739">
            <w:pPr>
              <w:rPr>
                <w:rFonts w:cs="Arial"/>
                <w:color w:val="000000"/>
              </w:rPr>
            </w:pPr>
            <w:r>
              <w:rPr>
                <w:rFonts w:cs="Arial"/>
                <w:color w:val="000000"/>
              </w:rPr>
              <w:t>Murray</w:t>
            </w:r>
            <w:r w:rsidR="00B526BD">
              <w:rPr>
                <w:rFonts w:cs="Arial"/>
                <w:color w:val="000000"/>
              </w:rPr>
              <w:t xml:space="preserve"> (NSW)</w:t>
            </w:r>
          </w:p>
        </w:tc>
        <w:tc>
          <w:tcPr>
            <w:tcW w:w="2255" w:type="pct"/>
            <w:gridSpan w:val="2"/>
            <w:vAlign w:val="center"/>
          </w:tcPr>
          <w:p w14:paraId="68BEAF05" w14:textId="77777777" w:rsidR="00A12739" w:rsidRPr="00BB248F" w:rsidRDefault="00A12739" w:rsidP="00A12739">
            <w:pPr>
              <w:rPr>
                <w:rFonts w:eastAsia="Times New Roman" w:cs="Arial"/>
                <w:color w:val="000000"/>
              </w:rPr>
            </w:pPr>
            <w:r w:rsidRPr="00BB248F">
              <w:rPr>
                <w:rFonts w:eastAsia="Times New Roman" w:cs="Arial"/>
                <w:color w:val="000000"/>
              </w:rPr>
              <w:t>Brisbane - South (QLD)</w:t>
            </w:r>
          </w:p>
        </w:tc>
      </w:tr>
      <w:tr w:rsidR="00A12739" w:rsidRPr="00D3551F" w14:paraId="216001DA" w14:textId="77777777" w:rsidTr="00F3141F">
        <w:trPr>
          <w:cantSplit/>
          <w:trHeight w:val="397"/>
        </w:trPr>
        <w:tc>
          <w:tcPr>
            <w:tcW w:w="2745" w:type="pct"/>
            <w:noWrap/>
            <w:vAlign w:val="center"/>
          </w:tcPr>
          <w:p w14:paraId="0DA50D71" w14:textId="3D6EFC7A" w:rsidR="00A12739" w:rsidRPr="00577743" w:rsidRDefault="0012431B" w:rsidP="00A12739">
            <w:pPr>
              <w:rPr>
                <w:rFonts w:cs="Arial"/>
                <w:color w:val="000000"/>
              </w:rPr>
            </w:pPr>
            <w:r>
              <w:rPr>
                <w:rFonts w:cs="Arial"/>
                <w:color w:val="000000"/>
              </w:rPr>
              <w:t>Newcastle and Lake Macquarie</w:t>
            </w:r>
            <w:r w:rsidR="00B526BD">
              <w:rPr>
                <w:rFonts w:cs="Arial"/>
                <w:color w:val="000000"/>
              </w:rPr>
              <w:t xml:space="preserve"> (NSW)</w:t>
            </w:r>
          </w:p>
        </w:tc>
        <w:tc>
          <w:tcPr>
            <w:tcW w:w="2255" w:type="pct"/>
            <w:gridSpan w:val="2"/>
            <w:vAlign w:val="center"/>
          </w:tcPr>
          <w:p w14:paraId="10016A84" w14:textId="77777777" w:rsidR="00A12739" w:rsidRPr="00BB248F" w:rsidRDefault="00A12739" w:rsidP="00A12739">
            <w:pPr>
              <w:rPr>
                <w:rFonts w:eastAsia="Times New Roman" w:cs="Arial"/>
                <w:color w:val="000000"/>
              </w:rPr>
            </w:pPr>
            <w:r w:rsidRPr="00BB248F">
              <w:rPr>
                <w:rFonts w:eastAsia="Times New Roman" w:cs="Arial"/>
                <w:color w:val="000000"/>
              </w:rPr>
              <w:t>Gold Coast (QLD)</w:t>
            </w:r>
          </w:p>
        </w:tc>
      </w:tr>
      <w:tr w:rsidR="00A12739" w:rsidRPr="00D3551F" w14:paraId="474B9AB6"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7B33CF00" w14:textId="6C3B56A1" w:rsidR="00A12739" w:rsidRPr="00577743" w:rsidRDefault="00ED6D85" w:rsidP="00A12739">
            <w:pPr>
              <w:rPr>
                <w:rFonts w:cs="Arial"/>
                <w:color w:val="000000"/>
              </w:rPr>
            </w:pPr>
            <w:r>
              <w:rPr>
                <w:rFonts w:cs="Arial"/>
                <w:color w:val="000000"/>
              </w:rPr>
              <w:t>Sydney - City and Inner South</w:t>
            </w:r>
            <w:r w:rsidR="00B526BD">
              <w:rPr>
                <w:rFonts w:cs="Arial"/>
                <w:color w:val="000000"/>
              </w:rPr>
              <w:t xml:space="preserve"> (NSW)</w:t>
            </w:r>
          </w:p>
        </w:tc>
        <w:tc>
          <w:tcPr>
            <w:tcW w:w="2255" w:type="pct"/>
            <w:gridSpan w:val="2"/>
            <w:vAlign w:val="center"/>
          </w:tcPr>
          <w:p w14:paraId="0D9925CB" w14:textId="77777777" w:rsidR="00A12739" w:rsidRPr="00BB248F" w:rsidRDefault="00A12739" w:rsidP="00A12739">
            <w:pPr>
              <w:rPr>
                <w:rFonts w:eastAsia="Times New Roman" w:cs="Arial"/>
                <w:color w:val="000000"/>
              </w:rPr>
            </w:pPr>
            <w:r w:rsidRPr="00BB248F">
              <w:rPr>
                <w:rFonts w:eastAsia="Times New Roman" w:cs="Arial"/>
                <w:color w:val="000000"/>
              </w:rPr>
              <w:t>Mackay - Isaac - Whitsunday (QLD)</w:t>
            </w:r>
          </w:p>
        </w:tc>
      </w:tr>
      <w:tr w:rsidR="00A12739" w:rsidRPr="00D3551F" w14:paraId="1C0A711A" w14:textId="77777777" w:rsidTr="00F3141F">
        <w:trPr>
          <w:cantSplit/>
          <w:trHeight w:val="397"/>
        </w:trPr>
        <w:tc>
          <w:tcPr>
            <w:tcW w:w="2745" w:type="pct"/>
            <w:noWrap/>
            <w:vAlign w:val="center"/>
          </w:tcPr>
          <w:p w14:paraId="3A7B1A46" w14:textId="36DC9330" w:rsidR="00A12739" w:rsidRPr="00577743" w:rsidRDefault="00ED6D85" w:rsidP="00A12739">
            <w:pPr>
              <w:rPr>
                <w:rFonts w:cs="Arial"/>
                <w:color w:val="000000"/>
              </w:rPr>
            </w:pPr>
            <w:r>
              <w:rPr>
                <w:rFonts w:cs="Arial"/>
                <w:color w:val="000000"/>
              </w:rPr>
              <w:t>Sydney - North Sydney and Hornsby</w:t>
            </w:r>
            <w:r w:rsidR="00B526BD">
              <w:rPr>
                <w:rFonts w:cs="Arial"/>
                <w:color w:val="000000"/>
              </w:rPr>
              <w:t xml:space="preserve"> (NSW)</w:t>
            </w:r>
          </w:p>
        </w:tc>
        <w:tc>
          <w:tcPr>
            <w:tcW w:w="2255" w:type="pct"/>
            <w:gridSpan w:val="2"/>
            <w:vAlign w:val="center"/>
          </w:tcPr>
          <w:p w14:paraId="1FABC753" w14:textId="77777777" w:rsidR="00A12739" w:rsidRPr="00BB248F" w:rsidRDefault="00A12739" w:rsidP="00A12739">
            <w:pPr>
              <w:rPr>
                <w:rFonts w:eastAsia="Times New Roman" w:cs="Arial"/>
                <w:color w:val="000000"/>
              </w:rPr>
            </w:pPr>
            <w:r w:rsidRPr="00BB248F">
              <w:rPr>
                <w:rFonts w:eastAsia="Times New Roman" w:cs="Arial"/>
                <w:color w:val="000000"/>
              </w:rPr>
              <w:t>Moreton Bay - South (QLD)</w:t>
            </w:r>
          </w:p>
        </w:tc>
      </w:tr>
      <w:tr w:rsidR="00A12739" w:rsidRPr="00D3551F" w14:paraId="30588370"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57A1C3E4" w14:textId="67F3E0FE" w:rsidR="00A12739" w:rsidRPr="00577743" w:rsidRDefault="00ED6D85" w:rsidP="00A12739">
            <w:pPr>
              <w:rPr>
                <w:rFonts w:cs="Arial"/>
                <w:color w:val="000000"/>
              </w:rPr>
            </w:pPr>
            <w:r>
              <w:rPr>
                <w:rFonts w:cs="Arial"/>
                <w:color w:val="000000"/>
              </w:rPr>
              <w:t xml:space="preserve">Sydney </w:t>
            </w:r>
            <w:r w:rsidR="00941EA1">
              <w:rPr>
                <w:rFonts w:cs="Arial"/>
                <w:color w:val="000000"/>
              </w:rPr>
              <w:t>-</w:t>
            </w:r>
            <w:r>
              <w:rPr>
                <w:rFonts w:cs="Arial"/>
                <w:color w:val="000000"/>
              </w:rPr>
              <w:t xml:space="preserve"> Ryde</w:t>
            </w:r>
            <w:r w:rsidR="00B526BD">
              <w:rPr>
                <w:rFonts w:cs="Arial"/>
                <w:color w:val="000000"/>
              </w:rPr>
              <w:t xml:space="preserve"> (NSW)</w:t>
            </w:r>
          </w:p>
        </w:tc>
        <w:tc>
          <w:tcPr>
            <w:tcW w:w="2255" w:type="pct"/>
            <w:gridSpan w:val="2"/>
            <w:vAlign w:val="center"/>
          </w:tcPr>
          <w:p w14:paraId="73E4ECAC" w14:textId="77777777" w:rsidR="00A12739" w:rsidRPr="00BB248F" w:rsidRDefault="00A12739" w:rsidP="00A12739">
            <w:pPr>
              <w:rPr>
                <w:rFonts w:eastAsia="Times New Roman" w:cs="Arial"/>
                <w:color w:val="000000"/>
              </w:rPr>
            </w:pPr>
            <w:r w:rsidRPr="00BB248F">
              <w:rPr>
                <w:rFonts w:eastAsia="Times New Roman" w:cs="Arial"/>
                <w:color w:val="000000"/>
              </w:rPr>
              <w:t>Sunshine Coast (QLD)</w:t>
            </w:r>
          </w:p>
        </w:tc>
      </w:tr>
      <w:tr w:rsidR="00A12739" w:rsidRPr="00D3551F" w14:paraId="7452D4F4" w14:textId="77777777" w:rsidTr="00F3141F">
        <w:trPr>
          <w:cantSplit/>
          <w:trHeight w:val="397"/>
        </w:trPr>
        <w:tc>
          <w:tcPr>
            <w:tcW w:w="2745" w:type="pct"/>
            <w:noWrap/>
            <w:vAlign w:val="center"/>
          </w:tcPr>
          <w:p w14:paraId="4EB72A64" w14:textId="3B4768A8" w:rsidR="00A12739" w:rsidRPr="00577743" w:rsidRDefault="00ED6D85" w:rsidP="00A12739">
            <w:pPr>
              <w:rPr>
                <w:rFonts w:cs="Arial"/>
                <w:color w:val="000000"/>
              </w:rPr>
            </w:pPr>
            <w:r>
              <w:rPr>
                <w:rFonts w:cs="Arial"/>
                <w:color w:val="000000"/>
              </w:rPr>
              <w:t>Geelong</w:t>
            </w:r>
            <w:r w:rsidR="00B526BD">
              <w:rPr>
                <w:rFonts w:cs="Arial"/>
                <w:color w:val="000000"/>
              </w:rPr>
              <w:t xml:space="preserve"> (Vic.)</w:t>
            </w:r>
          </w:p>
        </w:tc>
        <w:tc>
          <w:tcPr>
            <w:tcW w:w="2255" w:type="pct"/>
            <w:gridSpan w:val="2"/>
            <w:vAlign w:val="center"/>
          </w:tcPr>
          <w:p w14:paraId="63E21BD6" w14:textId="621EE402" w:rsidR="00A12739" w:rsidRPr="00BB248F" w:rsidRDefault="00A12739" w:rsidP="00A12739">
            <w:pPr>
              <w:rPr>
                <w:rFonts w:eastAsia="Times New Roman" w:cs="Arial"/>
                <w:color w:val="000000"/>
              </w:rPr>
            </w:pPr>
            <w:r w:rsidRPr="00BB248F">
              <w:rPr>
                <w:rFonts w:eastAsia="Times New Roman" w:cs="Arial"/>
                <w:color w:val="000000"/>
              </w:rPr>
              <w:t xml:space="preserve">Adelaide </w:t>
            </w:r>
            <w:r w:rsidR="00941EA1">
              <w:rPr>
                <w:rFonts w:eastAsia="Times New Roman" w:cs="Arial"/>
                <w:color w:val="000000"/>
              </w:rPr>
              <w:t>-</w:t>
            </w:r>
            <w:r w:rsidRPr="00BB248F">
              <w:rPr>
                <w:rFonts w:eastAsia="Times New Roman" w:cs="Arial"/>
                <w:color w:val="000000"/>
              </w:rPr>
              <w:t xml:space="preserve"> </w:t>
            </w:r>
            <w:r w:rsidR="00B526BD">
              <w:rPr>
                <w:rFonts w:eastAsia="Times New Roman" w:cs="Arial"/>
                <w:color w:val="000000"/>
              </w:rPr>
              <w:t xml:space="preserve">Central and Hills </w:t>
            </w:r>
            <w:r w:rsidRPr="00BB248F">
              <w:rPr>
                <w:rFonts w:eastAsia="Times New Roman" w:cs="Arial"/>
                <w:color w:val="000000"/>
              </w:rPr>
              <w:t>(SA)</w:t>
            </w:r>
          </w:p>
        </w:tc>
      </w:tr>
      <w:tr w:rsidR="00B526BD" w:rsidRPr="00D3551F" w14:paraId="0B524FA1"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28C08A48" w14:textId="051CE9D6" w:rsidR="00B526BD" w:rsidRPr="00577743" w:rsidRDefault="00B526BD" w:rsidP="00B526BD">
            <w:pPr>
              <w:rPr>
                <w:rFonts w:cs="Arial"/>
                <w:color w:val="000000"/>
              </w:rPr>
            </w:pPr>
            <w:r>
              <w:rPr>
                <w:rFonts w:cs="Arial"/>
                <w:color w:val="000000"/>
              </w:rPr>
              <w:t>Hume (Vic.)</w:t>
            </w:r>
          </w:p>
        </w:tc>
        <w:tc>
          <w:tcPr>
            <w:tcW w:w="2255" w:type="pct"/>
            <w:gridSpan w:val="2"/>
            <w:vAlign w:val="center"/>
          </w:tcPr>
          <w:p w14:paraId="7D85A686" w14:textId="3F79EC28" w:rsidR="00B526BD" w:rsidRPr="00BB248F" w:rsidRDefault="00B526BD" w:rsidP="00B526BD">
            <w:pPr>
              <w:rPr>
                <w:rFonts w:eastAsia="Times New Roman" w:cs="Arial"/>
                <w:color w:val="000000"/>
              </w:rPr>
            </w:pPr>
            <w:r w:rsidRPr="00BB248F">
              <w:rPr>
                <w:rFonts w:eastAsia="Times New Roman" w:cs="Arial"/>
                <w:color w:val="000000"/>
              </w:rPr>
              <w:t>Adelaide - South (SA)</w:t>
            </w:r>
          </w:p>
        </w:tc>
      </w:tr>
      <w:tr w:rsidR="00B526BD" w:rsidRPr="00D3551F" w14:paraId="114009D6" w14:textId="77777777" w:rsidTr="00F3141F">
        <w:trPr>
          <w:cantSplit/>
          <w:trHeight w:val="397"/>
        </w:trPr>
        <w:tc>
          <w:tcPr>
            <w:tcW w:w="2745" w:type="pct"/>
            <w:noWrap/>
            <w:vAlign w:val="center"/>
          </w:tcPr>
          <w:p w14:paraId="6FC58B28" w14:textId="5993C4C3" w:rsidR="00B526BD" w:rsidRPr="00577743" w:rsidRDefault="00B526BD" w:rsidP="00B526BD">
            <w:pPr>
              <w:rPr>
                <w:rFonts w:cs="Arial"/>
                <w:color w:val="000000"/>
              </w:rPr>
            </w:pPr>
            <w:r>
              <w:rPr>
                <w:rFonts w:cs="Arial"/>
                <w:color w:val="000000"/>
              </w:rPr>
              <w:t xml:space="preserve">Melbourne </w:t>
            </w:r>
            <w:r w:rsidR="00941EA1">
              <w:rPr>
                <w:rFonts w:cs="Arial"/>
                <w:color w:val="000000"/>
              </w:rPr>
              <w:t>-</w:t>
            </w:r>
            <w:r>
              <w:rPr>
                <w:rFonts w:cs="Arial"/>
                <w:color w:val="000000"/>
              </w:rPr>
              <w:t xml:space="preserve"> Inner (Vic.)</w:t>
            </w:r>
          </w:p>
        </w:tc>
        <w:tc>
          <w:tcPr>
            <w:tcW w:w="2255" w:type="pct"/>
            <w:gridSpan w:val="2"/>
            <w:vAlign w:val="center"/>
          </w:tcPr>
          <w:p w14:paraId="08787C2A" w14:textId="2B334F99" w:rsidR="00B526BD" w:rsidRPr="00BB248F" w:rsidRDefault="00B526BD" w:rsidP="00B526BD">
            <w:pPr>
              <w:rPr>
                <w:rFonts w:eastAsia="Times New Roman" w:cs="Arial"/>
                <w:color w:val="000000"/>
              </w:rPr>
            </w:pPr>
            <w:r w:rsidRPr="00BB248F">
              <w:rPr>
                <w:rFonts w:eastAsia="Times New Roman" w:cs="Arial"/>
                <w:color w:val="000000"/>
              </w:rPr>
              <w:t>Perth - North East (WA)</w:t>
            </w:r>
          </w:p>
        </w:tc>
      </w:tr>
      <w:tr w:rsidR="00B526BD" w:rsidRPr="00D3551F" w14:paraId="36308ED7"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60C62185" w14:textId="13A936C0" w:rsidR="00B526BD" w:rsidRPr="00577743" w:rsidRDefault="00B526BD" w:rsidP="00B526BD">
            <w:pPr>
              <w:rPr>
                <w:rFonts w:cs="Arial"/>
                <w:color w:val="000000"/>
              </w:rPr>
            </w:pPr>
            <w:r>
              <w:rPr>
                <w:rFonts w:cs="Arial"/>
                <w:color w:val="000000"/>
              </w:rPr>
              <w:t>Melbourne - Inner East (Vic.)</w:t>
            </w:r>
          </w:p>
        </w:tc>
        <w:tc>
          <w:tcPr>
            <w:tcW w:w="2255" w:type="pct"/>
            <w:gridSpan w:val="2"/>
            <w:vAlign w:val="center"/>
          </w:tcPr>
          <w:p w14:paraId="2C00CFCC" w14:textId="03569D84" w:rsidR="00B526BD" w:rsidRPr="00BB248F" w:rsidRDefault="00B526BD" w:rsidP="00B526BD">
            <w:pPr>
              <w:rPr>
                <w:rFonts w:eastAsia="Times New Roman" w:cs="Arial"/>
                <w:color w:val="000000"/>
              </w:rPr>
            </w:pPr>
            <w:r w:rsidRPr="00BB248F">
              <w:rPr>
                <w:rFonts w:eastAsia="Times New Roman" w:cs="Arial"/>
                <w:color w:val="000000"/>
              </w:rPr>
              <w:t>Perth - North West (WA)</w:t>
            </w:r>
          </w:p>
        </w:tc>
      </w:tr>
      <w:tr w:rsidR="00B526BD" w:rsidRPr="00D3551F" w14:paraId="027FD2E8" w14:textId="77777777" w:rsidTr="00F3141F">
        <w:trPr>
          <w:cantSplit/>
          <w:trHeight w:val="397"/>
        </w:trPr>
        <w:tc>
          <w:tcPr>
            <w:tcW w:w="2745" w:type="pct"/>
            <w:noWrap/>
            <w:vAlign w:val="center"/>
          </w:tcPr>
          <w:p w14:paraId="7FE49DC0" w14:textId="7E2D9D50" w:rsidR="00B526BD" w:rsidRPr="00577743" w:rsidRDefault="00B526BD" w:rsidP="00B526BD">
            <w:pPr>
              <w:rPr>
                <w:rFonts w:cs="Arial"/>
                <w:color w:val="000000"/>
              </w:rPr>
            </w:pPr>
            <w:r>
              <w:rPr>
                <w:rFonts w:cs="Arial"/>
                <w:color w:val="000000"/>
              </w:rPr>
              <w:t>Melbourne - Outer East (Vic.)</w:t>
            </w:r>
          </w:p>
        </w:tc>
        <w:tc>
          <w:tcPr>
            <w:tcW w:w="2255" w:type="pct"/>
            <w:gridSpan w:val="2"/>
            <w:vAlign w:val="center"/>
          </w:tcPr>
          <w:p w14:paraId="0084D22E" w14:textId="7AEB4F14" w:rsidR="00B526BD" w:rsidRPr="00BB248F" w:rsidRDefault="00B526BD" w:rsidP="00B526BD">
            <w:pPr>
              <w:rPr>
                <w:rFonts w:eastAsia="Times New Roman" w:cs="Arial"/>
                <w:color w:val="000000"/>
              </w:rPr>
            </w:pPr>
            <w:r w:rsidRPr="00BB248F">
              <w:rPr>
                <w:rFonts w:eastAsia="Times New Roman" w:cs="Arial"/>
                <w:color w:val="000000"/>
              </w:rPr>
              <w:t>Perth - South West (WA)</w:t>
            </w:r>
          </w:p>
        </w:tc>
      </w:tr>
      <w:tr w:rsidR="00B526BD" w:rsidRPr="00D3551F" w14:paraId="2B1986E6" w14:textId="77777777" w:rsidTr="00F3141F">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0A6CD781" w14:textId="33BF6A9D" w:rsidR="00B526BD" w:rsidRDefault="00B526BD" w:rsidP="00B526BD">
            <w:pPr>
              <w:rPr>
                <w:rFonts w:cs="Arial"/>
                <w:color w:val="000000"/>
              </w:rPr>
            </w:pPr>
            <w:r>
              <w:rPr>
                <w:rFonts w:cs="Arial"/>
                <w:color w:val="000000"/>
              </w:rPr>
              <w:t>Shepparton (Vic.)</w:t>
            </w:r>
          </w:p>
        </w:tc>
        <w:tc>
          <w:tcPr>
            <w:tcW w:w="2255" w:type="pct"/>
            <w:gridSpan w:val="2"/>
            <w:vAlign w:val="center"/>
          </w:tcPr>
          <w:p w14:paraId="0C9429F0" w14:textId="3045B89D" w:rsidR="00B526BD" w:rsidRPr="00BB248F" w:rsidRDefault="00B526BD" w:rsidP="00B526BD">
            <w:pPr>
              <w:rPr>
                <w:rFonts w:eastAsia="Times New Roman" w:cs="Arial"/>
                <w:color w:val="000000"/>
              </w:rPr>
            </w:pPr>
            <w:r w:rsidRPr="00BB248F">
              <w:rPr>
                <w:rFonts w:eastAsia="Times New Roman" w:cs="Arial"/>
                <w:color w:val="000000"/>
              </w:rPr>
              <w:t>Darwin (NT)</w:t>
            </w:r>
          </w:p>
        </w:tc>
      </w:tr>
      <w:tr w:rsidR="00A12739" w:rsidRPr="00D3551F" w14:paraId="07EE3E5E" w14:textId="77777777" w:rsidTr="00AE1040">
        <w:trPr>
          <w:cantSplit/>
          <w:trHeight w:val="397"/>
        </w:trPr>
        <w:tc>
          <w:tcPr>
            <w:tcW w:w="5000" w:type="pct"/>
            <w:gridSpan w:val="3"/>
            <w:shd w:val="clear" w:color="auto" w:fill="2F005F"/>
            <w:noWrap/>
            <w:vAlign w:val="center"/>
            <w:hideMark/>
          </w:tcPr>
          <w:p w14:paraId="7CCAB77D" w14:textId="77777777" w:rsidR="00A12739" w:rsidRPr="007E2211" w:rsidRDefault="00A12739" w:rsidP="007E2211">
            <w:pPr>
              <w:jc w:val="center"/>
              <w:rPr>
                <w:b/>
                <w:bCs/>
              </w:rPr>
            </w:pPr>
            <w:r w:rsidRPr="007E2211">
              <w:rPr>
                <w:b/>
                <w:bCs/>
              </w:rPr>
              <w:t>Average</w:t>
            </w:r>
          </w:p>
        </w:tc>
      </w:tr>
      <w:tr w:rsidR="00A12739" w:rsidRPr="00D3551F" w14:paraId="05F29A2B"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59DB625B" w14:textId="38DF1B1D" w:rsidR="00A12739" w:rsidRPr="00BB248F" w:rsidRDefault="00BA7E3B" w:rsidP="00A12739">
            <w:pPr>
              <w:rPr>
                <w:rFonts w:eastAsia="Times New Roman" w:cs="Arial"/>
                <w:color w:val="000000"/>
              </w:rPr>
            </w:pPr>
            <w:r w:rsidRPr="00BB248F">
              <w:rPr>
                <w:rFonts w:eastAsia="Times New Roman" w:cs="Arial"/>
                <w:color w:val="000000"/>
              </w:rPr>
              <w:t>Hunter Valley exc Newcastle (NSW)</w:t>
            </w:r>
          </w:p>
        </w:tc>
        <w:tc>
          <w:tcPr>
            <w:tcW w:w="2255" w:type="pct"/>
            <w:gridSpan w:val="2"/>
            <w:vAlign w:val="center"/>
          </w:tcPr>
          <w:p w14:paraId="50591E77" w14:textId="5FA7DDD3" w:rsidR="00A12739" w:rsidRPr="00BB248F" w:rsidRDefault="00B916BE" w:rsidP="00A12739">
            <w:pPr>
              <w:rPr>
                <w:rFonts w:eastAsia="Times New Roman" w:cs="Arial"/>
                <w:color w:val="000000"/>
              </w:rPr>
            </w:pPr>
            <w:r w:rsidRPr="00BB248F">
              <w:rPr>
                <w:rFonts w:eastAsia="Times New Roman" w:cs="Arial"/>
                <w:color w:val="000000"/>
              </w:rPr>
              <w:t>Melbourne - West (Vic.)</w:t>
            </w:r>
          </w:p>
        </w:tc>
      </w:tr>
      <w:tr w:rsidR="00A12739" w:rsidRPr="00D3551F" w14:paraId="0E7B82BE" w14:textId="77777777" w:rsidTr="00A12739">
        <w:trPr>
          <w:cantSplit/>
          <w:trHeight w:val="397"/>
        </w:trPr>
        <w:tc>
          <w:tcPr>
            <w:tcW w:w="2745" w:type="pct"/>
            <w:noWrap/>
            <w:vAlign w:val="center"/>
            <w:hideMark/>
          </w:tcPr>
          <w:p w14:paraId="47111C6B" w14:textId="6A56DA6E" w:rsidR="00A12739" w:rsidRPr="00BB248F" w:rsidRDefault="00112182" w:rsidP="00A12739">
            <w:pPr>
              <w:rPr>
                <w:rFonts w:eastAsia="Times New Roman" w:cs="Arial"/>
                <w:color w:val="000000"/>
              </w:rPr>
            </w:pPr>
            <w:r>
              <w:rPr>
                <w:rFonts w:eastAsia="Times New Roman" w:cs="Arial"/>
                <w:color w:val="000000"/>
              </w:rPr>
              <w:t>New England and North West</w:t>
            </w:r>
            <w:r w:rsidR="00A12739" w:rsidRPr="00BB248F">
              <w:rPr>
                <w:rFonts w:eastAsia="Times New Roman" w:cs="Arial"/>
                <w:color w:val="000000"/>
              </w:rPr>
              <w:t xml:space="preserve"> (NSW)</w:t>
            </w:r>
          </w:p>
        </w:tc>
        <w:tc>
          <w:tcPr>
            <w:tcW w:w="2255" w:type="pct"/>
            <w:gridSpan w:val="2"/>
            <w:vAlign w:val="center"/>
          </w:tcPr>
          <w:p w14:paraId="767C0292" w14:textId="0E0096A7" w:rsidR="00A12739" w:rsidRPr="00BB248F" w:rsidRDefault="00791102" w:rsidP="00A12739">
            <w:pPr>
              <w:rPr>
                <w:rFonts w:eastAsia="Times New Roman" w:cs="Arial"/>
                <w:color w:val="000000"/>
              </w:rPr>
            </w:pPr>
            <w:r>
              <w:rPr>
                <w:rFonts w:eastAsia="Times New Roman" w:cs="Arial"/>
                <w:color w:val="000000"/>
              </w:rPr>
              <w:t>Mornington Peninsula (Vic.)</w:t>
            </w:r>
          </w:p>
        </w:tc>
      </w:tr>
      <w:tr w:rsidR="00791102" w:rsidRPr="00D3551F" w14:paraId="557F4181"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3353757C" w14:textId="77777777" w:rsidR="00791102" w:rsidRPr="00BB248F" w:rsidRDefault="00791102" w:rsidP="00791102">
            <w:pPr>
              <w:rPr>
                <w:rFonts w:eastAsia="Times New Roman" w:cs="Arial"/>
                <w:color w:val="000000"/>
              </w:rPr>
            </w:pPr>
            <w:r w:rsidRPr="00BB248F">
              <w:rPr>
                <w:rFonts w:eastAsia="Times New Roman" w:cs="Arial"/>
                <w:color w:val="000000"/>
              </w:rPr>
              <w:t>Richmond - Tweed (NSW)</w:t>
            </w:r>
          </w:p>
        </w:tc>
        <w:tc>
          <w:tcPr>
            <w:tcW w:w="2255" w:type="pct"/>
            <w:gridSpan w:val="2"/>
            <w:vAlign w:val="center"/>
          </w:tcPr>
          <w:p w14:paraId="23CEF44F" w14:textId="322FB3E8" w:rsidR="00791102" w:rsidRPr="00BB248F" w:rsidRDefault="00791102" w:rsidP="00791102">
            <w:pPr>
              <w:rPr>
                <w:rFonts w:eastAsia="Times New Roman" w:cs="Arial"/>
                <w:color w:val="000000"/>
              </w:rPr>
            </w:pPr>
            <w:r w:rsidRPr="00BB248F">
              <w:rPr>
                <w:rFonts w:eastAsia="Times New Roman" w:cs="Arial"/>
                <w:color w:val="000000"/>
              </w:rPr>
              <w:t>Cairns (QLD)</w:t>
            </w:r>
          </w:p>
        </w:tc>
      </w:tr>
      <w:tr w:rsidR="00791102" w:rsidRPr="00D3551F" w14:paraId="5BBC1ECB" w14:textId="77777777" w:rsidTr="00B916BE">
        <w:trPr>
          <w:cantSplit/>
          <w:trHeight w:val="397"/>
        </w:trPr>
        <w:tc>
          <w:tcPr>
            <w:tcW w:w="2745" w:type="pct"/>
            <w:noWrap/>
            <w:vAlign w:val="center"/>
          </w:tcPr>
          <w:p w14:paraId="0E00E4A8" w14:textId="32917010" w:rsidR="00791102" w:rsidRPr="00BB248F" w:rsidRDefault="00791102" w:rsidP="00791102">
            <w:pPr>
              <w:rPr>
                <w:rFonts w:eastAsia="Times New Roman" w:cs="Arial"/>
                <w:color w:val="000000"/>
              </w:rPr>
            </w:pPr>
            <w:r>
              <w:rPr>
                <w:rFonts w:eastAsia="Times New Roman" w:cs="Arial"/>
                <w:color w:val="000000"/>
              </w:rPr>
              <w:t>Riverina (NSW)</w:t>
            </w:r>
          </w:p>
        </w:tc>
        <w:tc>
          <w:tcPr>
            <w:tcW w:w="2255" w:type="pct"/>
            <w:gridSpan w:val="2"/>
            <w:vAlign w:val="center"/>
          </w:tcPr>
          <w:p w14:paraId="5350BEFF" w14:textId="6B1594EF" w:rsidR="00791102" w:rsidRPr="00BB248F" w:rsidRDefault="00791102" w:rsidP="00791102">
            <w:pPr>
              <w:rPr>
                <w:rFonts w:eastAsia="Times New Roman" w:cs="Arial"/>
                <w:color w:val="000000"/>
              </w:rPr>
            </w:pPr>
            <w:r w:rsidRPr="00BB248F">
              <w:rPr>
                <w:rFonts w:eastAsia="Times New Roman" w:cs="Arial"/>
                <w:color w:val="000000"/>
              </w:rPr>
              <w:t>Darling Downs - Maranoa (QLD)</w:t>
            </w:r>
          </w:p>
        </w:tc>
      </w:tr>
      <w:tr w:rsidR="00791102" w:rsidRPr="00D3551F" w14:paraId="3F0DC27E" w14:textId="77777777" w:rsidTr="00B916BE">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5AF629A3" w14:textId="3A46EF19" w:rsidR="00791102" w:rsidRPr="00BB248F" w:rsidRDefault="00791102" w:rsidP="00791102">
            <w:pPr>
              <w:rPr>
                <w:rFonts w:eastAsia="Times New Roman" w:cs="Arial"/>
                <w:color w:val="000000"/>
              </w:rPr>
            </w:pPr>
            <w:r w:rsidRPr="00BB248F">
              <w:rPr>
                <w:rFonts w:eastAsia="Times New Roman" w:cs="Arial"/>
                <w:color w:val="000000"/>
              </w:rPr>
              <w:t>Sydney - Blacktown (NSW)</w:t>
            </w:r>
          </w:p>
        </w:tc>
        <w:tc>
          <w:tcPr>
            <w:tcW w:w="2255" w:type="pct"/>
            <w:gridSpan w:val="2"/>
            <w:vAlign w:val="center"/>
          </w:tcPr>
          <w:p w14:paraId="30A82E87" w14:textId="35FF83DE" w:rsidR="00791102" w:rsidRPr="00BB248F" w:rsidRDefault="00791102" w:rsidP="00791102">
            <w:pPr>
              <w:rPr>
                <w:rFonts w:eastAsia="Times New Roman" w:cs="Arial"/>
                <w:color w:val="000000"/>
              </w:rPr>
            </w:pPr>
            <w:r w:rsidRPr="00BB248F">
              <w:rPr>
                <w:rFonts w:eastAsia="Times New Roman" w:cs="Arial"/>
                <w:color w:val="000000"/>
              </w:rPr>
              <w:t>Adelaide - West (SA)</w:t>
            </w:r>
          </w:p>
        </w:tc>
      </w:tr>
      <w:tr w:rsidR="00791102" w:rsidRPr="00D3551F" w14:paraId="36D5AB4E" w14:textId="77777777" w:rsidTr="00B916BE">
        <w:trPr>
          <w:cantSplit/>
          <w:trHeight w:val="397"/>
        </w:trPr>
        <w:tc>
          <w:tcPr>
            <w:tcW w:w="2745" w:type="pct"/>
            <w:noWrap/>
            <w:vAlign w:val="center"/>
          </w:tcPr>
          <w:p w14:paraId="0DEB2043" w14:textId="4E4F6241" w:rsidR="00791102" w:rsidRPr="00BB248F" w:rsidRDefault="00791102" w:rsidP="00791102">
            <w:pPr>
              <w:rPr>
                <w:rFonts w:eastAsia="Times New Roman" w:cs="Arial"/>
                <w:color w:val="000000"/>
              </w:rPr>
            </w:pPr>
            <w:r w:rsidRPr="00BB248F">
              <w:rPr>
                <w:rFonts w:eastAsia="Times New Roman" w:cs="Arial"/>
                <w:color w:val="000000"/>
              </w:rPr>
              <w:t>Sydney - Inner South West (NSW)</w:t>
            </w:r>
          </w:p>
        </w:tc>
        <w:tc>
          <w:tcPr>
            <w:tcW w:w="2255" w:type="pct"/>
            <w:gridSpan w:val="2"/>
            <w:vAlign w:val="center"/>
          </w:tcPr>
          <w:p w14:paraId="10415E91" w14:textId="2672BCFB" w:rsidR="00791102" w:rsidRPr="00BB248F" w:rsidRDefault="00791102" w:rsidP="00791102">
            <w:pPr>
              <w:rPr>
                <w:rFonts w:eastAsia="Times New Roman" w:cs="Arial"/>
                <w:color w:val="000000"/>
              </w:rPr>
            </w:pPr>
            <w:r w:rsidRPr="00BB248F">
              <w:rPr>
                <w:rFonts w:eastAsia="Times New Roman" w:cs="Arial"/>
                <w:color w:val="000000"/>
              </w:rPr>
              <w:t>South Australia - South East (SA)</w:t>
            </w:r>
          </w:p>
        </w:tc>
      </w:tr>
      <w:tr w:rsidR="00791102" w:rsidRPr="00D3551F" w14:paraId="2F596705" w14:textId="77777777" w:rsidTr="00B916BE">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3E19A5E1" w14:textId="56793F17" w:rsidR="00791102" w:rsidRPr="00BB248F" w:rsidRDefault="00791102" w:rsidP="00791102">
            <w:pPr>
              <w:rPr>
                <w:rFonts w:eastAsia="Times New Roman" w:cs="Arial"/>
                <w:color w:val="000000"/>
              </w:rPr>
            </w:pPr>
            <w:r w:rsidRPr="00BB248F">
              <w:rPr>
                <w:rFonts w:eastAsia="Times New Roman" w:cs="Arial"/>
                <w:color w:val="000000"/>
              </w:rPr>
              <w:t>Sydney - Outer South West (NSW)</w:t>
            </w:r>
          </w:p>
        </w:tc>
        <w:tc>
          <w:tcPr>
            <w:tcW w:w="2255" w:type="pct"/>
            <w:gridSpan w:val="2"/>
            <w:vAlign w:val="center"/>
          </w:tcPr>
          <w:p w14:paraId="78FD7AB5" w14:textId="77777777" w:rsidR="00791102" w:rsidRPr="00BB248F" w:rsidRDefault="00791102" w:rsidP="00791102">
            <w:pPr>
              <w:rPr>
                <w:rFonts w:eastAsia="Times New Roman" w:cs="Arial"/>
                <w:color w:val="000000"/>
              </w:rPr>
            </w:pPr>
            <w:r w:rsidRPr="00BB248F">
              <w:rPr>
                <w:rFonts w:eastAsia="Times New Roman" w:cs="Arial"/>
                <w:color w:val="000000"/>
              </w:rPr>
              <w:t>Perth - South East (WA)</w:t>
            </w:r>
          </w:p>
        </w:tc>
      </w:tr>
      <w:tr w:rsidR="00791102" w:rsidRPr="00D3551F" w14:paraId="19A389AD" w14:textId="77777777" w:rsidTr="00B916BE">
        <w:trPr>
          <w:cantSplit/>
          <w:trHeight w:val="397"/>
        </w:trPr>
        <w:tc>
          <w:tcPr>
            <w:tcW w:w="2745" w:type="pct"/>
            <w:noWrap/>
            <w:vAlign w:val="center"/>
          </w:tcPr>
          <w:p w14:paraId="13D1E8A3" w14:textId="04762947" w:rsidR="00791102" w:rsidRPr="00BB248F" w:rsidRDefault="00791102" w:rsidP="00791102">
            <w:pPr>
              <w:rPr>
                <w:rFonts w:eastAsia="Times New Roman" w:cs="Arial"/>
                <w:color w:val="000000"/>
              </w:rPr>
            </w:pPr>
            <w:r w:rsidRPr="00BB248F">
              <w:rPr>
                <w:rFonts w:eastAsia="Times New Roman" w:cs="Arial"/>
                <w:color w:val="000000"/>
              </w:rPr>
              <w:t>Bendigo (Vic.)</w:t>
            </w:r>
          </w:p>
        </w:tc>
        <w:tc>
          <w:tcPr>
            <w:tcW w:w="2255" w:type="pct"/>
            <w:gridSpan w:val="2"/>
            <w:vAlign w:val="center"/>
          </w:tcPr>
          <w:p w14:paraId="76D66311" w14:textId="7FCA0220" w:rsidR="00791102" w:rsidRPr="00BB248F" w:rsidRDefault="00B418F8" w:rsidP="00791102">
            <w:pPr>
              <w:rPr>
                <w:rFonts w:eastAsia="Times New Roman" w:cs="Arial"/>
                <w:color w:val="000000"/>
              </w:rPr>
            </w:pPr>
            <w:r w:rsidRPr="00BB248F">
              <w:rPr>
                <w:rFonts w:eastAsia="Times New Roman" w:cs="Arial"/>
                <w:color w:val="000000"/>
              </w:rPr>
              <w:t>Bunbury (WA)</w:t>
            </w:r>
          </w:p>
        </w:tc>
      </w:tr>
      <w:tr w:rsidR="00B418F8" w:rsidRPr="00D3551F" w14:paraId="2EFA9CE8"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70156DA4" w14:textId="441A4D0D" w:rsidR="00B418F8" w:rsidRPr="00BB248F" w:rsidRDefault="00B418F8" w:rsidP="00B418F8">
            <w:pPr>
              <w:rPr>
                <w:rFonts w:eastAsia="Times New Roman" w:cs="Arial"/>
                <w:color w:val="000000"/>
              </w:rPr>
            </w:pPr>
            <w:r w:rsidRPr="00BB248F">
              <w:rPr>
                <w:rFonts w:eastAsia="Times New Roman" w:cs="Arial"/>
                <w:color w:val="000000"/>
              </w:rPr>
              <w:t>Melbourne - North East (Vic.)</w:t>
            </w:r>
          </w:p>
        </w:tc>
        <w:tc>
          <w:tcPr>
            <w:tcW w:w="2255" w:type="pct"/>
            <w:gridSpan w:val="2"/>
            <w:vAlign w:val="center"/>
          </w:tcPr>
          <w:p w14:paraId="011C1FBF" w14:textId="588FDB85" w:rsidR="00B418F8" w:rsidRPr="00BB248F" w:rsidRDefault="00B418F8" w:rsidP="00B418F8">
            <w:pPr>
              <w:rPr>
                <w:rFonts w:eastAsia="Times New Roman" w:cs="Arial"/>
                <w:color w:val="000000"/>
              </w:rPr>
            </w:pPr>
            <w:r w:rsidRPr="00BB248F">
              <w:rPr>
                <w:rFonts w:eastAsia="Times New Roman" w:cs="Arial"/>
                <w:color w:val="000000"/>
              </w:rPr>
              <w:t>Western Australia - Wheat Belt (WA)</w:t>
            </w:r>
          </w:p>
        </w:tc>
      </w:tr>
      <w:tr w:rsidR="00B418F8" w:rsidRPr="00D3551F" w14:paraId="5FA9A714" w14:textId="77777777" w:rsidTr="00A12739">
        <w:trPr>
          <w:cantSplit/>
          <w:trHeight w:val="397"/>
        </w:trPr>
        <w:tc>
          <w:tcPr>
            <w:tcW w:w="2745" w:type="pct"/>
            <w:noWrap/>
            <w:vAlign w:val="center"/>
          </w:tcPr>
          <w:p w14:paraId="2D1996AA" w14:textId="2A0BFB48" w:rsidR="00B418F8" w:rsidRPr="00BB248F" w:rsidRDefault="00B418F8" w:rsidP="00B418F8">
            <w:pPr>
              <w:rPr>
                <w:rFonts w:eastAsia="Times New Roman" w:cs="Arial"/>
                <w:color w:val="000000"/>
              </w:rPr>
            </w:pPr>
            <w:r w:rsidRPr="00BB248F">
              <w:rPr>
                <w:rFonts w:eastAsia="Times New Roman" w:cs="Arial"/>
                <w:color w:val="000000"/>
              </w:rPr>
              <w:t>Melbourne - South East (Vic.)</w:t>
            </w:r>
          </w:p>
        </w:tc>
        <w:tc>
          <w:tcPr>
            <w:tcW w:w="2255" w:type="pct"/>
            <w:gridSpan w:val="2"/>
            <w:vAlign w:val="center"/>
          </w:tcPr>
          <w:p w14:paraId="49B5D498" w14:textId="21E561F2" w:rsidR="00B418F8" w:rsidRPr="00BB248F" w:rsidRDefault="00B418F8" w:rsidP="00B418F8">
            <w:pPr>
              <w:rPr>
                <w:rFonts w:eastAsia="Times New Roman" w:cs="Arial"/>
                <w:color w:val="000000"/>
              </w:rPr>
            </w:pPr>
            <w:r w:rsidRPr="00BB248F">
              <w:rPr>
                <w:rFonts w:eastAsia="Times New Roman" w:cs="Arial"/>
                <w:color w:val="000000"/>
              </w:rPr>
              <w:t>Hobart (Tas.)</w:t>
            </w:r>
          </w:p>
        </w:tc>
      </w:tr>
      <w:tr w:rsidR="00B418F8" w:rsidRPr="00D3551F" w14:paraId="48B1EFB8" w14:textId="77777777" w:rsidTr="00AE1040">
        <w:trPr>
          <w:cnfStyle w:val="000000010000" w:firstRow="0" w:lastRow="0" w:firstColumn="0" w:lastColumn="0" w:oddVBand="0" w:evenVBand="0" w:oddHBand="0" w:evenHBand="1" w:firstRowFirstColumn="0" w:firstRowLastColumn="0" w:lastRowFirstColumn="0" w:lastRowLastColumn="0"/>
          <w:cantSplit/>
          <w:trHeight w:val="397"/>
        </w:trPr>
        <w:tc>
          <w:tcPr>
            <w:tcW w:w="5000" w:type="pct"/>
            <w:gridSpan w:val="3"/>
            <w:shd w:val="clear" w:color="auto" w:fill="2F005F"/>
            <w:noWrap/>
            <w:vAlign w:val="center"/>
            <w:hideMark/>
          </w:tcPr>
          <w:p w14:paraId="31E5671F" w14:textId="77777777" w:rsidR="00B418F8" w:rsidRPr="007E2211" w:rsidRDefault="00B418F8" w:rsidP="007E2211">
            <w:pPr>
              <w:jc w:val="center"/>
              <w:rPr>
                <w:b/>
                <w:bCs/>
              </w:rPr>
            </w:pPr>
            <w:r w:rsidRPr="007E2211">
              <w:rPr>
                <w:b/>
                <w:bCs/>
              </w:rPr>
              <w:t>Below average</w:t>
            </w:r>
          </w:p>
        </w:tc>
      </w:tr>
      <w:tr w:rsidR="00B418F8" w:rsidRPr="00D3551F" w14:paraId="63549D50" w14:textId="77777777" w:rsidTr="00A12739">
        <w:trPr>
          <w:cantSplit/>
          <w:trHeight w:val="397"/>
        </w:trPr>
        <w:tc>
          <w:tcPr>
            <w:tcW w:w="2745" w:type="pct"/>
            <w:noWrap/>
            <w:vAlign w:val="center"/>
            <w:hideMark/>
          </w:tcPr>
          <w:p w14:paraId="6D464F6A" w14:textId="77777777" w:rsidR="00B418F8" w:rsidRPr="00BB248F" w:rsidRDefault="00B418F8" w:rsidP="00B418F8">
            <w:pPr>
              <w:rPr>
                <w:rFonts w:eastAsia="Times New Roman" w:cs="Arial"/>
                <w:color w:val="000000"/>
              </w:rPr>
            </w:pPr>
            <w:r w:rsidRPr="00BB248F">
              <w:rPr>
                <w:rFonts w:eastAsia="Times New Roman" w:cs="Arial"/>
                <w:color w:val="000000"/>
              </w:rPr>
              <w:t>Illawarra (NSW)</w:t>
            </w:r>
          </w:p>
        </w:tc>
        <w:tc>
          <w:tcPr>
            <w:tcW w:w="2255" w:type="pct"/>
            <w:gridSpan w:val="2"/>
            <w:vAlign w:val="center"/>
          </w:tcPr>
          <w:p w14:paraId="3D619317" w14:textId="3D750389" w:rsidR="00B418F8" w:rsidRPr="00BB248F" w:rsidRDefault="00093BB1" w:rsidP="00B418F8">
            <w:pPr>
              <w:rPr>
                <w:rFonts w:eastAsia="Times New Roman" w:cs="Arial"/>
                <w:color w:val="000000"/>
              </w:rPr>
            </w:pPr>
            <w:r w:rsidRPr="00BB248F">
              <w:rPr>
                <w:rFonts w:eastAsia="Times New Roman" w:cs="Arial"/>
                <w:color w:val="000000"/>
              </w:rPr>
              <w:t>Toowoomba (QLD)</w:t>
            </w:r>
          </w:p>
        </w:tc>
      </w:tr>
      <w:tr w:rsidR="00B418F8" w:rsidRPr="00D3551F" w14:paraId="39FE505F"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4023FC99" w14:textId="0BDECCC5" w:rsidR="00B418F8" w:rsidRPr="00BB248F" w:rsidRDefault="0092532C" w:rsidP="00B418F8">
            <w:pPr>
              <w:rPr>
                <w:rFonts w:eastAsia="Times New Roman" w:cs="Arial"/>
                <w:color w:val="000000"/>
              </w:rPr>
            </w:pPr>
            <w:r w:rsidRPr="00BB248F">
              <w:rPr>
                <w:rFonts w:eastAsia="Times New Roman" w:cs="Arial"/>
                <w:color w:val="000000"/>
              </w:rPr>
              <w:t>Southern Highlands and Shoalhaven (NSW)</w:t>
            </w:r>
          </w:p>
        </w:tc>
        <w:tc>
          <w:tcPr>
            <w:tcW w:w="2255" w:type="pct"/>
            <w:gridSpan w:val="2"/>
            <w:vAlign w:val="center"/>
          </w:tcPr>
          <w:p w14:paraId="3F9E610F" w14:textId="517B664C" w:rsidR="00B418F8" w:rsidRPr="00BB248F" w:rsidRDefault="00093BB1" w:rsidP="00B418F8">
            <w:pPr>
              <w:rPr>
                <w:rFonts w:eastAsia="Times New Roman" w:cs="Arial"/>
                <w:color w:val="000000"/>
              </w:rPr>
            </w:pPr>
            <w:r w:rsidRPr="00BB248F">
              <w:rPr>
                <w:rFonts w:eastAsia="Times New Roman" w:cs="Arial"/>
                <w:color w:val="000000"/>
              </w:rPr>
              <w:t>To</w:t>
            </w:r>
            <w:r>
              <w:rPr>
                <w:rFonts w:eastAsia="Times New Roman" w:cs="Arial"/>
                <w:color w:val="000000"/>
              </w:rPr>
              <w:t>wnsville</w:t>
            </w:r>
            <w:r w:rsidRPr="00BB248F">
              <w:rPr>
                <w:rFonts w:eastAsia="Times New Roman" w:cs="Arial"/>
                <w:color w:val="000000"/>
              </w:rPr>
              <w:t xml:space="preserve"> (QLD)</w:t>
            </w:r>
          </w:p>
        </w:tc>
      </w:tr>
      <w:tr w:rsidR="00093BB1" w:rsidRPr="00D3551F" w14:paraId="3DFFFB2D" w14:textId="77777777" w:rsidTr="00A12739">
        <w:trPr>
          <w:cantSplit/>
          <w:trHeight w:val="397"/>
        </w:trPr>
        <w:tc>
          <w:tcPr>
            <w:tcW w:w="2745" w:type="pct"/>
            <w:noWrap/>
            <w:vAlign w:val="center"/>
            <w:hideMark/>
          </w:tcPr>
          <w:p w14:paraId="6C5E10C5" w14:textId="534EBA5A" w:rsidR="00093BB1" w:rsidRPr="00BB248F" w:rsidRDefault="00093BB1" w:rsidP="00093BB1">
            <w:pPr>
              <w:rPr>
                <w:rFonts w:eastAsia="Times New Roman" w:cs="Arial"/>
                <w:color w:val="000000"/>
              </w:rPr>
            </w:pPr>
            <w:r w:rsidRPr="00BB248F">
              <w:rPr>
                <w:rFonts w:eastAsia="Times New Roman" w:cs="Arial"/>
                <w:color w:val="000000"/>
              </w:rPr>
              <w:t>Sydney - Parramatta (NSW)</w:t>
            </w:r>
          </w:p>
        </w:tc>
        <w:tc>
          <w:tcPr>
            <w:tcW w:w="2255" w:type="pct"/>
            <w:gridSpan w:val="2"/>
            <w:vAlign w:val="center"/>
          </w:tcPr>
          <w:p w14:paraId="6FB6419C" w14:textId="53AB79DB" w:rsidR="00093BB1" w:rsidRPr="00BB248F" w:rsidRDefault="00093BB1" w:rsidP="00093BB1">
            <w:pPr>
              <w:rPr>
                <w:rFonts w:eastAsia="Times New Roman" w:cs="Arial"/>
                <w:color w:val="000000"/>
              </w:rPr>
            </w:pPr>
            <w:r w:rsidRPr="00BB248F">
              <w:rPr>
                <w:rFonts w:eastAsia="Times New Roman" w:cs="Arial"/>
                <w:color w:val="000000"/>
              </w:rPr>
              <w:t>Mandurah (WA)</w:t>
            </w:r>
          </w:p>
        </w:tc>
      </w:tr>
      <w:tr w:rsidR="00093BB1" w:rsidRPr="00D3551F" w14:paraId="41AF5391"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2053D0C8" w14:textId="6A7B3D88" w:rsidR="00093BB1" w:rsidRPr="00BB248F" w:rsidRDefault="00093BB1" w:rsidP="00093BB1">
            <w:pPr>
              <w:rPr>
                <w:rFonts w:eastAsia="Times New Roman" w:cs="Arial"/>
                <w:color w:val="000000"/>
              </w:rPr>
            </w:pPr>
            <w:r w:rsidRPr="00BB248F">
              <w:rPr>
                <w:rFonts w:eastAsia="Times New Roman" w:cs="Arial"/>
                <w:color w:val="000000"/>
              </w:rPr>
              <w:t>Melbourne - North West (Vic.)</w:t>
            </w:r>
          </w:p>
        </w:tc>
        <w:tc>
          <w:tcPr>
            <w:tcW w:w="2255" w:type="pct"/>
            <w:gridSpan w:val="2"/>
            <w:vAlign w:val="center"/>
          </w:tcPr>
          <w:p w14:paraId="4A7D3D8E" w14:textId="527C8131" w:rsidR="00093BB1" w:rsidRPr="00BB248F" w:rsidRDefault="00093BB1" w:rsidP="00093BB1">
            <w:pPr>
              <w:rPr>
                <w:rFonts w:eastAsia="Times New Roman" w:cs="Arial"/>
                <w:color w:val="000000"/>
              </w:rPr>
            </w:pPr>
            <w:r w:rsidRPr="00BB248F">
              <w:rPr>
                <w:rFonts w:eastAsia="Times New Roman" w:cs="Arial"/>
                <w:color w:val="000000"/>
              </w:rPr>
              <w:t>Western Australia - Outback (North and South) (WA)</w:t>
            </w:r>
          </w:p>
        </w:tc>
      </w:tr>
      <w:tr w:rsidR="00B418F8" w:rsidRPr="00D3551F" w14:paraId="16F4108B" w14:textId="77777777" w:rsidTr="00A12739">
        <w:trPr>
          <w:cantSplit/>
          <w:trHeight w:val="397"/>
        </w:trPr>
        <w:tc>
          <w:tcPr>
            <w:tcW w:w="2745" w:type="pct"/>
            <w:noWrap/>
            <w:vAlign w:val="center"/>
            <w:hideMark/>
          </w:tcPr>
          <w:p w14:paraId="7E25B97D" w14:textId="0C0606BC" w:rsidR="00B418F8" w:rsidRPr="00BB248F" w:rsidRDefault="00B949A1" w:rsidP="00B418F8">
            <w:pPr>
              <w:rPr>
                <w:rFonts w:eastAsia="Times New Roman" w:cs="Arial"/>
                <w:color w:val="000000"/>
              </w:rPr>
            </w:pPr>
            <w:r w:rsidRPr="00BB248F">
              <w:rPr>
                <w:rFonts w:eastAsia="Times New Roman" w:cs="Arial"/>
                <w:color w:val="000000"/>
              </w:rPr>
              <w:t>Victoria - North West (Vic.)</w:t>
            </w:r>
          </w:p>
        </w:tc>
        <w:tc>
          <w:tcPr>
            <w:tcW w:w="2255" w:type="pct"/>
            <w:gridSpan w:val="2"/>
            <w:vAlign w:val="center"/>
          </w:tcPr>
          <w:p w14:paraId="0849EC1F" w14:textId="4B1CB202" w:rsidR="00B418F8" w:rsidRPr="00BB248F" w:rsidRDefault="00093BB1" w:rsidP="00B418F8">
            <w:pPr>
              <w:rPr>
                <w:rFonts w:eastAsia="Times New Roman" w:cs="Arial"/>
                <w:color w:val="000000"/>
              </w:rPr>
            </w:pPr>
            <w:r w:rsidRPr="00BB248F">
              <w:rPr>
                <w:rFonts w:eastAsia="Times New Roman" w:cs="Arial"/>
                <w:color w:val="000000"/>
              </w:rPr>
              <w:t>Launceston and North East (Tas.)</w:t>
            </w:r>
          </w:p>
        </w:tc>
      </w:tr>
      <w:tr w:rsidR="00B418F8" w:rsidRPr="00D3551F" w14:paraId="343ABFF0"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2C2B6F93" w14:textId="4A03FA8C" w:rsidR="00B418F8" w:rsidRPr="00BB248F" w:rsidRDefault="00093BB1" w:rsidP="00B418F8">
            <w:pPr>
              <w:rPr>
                <w:rFonts w:eastAsia="Times New Roman" w:cs="Arial"/>
                <w:color w:val="000000"/>
              </w:rPr>
            </w:pPr>
            <w:r w:rsidRPr="00BB248F">
              <w:rPr>
                <w:rFonts w:eastAsia="Times New Roman" w:cs="Arial"/>
                <w:color w:val="000000"/>
              </w:rPr>
              <w:t>Central Queensland (QLD)</w:t>
            </w:r>
          </w:p>
        </w:tc>
        <w:tc>
          <w:tcPr>
            <w:tcW w:w="2255" w:type="pct"/>
            <w:gridSpan w:val="2"/>
            <w:vAlign w:val="center"/>
          </w:tcPr>
          <w:p w14:paraId="19643465" w14:textId="7910FCFF" w:rsidR="00B418F8" w:rsidRPr="00BB248F" w:rsidRDefault="00B418F8" w:rsidP="00B418F8">
            <w:pPr>
              <w:rPr>
                <w:rFonts w:eastAsia="Times New Roman" w:cs="Arial"/>
                <w:color w:val="000000"/>
              </w:rPr>
            </w:pPr>
          </w:p>
        </w:tc>
      </w:tr>
      <w:tr w:rsidR="00B418F8" w:rsidRPr="00D3551F" w14:paraId="41FD4233" w14:textId="77777777" w:rsidTr="00AE1040">
        <w:trPr>
          <w:cantSplit/>
          <w:trHeight w:val="397"/>
        </w:trPr>
        <w:tc>
          <w:tcPr>
            <w:tcW w:w="5000" w:type="pct"/>
            <w:gridSpan w:val="3"/>
            <w:shd w:val="clear" w:color="auto" w:fill="2F005F"/>
            <w:noWrap/>
            <w:vAlign w:val="center"/>
            <w:hideMark/>
          </w:tcPr>
          <w:p w14:paraId="06B0A6D7" w14:textId="77777777" w:rsidR="00B418F8" w:rsidRPr="007E2211" w:rsidRDefault="00B418F8" w:rsidP="007E2211">
            <w:pPr>
              <w:jc w:val="center"/>
              <w:rPr>
                <w:b/>
                <w:bCs/>
              </w:rPr>
            </w:pPr>
            <w:r w:rsidRPr="007E2211">
              <w:rPr>
                <w:b/>
                <w:bCs/>
              </w:rPr>
              <w:t>Poor</w:t>
            </w:r>
          </w:p>
        </w:tc>
      </w:tr>
      <w:tr w:rsidR="006136CB" w:rsidRPr="00D3551F" w14:paraId="6232CAD4"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2BE16BEE" w14:textId="77777777" w:rsidR="006136CB" w:rsidRPr="00707103" w:rsidRDefault="006136CB" w:rsidP="006136CB">
            <w:pPr>
              <w:rPr>
                <w:rFonts w:eastAsia="Times New Roman" w:cs="Arial"/>
                <w:color w:val="000000"/>
              </w:rPr>
            </w:pPr>
            <w:r w:rsidRPr="00707103">
              <w:rPr>
                <w:rFonts w:eastAsia="Times New Roman" w:cs="Arial"/>
                <w:color w:val="000000"/>
              </w:rPr>
              <w:t>Coffs Harbour - Grafton (NSW)</w:t>
            </w:r>
          </w:p>
        </w:tc>
        <w:tc>
          <w:tcPr>
            <w:tcW w:w="2255" w:type="pct"/>
            <w:gridSpan w:val="2"/>
            <w:vAlign w:val="center"/>
          </w:tcPr>
          <w:p w14:paraId="01F6554B" w14:textId="0C275DD8" w:rsidR="006136CB" w:rsidRPr="00707103" w:rsidRDefault="006136CB" w:rsidP="006136CB">
            <w:pPr>
              <w:rPr>
                <w:rFonts w:eastAsia="Times New Roman" w:cs="Arial"/>
                <w:color w:val="000000"/>
              </w:rPr>
            </w:pPr>
            <w:r w:rsidRPr="00707103">
              <w:rPr>
                <w:rFonts w:eastAsia="Times New Roman" w:cs="Arial"/>
                <w:color w:val="000000"/>
              </w:rPr>
              <w:t>Queensland - Outback (QLD)</w:t>
            </w:r>
          </w:p>
        </w:tc>
      </w:tr>
      <w:tr w:rsidR="006136CB" w:rsidRPr="00D3551F" w14:paraId="508481DB" w14:textId="77777777" w:rsidTr="00A12739">
        <w:trPr>
          <w:cantSplit/>
          <w:trHeight w:val="397"/>
        </w:trPr>
        <w:tc>
          <w:tcPr>
            <w:tcW w:w="2745" w:type="pct"/>
            <w:noWrap/>
            <w:vAlign w:val="center"/>
            <w:hideMark/>
          </w:tcPr>
          <w:p w14:paraId="519C03C7" w14:textId="77777777" w:rsidR="006136CB" w:rsidRPr="00707103" w:rsidRDefault="006136CB" w:rsidP="006136CB">
            <w:pPr>
              <w:rPr>
                <w:rFonts w:eastAsia="Times New Roman" w:cs="Arial"/>
                <w:color w:val="000000"/>
              </w:rPr>
            </w:pPr>
            <w:r w:rsidRPr="00707103">
              <w:rPr>
                <w:rFonts w:eastAsia="Times New Roman" w:cs="Arial"/>
                <w:color w:val="000000"/>
              </w:rPr>
              <w:t>Far West and Orana (NSW)</w:t>
            </w:r>
          </w:p>
        </w:tc>
        <w:tc>
          <w:tcPr>
            <w:tcW w:w="2255" w:type="pct"/>
            <w:gridSpan w:val="2"/>
            <w:vAlign w:val="center"/>
          </w:tcPr>
          <w:p w14:paraId="6949D530" w14:textId="5D47EEA6" w:rsidR="006136CB" w:rsidRPr="00707103" w:rsidRDefault="006136CB" w:rsidP="006136CB">
            <w:pPr>
              <w:rPr>
                <w:rFonts w:eastAsia="Times New Roman" w:cs="Arial"/>
                <w:color w:val="000000"/>
              </w:rPr>
            </w:pPr>
            <w:r w:rsidRPr="00707103">
              <w:rPr>
                <w:rFonts w:eastAsia="Times New Roman" w:cs="Arial"/>
                <w:color w:val="000000"/>
              </w:rPr>
              <w:t>Wide Bay (QLD)</w:t>
            </w:r>
          </w:p>
        </w:tc>
      </w:tr>
      <w:tr w:rsidR="006136CB" w:rsidRPr="00D3551F" w14:paraId="25BA0B63"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06768C39" w14:textId="77777777" w:rsidR="006136CB" w:rsidRPr="00707103" w:rsidRDefault="006136CB" w:rsidP="006136CB">
            <w:pPr>
              <w:rPr>
                <w:rFonts w:eastAsia="Times New Roman" w:cs="Arial"/>
                <w:color w:val="000000"/>
              </w:rPr>
            </w:pPr>
            <w:r w:rsidRPr="00707103">
              <w:rPr>
                <w:rFonts w:eastAsia="Times New Roman" w:cs="Arial"/>
                <w:color w:val="000000"/>
              </w:rPr>
              <w:t>Mid North Coast (NSW)</w:t>
            </w:r>
          </w:p>
        </w:tc>
        <w:tc>
          <w:tcPr>
            <w:tcW w:w="2255" w:type="pct"/>
            <w:gridSpan w:val="2"/>
            <w:vAlign w:val="center"/>
          </w:tcPr>
          <w:p w14:paraId="0CEE1C22" w14:textId="2B9B4593" w:rsidR="006136CB" w:rsidRPr="00707103" w:rsidRDefault="006136CB" w:rsidP="006136CB">
            <w:pPr>
              <w:rPr>
                <w:rFonts w:eastAsia="Times New Roman" w:cs="Arial"/>
                <w:color w:val="000000"/>
              </w:rPr>
            </w:pPr>
            <w:r w:rsidRPr="00707103">
              <w:rPr>
                <w:rFonts w:eastAsia="Times New Roman" w:cs="Arial"/>
                <w:color w:val="000000"/>
              </w:rPr>
              <w:t>Adelaide - North (SA)</w:t>
            </w:r>
          </w:p>
        </w:tc>
      </w:tr>
      <w:tr w:rsidR="006136CB" w:rsidRPr="00D3551F" w14:paraId="6CF677CF" w14:textId="77777777" w:rsidTr="00A12739">
        <w:trPr>
          <w:cantSplit/>
          <w:trHeight w:val="397"/>
        </w:trPr>
        <w:tc>
          <w:tcPr>
            <w:tcW w:w="2745" w:type="pct"/>
            <w:noWrap/>
            <w:vAlign w:val="center"/>
            <w:hideMark/>
          </w:tcPr>
          <w:p w14:paraId="6D538FEE" w14:textId="77777777" w:rsidR="006136CB" w:rsidRPr="00707103" w:rsidRDefault="006136CB" w:rsidP="006136CB">
            <w:pPr>
              <w:rPr>
                <w:rFonts w:eastAsia="Times New Roman" w:cs="Arial"/>
                <w:color w:val="000000"/>
              </w:rPr>
            </w:pPr>
            <w:r w:rsidRPr="00707103">
              <w:rPr>
                <w:rFonts w:eastAsia="Times New Roman" w:cs="Arial"/>
                <w:color w:val="000000"/>
              </w:rPr>
              <w:t>Sydney - South West (NSW)</w:t>
            </w:r>
          </w:p>
        </w:tc>
        <w:tc>
          <w:tcPr>
            <w:tcW w:w="2255" w:type="pct"/>
            <w:gridSpan w:val="2"/>
            <w:vAlign w:val="center"/>
          </w:tcPr>
          <w:p w14:paraId="39C59BCA" w14:textId="7EC8E81F" w:rsidR="006136CB" w:rsidRPr="00707103" w:rsidRDefault="006136CB" w:rsidP="006136CB">
            <w:pPr>
              <w:rPr>
                <w:rFonts w:eastAsia="Times New Roman" w:cs="Arial"/>
                <w:color w:val="000000"/>
              </w:rPr>
            </w:pPr>
            <w:r w:rsidRPr="00707103">
              <w:rPr>
                <w:rFonts w:eastAsia="Times New Roman" w:cs="Arial"/>
                <w:color w:val="000000"/>
              </w:rPr>
              <w:t>Barossa - Yorke - Mid North (SA)</w:t>
            </w:r>
          </w:p>
        </w:tc>
      </w:tr>
      <w:tr w:rsidR="006136CB" w:rsidRPr="00D3551F" w14:paraId="2842C469"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hideMark/>
          </w:tcPr>
          <w:p w14:paraId="465F41D3" w14:textId="77777777" w:rsidR="006136CB" w:rsidRPr="00707103" w:rsidRDefault="006136CB" w:rsidP="006136CB">
            <w:pPr>
              <w:rPr>
                <w:rFonts w:eastAsia="Times New Roman" w:cs="Arial"/>
                <w:color w:val="000000"/>
              </w:rPr>
            </w:pPr>
            <w:r w:rsidRPr="00707103">
              <w:rPr>
                <w:rFonts w:eastAsia="Times New Roman" w:cs="Arial"/>
                <w:color w:val="000000"/>
              </w:rPr>
              <w:t>Ballarat (Vic.)</w:t>
            </w:r>
          </w:p>
        </w:tc>
        <w:tc>
          <w:tcPr>
            <w:tcW w:w="2255" w:type="pct"/>
            <w:gridSpan w:val="2"/>
            <w:vAlign w:val="center"/>
          </w:tcPr>
          <w:p w14:paraId="4F6D1EC8" w14:textId="7C7DF7A7" w:rsidR="006136CB" w:rsidRPr="00707103" w:rsidRDefault="006136CB" w:rsidP="006136CB">
            <w:pPr>
              <w:rPr>
                <w:rFonts w:eastAsia="Times New Roman" w:cs="Arial"/>
                <w:color w:val="000000"/>
              </w:rPr>
            </w:pPr>
            <w:r w:rsidRPr="00707103">
              <w:rPr>
                <w:rFonts w:eastAsia="Times New Roman" w:cs="Arial"/>
                <w:color w:val="000000"/>
              </w:rPr>
              <w:t>South Australia - Outback (SA)</w:t>
            </w:r>
          </w:p>
        </w:tc>
      </w:tr>
      <w:tr w:rsidR="006136CB" w:rsidRPr="00D3551F" w14:paraId="50B0DE52" w14:textId="77777777" w:rsidTr="006136CB">
        <w:trPr>
          <w:cantSplit/>
          <w:trHeight w:val="397"/>
        </w:trPr>
        <w:tc>
          <w:tcPr>
            <w:tcW w:w="2745" w:type="pct"/>
            <w:noWrap/>
            <w:vAlign w:val="center"/>
          </w:tcPr>
          <w:p w14:paraId="2475BD3F" w14:textId="00266296" w:rsidR="006136CB" w:rsidRPr="00707103" w:rsidRDefault="009E38CF" w:rsidP="006136CB">
            <w:pPr>
              <w:rPr>
                <w:rFonts w:eastAsia="Times New Roman" w:cs="Arial"/>
                <w:color w:val="000000"/>
              </w:rPr>
            </w:pPr>
            <w:r>
              <w:rPr>
                <w:rFonts w:eastAsia="Times New Roman" w:cs="Arial"/>
                <w:color w:val="000000"/>
              </w:rPr>
              <w:t xml:space="preserve">Latrobe </w:t>
            </w:r>
            <w:r w:rsidR="007D1B04">
              <w:rPr>
                <w:rFonts w:eastAsia="Times New Roman" w:cs="Arial"/>
                <w:color w:val="000000"/>
              </w:rPr>
              <w:t>-</w:t>
            </w:r>
            <w:r>
              <w:rPr>
                <w:rFonts w:eastAsia="Times New Roman" w:cs="Arial"/>
                <w:color w:val="000000"/>
              </w:rPr>
              <w:t xml:space="preserve"> Gippsland (Vic.)</w:t>
            </w:r>
          </w:p>
        </w:tc>
        <w:tc>
          <w:tcPr>
            <w:tcW w:w="2255" w:type="pct"/>
            <w:gridSpan w:val="2"/>
            <w:vAlign w:val="center"/>
          </w:tcPr>
          <w:p w14:paraId="53E9F034" w14:textId="0792AE65" w:rsidR="006136CB" w:rsidRPr="00707103" w:rsidRDefault="006136CB" w:rsidP="006136CB">
            <w:pPr>
              <w:rPr>
                <w:rFonts w:eastAsia="Times New Roman" w:cs="Arial"/>
                <w:color w:val="000000"/>
              </w:rPr>
            </w:pPr>
            <w:r w:rsidRPr="00707103">
              <w:rPr>
                <w:rFonts w:eastAsia="Times New Roman" w:cs="Arial"/>
                <w:color w:val="000000"/>
              </w:rPr>
              <w:t>Tasmania - South East (Tas.)</w:t>
            </w:r>
          </w:p>
        </w:tc>
      </w:tr>
      <w:tr w:rsidR="006136CB" w:rsidRPr="00D3551F" w14:paraId="501C9535" w14:textId="77777777" w:rsidTr="006136CB">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2C4DCB0E" w14:textId="7C363A1D" w:rsidR="006136CB" w:rsidRPr="00707103" w:rsidRDefault="006136CB" w:rsidP="006136CB">
            <w:pPr>
              <w:rPr>
                <w:rFonts w:eastAsia="Times New Roman" w:cs="Arial"/>
                <w:color w:val="000000"/>
              </w:rPr>
            </w:pPr>
            <w:r w:rsidRPr="00707103">
              <w:rPr>
                <w:rFonts w:eastAsia="Times New Roman" w:cs="Arial"/>
                <w:color w:val="000000"/>
              </w:rPr>
              <w:t>Ipswich (QLD)</w:t>
            </w:r>
          </w:p>
        </w:tc>
        <w:tc>
          <w:tcPr>
            <w:tcW w:w="2255" w:type="pct"/>
            <w:gridSpan w:val="2"/>
            <w:vAlign w:val="center"/>
          </w:tcPr>
          <w:p w14:paraId="3F7394B4" w14:textId="2138FB63" w:rsidR="006136CB" w:rsidRPr="00707103" w:rsidRDefault="006136CB" w:rsidP="006136CB">
            <w:pPr>
              <w:rPr>
                <w:rFonts w:eastAsia="Times New Roman" w:cs="Arial"/>
                <w:color w:val="000000"/>
              </w:rPr>
            </w:pPr>
            <w:r w:rsidRPr="00707103">
              <w:rPr>
                <w:rFonts w:eastAsia="Times New Roman" w:cs="Arial"/>
                <w:color w:val="000000"/>
              </w:rPr>
              <w:t>Tasmania - West and North West (Tas.)</w:t>
            </w:r>
          </w:p>
        </w:tc>
      </w:tr>
      <w:tr w:rsidR="006136CB" w:rsidRPr="00D3551F" w14:paraId="4D76D26D" w14:textId="77777777" w:rsidTr="00A12739">
        <w:trPr>
          <w:cantSplit/>
          <w:trHeight w:val="397"/>
        </w:trPr>
        <w:tc>
          <w:tcPr>
            <w:tcW w:w="2745" w:type="pct"/>
            <w:noWrap/>
            <w:vAlign w:val="center"/>
            <w:hideMark/>
          </w:tcPr>
          <w:p w14:paraId="7394E798" w14:textId="6676AEFF" w:rsidR="006136CB" w:rsidRPr="00707103" w:rsidRDefault="006136CB" w:rsidP="006136CB">
            <w:pPr>
              <w:rPr>
                <w:rFonts w:eastAsia="Times New Roman" w:cs="Arial"/>
                <w:color w:val="000000"/>
              </w:rPr>
            </w:pPr>
            <w:r>
              <w:rPr>
                <w:rFonts w:eastAsia="Times New Roman" w:cs="Arial"/>
                <w:color w:val="000000"/>
              </w:rPr>
              <w:t>Logan</w:t>
            </w:r>
            <w:r w:rsidR="007D1B04">
              <w:rPr>
                <w:rFonts w:eastAsia="Times New Roman" w:cs="Arial"/>
                <w:color w:val="000000"/>
              </w:rPr>
              <w:t xml:space="preserve"> -</w:t>
            </w:r>
            <w:r>
              <w:rPr>
                <w:rFonts w:eastAsia="Times New Roman" w:cs="Arial"/>
                <w:color w:val="000000"/>
              </w:rPr>
              <w:t xml:space="preserve"> Beaudesert</w:t>
            </w:r>
            <w:r w:rsidRPr="00707103">
              <w:rPr>
                <w:rFonts w:eastAsia="Times New Roman" w:cs="Arial"/>
                <w:color w:val="000000"/>
              </w:rPr>
              <w:t xml:space="preserve"> (QLD)</w:t>
            </w:r>
          </w:p>
        </w:tc>
        <w:tc>
          <w:tcPr>
            <w:tcW w:w="2255" w:type="pct"/>
            <w:gridSpan w:val="2"/>
            <w:vAlign w:val="center"/>
          </w:tcPr>
          <w:p w14:paraId="3285AE27" w14:textId="2210BC44" w:rsidR="006136CB" w:rsidRPr="00707103" w:rsidRDefault="006136CB" w:rsidP="006136CB">
            <w:pPr>
              <w:rPr>
                <w:rFonts w:eastAsia="Times New Roman" w:cs="Arial"/>
                <w:color w:val="000000"/>
              </w:rPr>
            </w:pPr>
            <w:r w:rsidRPr="00707103">
              <w:rPr>
                <w:rFonts w:eastAsia="Times New Roman" w:cs="Arial"/>
                <w:color w:val="000000"/>
              </w:rPr>
              <w:t>Northern Territory - Outback (NT)</w:t>
            </w:r>
          </w:p>
        </w:tc>
      </w:tr>
      <w:tr w:rsidR="006136CB" w:rsidRPr="00D3551F" w14:paraId="4CCE9B81" w14:textId="77777777" w:rsidTr="00A12739">
        <w:trPr>
          <w:cnfStyle w:val="000000010000" w:firstRow="0" w:lastRow="0" w:firstColumn="0" w:lastColumn="0" w:oddVBand="0" w:evenVBand="0" w:oddHBand="0" w:evenHBand="1" w:firstRowFirstColumn="0" w:firstRowLastColumn="0" w:lastRowFirstColumn="0" w:lastRowLastColumn="0"/>
          <w:cantSplit/>
          <w:trHeight w:val="397"/>
        </w:trPr>
        <w:tc>
          <w:tcPr>
            <w:tcW w:w="2745" w:type="pct"/>
            <w:noWrap/>
            <w:vAlign w:val="center"/>
          </w:tcPr>
          <w:p w14:paraId="617829E4" w14:textId="116F5FC4" w:rsidR="006136CB" w:rsidRPr="00707103" w:rsidRDefault="006136CB" w:rsidP="006136CB">
            <w:pPr>
              <w:rPr>
                <w:rFonts w:eastAsia="Times New Roman" w:cs="Arial"/>
                <w:color w:val="000000"/>
              </w:rPr>
            </w:pPr>
            <w:r w:rsidRPr="00707103">
              <w:rPr>
                <w:rFonts w:eastAsia="Times New Roman" w:cs="Arial"/>
                <w:color w:val="000000"/>
              </w:rPr>
              <w:t>Moreton Bay - North (QLD)</w:t>
            </w:r>
          </w:p>
        </w:tc>
        <w:tc>
          <w:tcPr>
            <w:tcW w:w="2255" w:type="pct"/>
            <w:gridSpan w:val="2"/>
            <w:vAlign w:val="center"/>
          </w:tcPr>
          <w:p w14:paraId="59EBF97A" w14:textId="140EE73C" w:rsidR="006136CB" w:rsidRPr="00707103" w:rsidRDefault="006136CB" w:rsidP="006136CB">
            <w:pPr>
              <w:rPr>
                <w:rFonts w:eastAsia="Times New Roman" w:cs="Arial"/>
                <w:color w:val="000000"/>
              </w:rPr>
            </w:pPr>
          </w:p>
        </w:tc>
      </w:tr>
    </w:tbl>
    <w:p w14:paraId="508E66DA" w14:textId="155C6981" w:rsidR="00376EF4" w:rsidRPr="00707103" w:rsidRDefault="00376EF4" w:rsidP="00707103">
      <w:pPr>
        <w:pStyle w:val="Source"/>
        <w:rPr>
          <w:rFonts w:asciiTheme="minorHAnsi" w:hAnsiTheme="minorHAnsi" w:cstheme="minorHAnsi"/>
        </w:rPr>
      </w:pPr>
      <w:r w:rsidRPr="00707103">
        <w:rPr>
          <w:rFonts w:asciiTheme="minorHAnsi" w:hAnsiTheme="minorHAnsi" w:cstheme="minorHAnsi"/>
        </w:rPr>
        <w:t xml:space="preserve">Source: JSA, </w:t>
      </w:r>
      <w:r w:rsidRPr="00707103">
        <w:rPr>
          <w:rFonts w:asciiTheme="minorHAnsi" w:hAnsiTheme="minorHAnsi" w:cstheme="minorHAnsi"/>
          <w:i/>
          <w:iCs/>
        </w:rPr>
        <w:t>Regional Labour Market Indicator</w:t>
      </w:r>
      <w:r w:rsidRPr="00707103">
        <w:rPr>
          <w:rFonts w:asciiTheme="minorHAnsi" w:hAnsiTheme="minorHAnsi" w:cstheme="minorHAnsi"/>
        </w:rPr>
        <w:t xml:space="preserve"> (RLMI), </w:t>
      </w:r>
      <w:r w:rsidR="00DE6F95">
        <w:rPr>
          <w:rFonts w:asciiTheme="minorHAnsi" w:hAnsiTheme="minorHAnsi" w:cstheme="minorHAnsi"/>
        </w:rPr>
        <w:t>June</w:t>
      </w:r>
      <w:r w:rsidRPr="00707103">
        <w:rPr>
          <w:rFonts w:asciiTheme="minorHAnsi" w:hAnsiTheme="minorHAnsi" w:cstheme="minorHAnsi"/>
        </w:rPr>
        <w:t xml:space="preserve"> 2024</w:t>
      </w:r>
    </w:p>
    <w:p w14:paraId="2DD637CE" w14:textId="5483DB5E" w:rsidR="002806C0" w:rsidRPr="00707103" w:rsidRDefault="00376EF4" w:rsidP="00707103">
      <w:pPr>
        <w:rPr>
          <w:sz w:val="18"/>
          <w:szCs w:val="18"/>
        </w:rPr>
      </w:pPr>
      <w:r w:rsidRPr="00707103">
        <w:rPr>
          <w:sz w:val="18"/>
          <w:szCs w:val="18"/>
        </w:rPr>
        <w:t xml:space="preserve">Note: </w:t>
      </w:r>
      <w:r w:rsidR="00850862" w:rsidRPr="00707103">
        <w:rPr>
          <w:sz w:val="18"/>
          <w:szCs w:val="18"/>
        </w:rPr>
        <w:t>Regions</w:t>
      </w:r>
      <w:r w:rsidR="00D12A4C" w:rsidRPr="00707103">
        <w:rPr>
          <w:sz w:val="18"/>
          <w:szCs w:val="18"/>
        </w:rPr>
        <w:t xml:space="preserve"> are listed in alphabetical order by state/territory and in no way reflect a ranking within the rating</w:t>
      </w:r>
      <w:r w:rsidR="00850862" w:rsidRPr="00707103">
        <w:rPr>
          <w:sz w:val="18"/>
          <w:szCs w:val="18"/>
        </w:rPr>
        <w:t>.</w:t>
      </w:r>
    </w:p>
    <w:bookmarkEnd w:id="0"/>
    <w:bookmarkEnd w:id="1"/>
    <w:bookmarkEnd w:id="98"/>
    <w:p w14:paraId="67DCE70E" w14:textId="2C805B6C" w:rsidR="008773AD" w:rsidRPr="005C63B0" w:rsidRDefault="008773AD" w:rsidP="005C63B0">
      <w:pPr>
        <w:rPr>
          <w:sz w:val="18"/>
          <w:szCs w:val="18"/>
        </w:rPr>
      </w:pPr>
    </w:p>
    <w:sectPr w:rsidR="008773AD" w:rsidRPr="005C63B0" w:rsidSect="005C1F87">
      <w:pgSz w:w="11906" w:h="16838"/>
      <w:pgMar w:top="1134" w:right="1440" w:bottom="1418" w:left="1440" w:header="0"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2B8E0" w14:textId="77777777" w:rsidR="00FD601E" w:rsidRDefault="00FD601E" w:rsidP="008C0056">
      <w:r>
        <w:separator/>
      </w:r>
    </w:p>
  </w:endnote>
  <w:endnote w:type="continuationSeparator" w:id="0">
    <w:p w14:paraId="1B894A8D" w14:textId="77777777" w:rsidR="00FD601E" w:rsidRDefault="00FD601E" w:rsidP="008C0056">
      <w:r>
        <w:continuationSeparator/>
      </w:r>
    </w:p>
  </w:endnote>
  <w:endnote w:type="continuationNotice" w:id="1">
    <w:p w14:paraId="2E8D0939" w14:textId="77777777" w:rsidR="00FD601E" w:rsidRDefault="00FD601E"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rPr>
      <w:id w:val="1377053515"/>
      <w:docPartObj>
        <w:docPartGallery w:val="Page Numbers (Bottom of Page)"/>
        <w:docPartUnique/>
      </w:docPartObj>
    </w:sdtPr>
    <w:sdtEndPr/>
    <w:sdtContent>
      <w:p w14:paraId="1DE9E510" w14:textId="584E868E" w:rsidR="003708C1" w:rsidRPr="00311E2E" w:rsidRDefault="00051CBE" w:rsidP="00991526">
        <w:pPr>
          <w:pStyle w:val="Footer"/>
          <w:rPr>
            <w:rFonts w:asciiTheme="minorHAnsi" w:hAnsiTheme="minorHAnsi" w:cstheme="minorHAnsi"/>
          </w:rPr>
        </w:pPr>
        <w:r w:rsidRPr="00311E2E">
          <w:rPr>
            <w:rFonts w:asciiTheme="minorHAnsi" w:hAnsiTheme="minorHAnsi" w:cstheme="minorHAnsi"/>
          </w:rPr>
          <w:t xml:space="preserve">Jobs and Skills Australia – </w:t>
        </w:r>
        <w:sdt>
          <w:sdtPr>
            <w:rPr>
              <w:rFonts w:asciiTheme="minorHAnsi" w:hAnsiTheme="minorHAnsi" w:cstheme="minorHAnsi"/>
            </w:rPr>
            <w:alias w:val="Title"/>
            <w:tag w:val=""/>
            <w:id w:val="-1056470111"/>
            <w:placeholder>
              <w:docPart w:val="E4DB317D2DA340B1AF9BACDEE3AB05B6"/>
            </w:placeholder>
            <w:dataBinding w:prefixMappings="xmlns:ns0='http://purl.org/dc/elements/1.1/' xmlns:ns1='http://schemas.openxmlformats.org/package/2006/metadata/core-properties' " w:xpath="/ns1:coreProperties[1]/ns0:title[1]" w:storeItemID="{6C3C8BC8-F283-45AE-878A-BAB7291924A1}"/>
            <w:text/>
          </w:sdtPr>
          <w:sdtEndPr/>
          <w:sdtContent>
            <w:r w:rsidR="005E4C47" w:rsidRPr="00311E2E">
              <w:rPr>
                <w:rFonts w:asciiTheme="minorHAnsi" w:hAnsiTheme="minorHAnsi" w:cstheme="minorHAnsi"/>
              </w:rPr>
              <w:t>Towards a Regional, Rural and Remote Jobs and Skills Roadmap</w:t>
            </w:r>
          </w:sdtContent>
        </w:sdt>
        <w:r w:rsidR="00991526" w:rsidRPr="00311E2E">
          <w:rPr>
            <w:rFonts w:asciiTheme="minorHAnsi" w:hAnsiTheme="minorHAnsi" w:cstheme="minorHAnsi"/>
          </w:rPr>
          <w:tab/>
        </w:r>
        <w:r w:rsidR="00BE2AB7" w:rsidRPr="00311E2E">
          <w:rPr>
            <w:rFonts w:asciiTheme="minorHAnsi" w:hAnsiTheme="minorHAnsi" w:cstheme="minorHAnsi"/>
          </w:rPr>
          <w:fldChar w:fldCharType="begin"/>
        </w:r>
        <w:r w:rsidR="00BE2AB7" w:rsidRPr="00311E2E">
          <w:rPr>
            <w:rFonts w:asciiTheme="minorHAnsi" w:hAnsiTheme="minorHAnsi" w:cstheme="minorHAnsi"/>
          </w:rPr>
          <w:instrText xml:space="preserve"> PAGE   \* MERGEFORMAT </w:instrText>
        </w:r>
        <w:r w:rsidR="00BE2AB7" w:rsidRPr="00311E2E">
          <w:rPr>
            <w:rFonts w:asciiTheme="minorHAnsi" w:hAnsiTheme="minorHAnsi" w:cstheme="minorHAnsi"/>
          </w:rPr>
          <w:fldChar w:fldCharType="separate"/>
        </w:r>
        <w:r w:rsidR="00BE2AB7" w:rsidRPr="00311E2E">
          <w:rPr>
            <w:rFonts w:asciiTheme="minorHAnsi" w:hAnsiTheme="minorHAnsi" w:cstheme="minorHAnsi"/>
            <w:noProof/>
          </w:rPr>
          <w:t>2</w:t>
        </w:r>
        <w:r w:rsidR="00BE2AB7" w:rsidRPr="00311E2E">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20DF6BD7" w14:textId="77777777" w:rsidTr="576AB269">
      <w:trPr>
        <w:trHeight w:val="300"/>
      </w:trPr>
      <w:tc>
        <w:tcPr>
          <w:tcW w:w="3005" w:type="dxa"/>
        </w:tcPr>
        <w:p w14:paraId="023A381E" w14:textId="2E603919" w:rsidR="576AB269" w:rsidRDefault="576AB269" w:rsidP="576AB269">
          <w:pPr>
            <w:pStyle w:val="Header"/>
            <w:ind w:left="-115"/>
          </w:pPr>
        </w:p>
      </w:tc>
      <w:tc>
        <w:tcPr>
          <w:tcW w:w="3005" w:type="dxa"/>
        </w:tcPr>
        <w:p w14:paraId="4AB0E096" w14:textId="1E1D98F6" w:rsidR="576AB269" w:rsidRDefault="576AB269" w:rsidP="576AB269">
          <w:pPr>
            <w:pStyle w:val="Header"/>
            <w:jc w:val="center"/>
          </w:pPr>
        </w:p>
      </w:tc>
      <w:tc>
        <w:tcPr>
          <w:tcW w:w="3005" w:type="dxa"/>
        </w:tcPr>
        <w:p w14:paraId="2548FA19" w14:textId="4BA48CB4" w:rsidR="576AB269" w:rsidRDefault="576AB269" w:rsidP="576AB269">
          <w:pPr>
            <w:pStyle w:val="Header"/>
            <w:ind w:right="-115"/>
            <w:jc w:val="right"/>
          </w:pPr>
        </w:p>
      </w:tc>
    </w:tr>
  </w:tbl>
  <w:p w14:paraId="486D0428" w14:textId="4AFBFF1C" w:rsidR="576AB269" w:rsidRDefault="576AB269" w:rsidP="576AB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0E6EA" w14:textId="2DD9628B" w:rsidR="00C9084F" w:rsidRPr="001C7D2D" w:rsidRDefault="00C9084F">
    <w:pPr>
      <w:pStyle w:val="Footer"/>
      <w:rPr>
        <w:rFonts w:asciiTheme="minorHAnsi" w:hAnsiTheme="minorHAnsi"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373288"/>
      <w:docPartObj>
        <w:docPartGallery w:val="Page Numbers (Bottom of Page)"/>
        <w:docPartUnique/>
      </w:docPartObj>
    </w:sdtPr>
    <w:sdtEndPr>
      <w:rPr>
        <w:noProof/>
      </w:rPr>
    </w:sdtEndPr>
    <w:sdtContent>
      <w:p w14:paraId="49C94949" w14:textId="0A76781D" w:rsidR="00B56C82" w:rsidRPr="00991526" w:rsidRDefault="00B56C82" w:rsidP="00991526">
        <w:pPr>
          <w:pStyle w:val="Footer"/>
        </w:pPr>
        <w:r w:rsidRPr="00297C3B">
          <w:rPr>
            <w:rFonts w:asciiTheme="minorHAnsi" w:hAnsiTheme="minorHAnsi" w:cstheme="minorHAnsi"/>
          </w:rPr>
          <w:t xml:space="preserve">Jobs and Skills Australia – </w:t>
        </w:r>
        <w:sdt>
          <w:sdtPr>
            <w:rPr>
              <w:rFonts w:cs="Arial"/>
            </w:rPr>
            <w:alias w:val="Title"/>
            <w:tag w:val=""/>
            <w:id w:val="803509261"/>
            <w:placeholder>
              <w:docPart w:val="E4DB317D2DA340B1AF9BACDEE3AB05B6"/>
            </w:placeholder>
            <w:dataBinding w:prefixMappings="xmlns:ns0='http://purl.org/dc/elements/1.1/' xmlns:ns1='http://schemas.openxmlformats.org/package/2006/metadata/core-properties' " w:xpath="/ns1:coreProperties[1]/ns0:title[1]" w:storeItemID="{6C3C8BC8-F283-45AE-878A-BAB7291924A1}"/>
            <w:text/>
          </w:sdtPr>
          <w:sdtEndPr/>
          <w:sdtContent>
            <w:r w:rsidRPr="003770F4">
              <w:rPr>
                <w:rFonts w:cs="Arial"/>
              </w:rPr>
              <w:t>Towards a Regional, Rural and Remote Jobs and Skills Roadmap</w:t>
            </w:r>
          </w:sdtContent>
        </w:sdt>
        <w:r>
          <w:tab/>
        </w:r>
        <w:r w:rsidRPr="008625B8">
          <w:rPr>
            <w:rFonts w:asciiTheme="minorHAnsi" w:hAnsiTheme="minorHAnsi" w:cstheme="minorHAnsi"/>
          </w:rPr>
          <w:fldChar w:fldCharType="begin"/>
        </w:r>
        <w:r w:rsidRPr="008625B8">
          <w:rPr>
            <w:rFonts w:asciiTheme="minorHAnsi" w:hAnsiTheme="minorHAnsi" w:cstheme="minorHAnsi"/>
          </w:rPr>
          <w:instrText xml:space="preserve"> PAGE   \* MERGEFORMAT </w:instrText>
        </w:r>
        <w:r w:rsidRPr="008625B8">
          <w:rPr>
            <w:rFonts w:asciiTheme="minorHAnsi" w:hAnsiTheme="minorHAnsi" w:cstheme="minorHAnsi"/>
          </w:rPr>
          <w:fldChar w:fldCharType="separate"/>
        </w:r>
        <w:r w:rsidRPr="008625B8">
          <w:rPr>
            <w:rFonts w:asciiTheme="minorHAnsi" w:hAnsiTheme="minorHAnsi" w:cstheme="minorHAnsi"/>
            <w:noProof/>
          </w:rPr>
          <w:t>2</w:t>
        </w:r>
        <w:r w:rsidRPr="008625B8">
          <w:rPr>
            <w:rFonts w:asciiTheme="minorHAnsi" w:hAnsiTheme="minorHAnsi" w:cstheme="minorHAns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7436780"/>
      <w:docPartObj>
        <w:docPartGallery w:val="Page Numbers (Bottom of Page)"/>
        <w:docPartUnique/>
      </w:docPartObj>
    </w:sdtPr>
    <w:sdtEndPr>
      <w:rPr>
        <w:noProof/>
      </w:rPr>
    </w:sdtEndPr>
    <w:sdtContent>
      <w:p w14:paraId="7BB5CD93" w14:textId="5BA0C471" w:rsidR="00B56C82" w:rsidRDefault="00B56C82">
        <w:pPr>
          <w:pStyle w:val="Footer"/>
          <w:tabs>
            <w:tab w:val="left" w:pos="8925"/>
          </w:tabs>
        </w:pPr>
        <w:r w:rsidRPr="003770F4">
          <w:rPr>
            <w:rFonts w:asciiTheme="minorHAnsi" w:hAnsiTheme="minorHAnsi" w:cstheme="minorHAnsi"/>
          </w:rPr>
          <w:t xml:space="preserve">Jobs and Skills Australia </w:t>
        </w:r>
        <w:r w:rsidRPr="00C156AE">
          <w:rPr>
            <w:rFonts w:asciiTheme="minorHAnsi" w:hAnsiTheme="minorHAnsi" w:cstheme="minorHAnsi"/>
          </w:rPr>
          <w:t xml:space="preserve">– </w:t>
        </w:r>
        <w:sdt>
          <w:sdtPr>
            <w:rPr>
              <w:rFonts w:asciiTheme="minorHAnsi" w:hAnsiTheme="minorHAnsi" w:cstheme="minorHAnsi"/>
            </w:rPr>
            <w:alias w:val="Title"/>
            <w:tag w:val=""/>
            <w:id w:val="269204936"/>
            <w:placeholder>
              <w:docPart w:val="67C83F8B313A4651B2543B727AB5D6AA"/>
            </w:placeholder>
            <w:dataBinding w:prefixMappings="xmlns:ns0='http://purl.org/dc/elements/1.1/' xmlns:ns1='http://schemas.openxmlformats.org/package/2006/metadata/core-properties' " w:xpath="/ns1:coreProperties[1]/ns0:title[1]" w:storeItemID="{6C3C8BC8-F283-45AE-878A-BAB7291924A1}"/>
            <w:text/>
          </w:sdtPr>
          <w:sdtEndPr/>
          <w:sdtContent>
            <w:r w:rsidRPr="00C156AE">
              <w:rPr>
                <w:rFonts w:asciiTheme="minorHAnsi" w:hAnsiTheme="minorHAnsi" w:cstheme="minorHAnsi"/>
              </w:rPr>
              <w:t>Towards a Regional, Rural and Remote Jobs and Skills Roadmap</w:t>
            </w:r>
          </w:sdtContent>
        </w:sdt>
        <w:r>
          <w:tab/>
        </w:r>
        <w:r>
          <w:tab/>
        </w:r>
        <w:r w:rsidRPr="00991526">
          <w:fldChar w:fldCharType="begin"/>
        </w:r>
        <w:r w:rsidRPr="00991526">
          <w:instrText xml:space="preserve"> PAGE   \* MERGEFORMAT </w:instrText>
        </w:r>
        <w:r w:rsidRPr="00991526">
          <w:fldChar w:fldCharType="separate"/>
        </w:r>
        <w:r>
          <w:t>1</w:t>
        </w:r>
        <w:r w:rsidRPr="00991526">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C5177" w14:paraId="6A2B141F" w14:textId="77777777">
      <w:trPr>
        <w:trHeight w:val="300"/>
      </w:trPr>
      <w:tc>
        <w:tcPr>
          <w:tcW w:w="3005" w:type="dxa"/>
        </w:tcPr>
        <w:p w14:paraId="36498C98" w14:textId="77777777" w:rsidR="00EC5177" w:rsidRDefault="00EC5177">
          <w:pPr>
            <w:pStyle w:val="Header"/>
            <w:ind w:left="-115"/>
          </w:pPr>
        </w:p>
      </w:tc>
      <w:tc>
        <w:tcPr>
          <w:tcW w:w="3005" w:type="dxa"/>
        </w:tcPr>
        <w:p w14:paraId="3EA382E7" w14:textId="77777777" w:rsidR="00EC5177" w:rsidRDefault="00EC5177">
          <w:pPr>
            <w:pStyle w:val="Header"/>
            <w:jc w:val="center"/>
          </w:pPr>
        </w:p>
      </w:tc>
      <w:tc>
        <w:tcPr>
          <w:tcW w:w="3005" w:type="dxa"/>
        </w:tcPr>
        <w:p w14:paraId="21E1B009" w14:textId="77777777" w:rsidR="00EC5177" w:rsidRDefault="00EC5177">
          <w:pPr>
            <w:pStyle w:val="Header"/>
            <w:ind w:right="-115"/>
            <w:jc w:val="right"/>
          </w:pPr>
        </w:p>
      </w:tc>
    </w:tr>
  </w:tbl>
  <w:p w14:paraId="11AFD4B6" w14:textId="77777777" w:rsidR="00EC5177" w:rsidRDefault="00EC51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3D6C8A" w14:paraId="659FAEAB" w14:textId="77777777">
      <w:trPr>
        <w:trHeight w:val="300"/>
      </w:trPr>
      <w:tc>
        <w:tcPr>
          <w:tcW w:w="3005" w:type="dxa"/>
        </w:tcPr>
        <w:p w14:paraId="6360DBFA" w14:textId="77777777" w:rsidR="003D6C8A" w:rsidRDefault="003D6C8A">
          <w:pPr>
            <w:pStyle w:val="Header"/>
            <w:ind w:left="-115"/>
          </w:pPr>
        </w:p>
      </w:tc>
      <w:tc>
        <w:tcPr>
          <w:tcW w:w="3005" w:type="dxa"/>
        </w:tcPr>
        <w:p w14:paraId="15E3F218" w14:textId="77777777" w:rsidR="003D6C8A" w:rsidRDefault="003D6C8A">
          <w:pPr>
            <w:pStyle w:val="Header"/>
            <w:jc w:val="center"/>
          </w:pPr>
        </w:p>
      </w:tc>
      <w:tc>
        <w:tcPr>
          <w:tcW w:w="3005" w:type="dxa"/>
        </w:tcPr>
        <w:p w14:paraId="64CB4840" w14:textId="77777777" w:rsidR="003D6C8A" w:rsidRDefault="003D6C8A">
          <w:pPr>
            <w:pStyle w:val="Header"/>
            <w:ind w:right="-115"/>
            <w:jc w:val="right"/>
          </w:pPr>
        </w:p>
      </w:tc>
    </w:tr>
  </w:tbl>
  <w:p w14:paraId="39FCB3C8" w14:textId="77777777" w:rsidR="003D6C8A" w:rsidRDefault="003D6C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8390700"/>
      <w:docPartObj>
        <w:docPartGallery w:val="Page Numbers (Bottom of Page)"/>
        <w:docPartUnique/>
      </w:docPartObj>
    </w:sdtPr>
    <w:sdtEndPr>
      <w:rPr>
        <w:noProof/>
      </w:rPr>
    </w:sdtEndPr>
    <w:sdtContent>
      <w:p w14:paraId="33C56663" w14:textId="6DCEC2B8" w:rsidR="00D61ED7" w:rsidRDefault="00D61E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1650F1" w14:textId="3D663947" w:rsidR="576AB269" w:rsidRDefault="576AB269" w:rsidP="576AB26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116262"/>
      <w:docPartObj>
        <w:docPartGallery w:val="Page Numbers (Bottom of Page)"/>
        <w:docPartUnique/>
      </w:docPartObj>
    </w:sdtPr>
    <w:sdtEndPr>
      <w:rPr>
        <w:noProof/>
      </w:rPr>
    </w:sdtEndPr>
    <w:sdtContent>
      <w:p w14:paraId="584206DB" w14:textId="77777777" w:rsidR="00D3551F" w:rsidRDefault="00D35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0DE8FB" w14:textId="77777777" w:rsidR="006A437A" w:rsidRDefault="006A4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11A8B" w14:textId="77777777" w:rsidR="00FD601E" w:rsidRDefault="00FD601E" w:rsidP="008C0056">
      <w:r>
        <w:separator/>
      </w:r>
    </w:p>
  </w:footnote>
  <w:footnote w:type="continuationSeparator" w:id="0">
    <w:p w14:paraId="4BE3EC31" w14:textId="77777777" w:rsidR="00FD601E" w:rsidRDefault="00FD601E" w:rsidP="008C0056">
      <w:r>
        <w:continuationSeparator/>
      </w:r>
    </w:p>
  </w:footnote>
  <w:footnote w:type="continuationNotice" w:id="1">
    <w:p w14:paraId="61D46885" w14:textId="77777777" w:rsidR="00FD601E" w:rsidRDefault="00FD601E" w:rsidP="008C0056"/>
  </w:footnote>
  <w:footnote w:id="2">
    <w:p w14:paraId="3605DFD7" w14:textId="6EB8531F" w:rsidR="00A265C4" w:rsidRPr="00AD7B25" w:rsidRDefault="00A265C4">
      <w:pPr>
        <w:pStyle w:val="FootnoteText"/>
        <w:rPr>
          <w:sz w:val="18"/>
          <w:szCs w:val="18"/>
        </w:rPr>
      </w:pPr>
      <w:r w:rsidRPr="00AD7B25">
        <w:rPr>
          <w:rStyle w:val="FootnoteReference"/>
          <w:rFonts w:asciiTheme="minorHAnsi" w:hAnsiTheme="minorHAnsi" w:cstheme="minorHAnsi"/>
        </w:rPr>
        <w:footnoteRef/>
      </w:r>
      <w:r>
        <w:t xml:space="preserve"> </w:t>
      </w:r>
      <w:r w:rsidR="004204C0" w:rsidRPr="00AD7B25">
        <w:rPr>
          <w:sz w:val="18"/>
          <w:szCs w:val="18"/>
        </w:rPr>
        <w:t xml:space="preserve">Jobs and Skills Australia (2023). </w:t>
      </w:r>
      <w:r w:rsidR="004204C0" w:rsidRPr="00A02F5D">
        <w:rPr>
          <w:i/>
          <w:iCs/>
          <w:sz w:val="18"/>
          <w:szCs w:val="18"/>
        </w:rPr>
        <w:t>Towards a National Jobs and Skills Roadmap</w:t>
      </w:r>
      <w:r w:rsidR="004204C0" w:rsidRPr="00AD7B25">
        <w:rPr>
          <w:sz w:val="18"/>
          <w:szCs w:val="18"/>
        </w:rPr>
        <w:t>.</w:t>
      </w:r>
    </w:p>
  </w:footnote>
  <w:footnote w:id="3">
    <w:p w14:paraId="607450CF" w14:textId="0347395B" w:rsidR="00CA0AF1" w:rsidRDefault="00CA0AF1">
      <w:pPr>
        <w:pStyle w:val="FootnoteText"/>
      </w:pPr>
      <w:r w:rsidRPr="00AD7B25">
        <w:rPr>
          <w:rStyle w:val="FootnoteReference"/>
          <w:rFonts w:asciiTheme="minorHAnsi" w:hAnsiTheme="minorHAnsi" w:cstheme="minorHAnsi"/>
        </w:rPr>
        <w:footnoteRef/>
      </w:r>
      <w:r>
        <w:t xml:space="preserve"> </w:t>
      </w:r>
      <w:r w:rsidRPr="00AD7B25">
        <w:rPr>
          <w:sz w:val="18"/>
          <w:szCs w:val="18"/>
        </w:rPr>
        <w:t xml:space="preserve">Regional Australia Institute (2022). </w:t>
      </w:r>
      <w:r w:rsidRPr="00A02F5D">
        <w:rPr>
          <w:i/>
          <w:iCs/>
          <w:sz w:val="18"/>
          <w:szCs w:val="18"/>
        </w:rPr>
        <w:t>Regionalisation Ambition 2032 - A Framework to Rebalance the Nation</w:t>
      </w:r>
      <w:r w:rsidRPr="00AD7B25">
        <w:rPr>
          <w:sz w:val="18"/>
          <w:szCs w:val="18"/>
        </w:rPr>
        <w:t>.</w:t>
      </w:r>
    </w:p>
  </w:footnote>
  <w:footnote w:id="4">
    <w:p w14:paraId="5BCEA54C" w14:textId="299BAC63" w:rsidR="006464EC" w:rsidRDefault="006464EC" w:rsidP="006464EC">
      <w:pPr>
        <w:pStyle w:val="FootnoteText"/>
      </w:pPr>
      <w:r w:rsidRPr="00AD7B25">
        <w:rPr>
          <w:rStyle w:val="FootnoteReference"/>
          <w:rFonts w:asciiTheme="minorHAnsi" w:hAnsiTheme="minorHAnsi" w:cstheme="minorHAnsi"/>
        </w:rPr>
        <w:footnoteRef/>
      </w:r>
      <w:r>
        <w:t xml:space="preserve"> </w:t>
      </w:r>
      <w:hyperlink r:id="rId1" w:history="1">
        <w:r w:rsidR="003C7338" w:rsidRPr="00286329">
          <w:rPr>
            <w:rStyle w:val="Hyperlink"/>
            <w:rFonts w:asciiTheme="minorHAnsi" w:hAnsiTheme="minorHAnsi" w:cstheme="minorHAnsi"/>
            <w:sz w:val="18"/>
            <w:szCs w:val="18"/>
          </w:rPr>
          <w:t>A</w:t>
        </w:r>
        <w:r w:rsidR="00A02F5D">
          <w:rPr>
            <w:rStyle w:val="Hyperlink"/>
            <w:rFonts w:asciiTheme="minorHAnsi" w:hAnsiTheme="minorHAnsi" w:cstheme="minorHAnsi"/>
            <w:sz w:val="18"/>
            <w:szCs w:val="18"/>
          </w:rPr>
          <w:t>ustralian Bureau of Statistics</w:t>
        </w:r>
        <w:r w:rsidR="003C7338" w:rsidRPr="00286329">
          <w:rPr>
            <w:rStyle w:val="Hyperlink"/>
            <w:rFonts w:asciiTheme="minorHAnsi" w:hAnsiTheme="minorHAnsi" w:cstheme="minorHAnsi"/>
            <w:sz w:val="18"/>
            <w:szCs w:val="18"/>
          </w:rPr>
          <w:t>, Labour Force Australia, June 2024</w:t>
        </w:r>
      </w:hyperlink>
      <w:r w:rsidR="003C7338">
        <w:rPr>
          <w:rFonts w:asciiTheme="minorHAnsi" w:hAnsiTheme="minorHAnsi" w:cstheme="minorHAnsi"/>
        </w:rPr>
        <w:t>.</w:t>
      </w:r>
    </w:p>
  </w:footnote>
  <w:footnote w:id="5">
    <w:p w14:paraId="5CF0C174" w14:textId="77777777" w:rsidR="00C9084F" w:rsidRPr="00D02BA0" w:rsidRDefault="00C9084F" w:rsidP="00C9084F">
      <w:pPr>
        <w:pStyle w:val="FootnoteText"/>
        <w:rPr>
          <w:rFonts w:asciiTheme="majorHAnsi" w:hAnsiTheme="majorHAnsi" w:cstheme="majorHAnsi"/>
          <w:sz w:val="18"/>
          <w:szCs w:val="18"/>
        </w:rPr>
      </w:pPr>
      <w:r w:rsidRPr="00D02BA0">
        <w:rPr>
          <w:rStyle w:val="FootnoteReference"/>
          <w:rFonts w:asciiTheme="majorHAnsi" w:hAnsiTheme="majorHAnsi" w:cstheme="majorHAnsi"/>
          <w:sz w:val="18"/>
          <w:szCs w:val="18"/>
        </w:rPr>
        <w:footnoteRef/>
      </w:r>
      <w:r w:rsidRPr="00D02BA0">
        <w:rPr>
          <w:rFonts w:asciiTheme="majorHAnsi" w:hAnsiTheme="majorHAnsi" w:cstheme="majorHAnsi"/>
          <w:sz w:val="18"/>
          <w:szCs w:val="18"/>
        </w:rPr>
        <w:t xml:space="preserve"> Treasury, </w:t>
      </w:r>
      <w:r w:rsidRPr="00E22769">
        <w:rPr>
          <w:rFonts w:asciiTheme="majorHAnsi" w:hAnsiTheme="majorHAnsi" w:cstheme="majorHAnsi"/>
          <w:iCs/>
          <w:sz w:val="18"/>
          <w:szCs w:val="18"/>
        </w:rPr>
        <w:t>Budget 2024-25,</w:t>
      </w:r>
      <w:r w:rsidRPr="00D02BA0">
        <w:rPr>
          <w:rFonts w:asciiTheme="majorHAnsi" w:hAnsiTheme="majorHAnsi" w:cstheme="majorHAnsi"/>
          <w:sz w:val="18"/>
          <w:szCs w:val="18"/>
        </w:rPr>
        <w:t xml:space="preserve"> 14 May 2024</w:t>
      </w:r>
    </w:p>
  </w:footnote>
  <w:footnote w:id="6">
    <w:p w14:paraId="163EE275" w14:textId="77777777" w:rsidR="00A0155F" w:rsidRDefault="00A0155F" w:rsidP="00A0155F">
      <w:pPr>
        <w:pStyle w:val="FootnoteText"/>
      </w:pPr>
      <w:r w:rsidRPr="00E22769">
        <w:rPr>
          <w:rStyle w:val="FootnoteReference"/>
          <w:rFonts w:asciiTheme="minorHAnsi" w:hAnsiTheme="minorHAnsi" w:cstheme="minorHAnsi"/>
        </w:rPr>
        <w:footnoteRef/>
      </w:r>
      <w:r w:rsidRPr="00E22769">
        <w:rPr>
          <w:rFonts w:asciiTheme="minorHAnsi" w:hAnsiTheme="minorHAnsi" w:cstheme="minorHAnsi"/>
        </w:rPr>
        <w:t xml:space="preserve"> </w:t>
      </w:r>
      <w:r w:rsidRPr="00D367B8">
        <w:rPr>
          <w:rFonts w:cs="Arial"/>
          <w:sz w:val="18"/>
          <w:szCs w:val="18"/>
        </w:rPr>
        <w:t>JSA’s RLMI combines key indicators of spare labour market capacity, from both an employee and employer perspective, into a single, and easy to interpret, summary measure. For a detailed overview of the RLMI, see Appendix C.</w:t>
      </w:r>
    </w:p>
  </w:footnote>
  <w:footnote w:id="7">
    <w:p w14:paraId="08C2DCB4" w14:textId="77777777" w:rsidR="00FE5C85" w:rsidRPr="0036175E" w:rsidRDefault="00FE5C85" w:rsidP="00FE5C85">
      <w:pPr>
        <w:pStyle w:val="FootnoteText"/>
        <w:rPr>
          <w:rFonts w:asciiTheme="minorHAnsi" w:hAnsiTheme="minorHAnsi" w:cstheme="minorHAnsi"/>
          <w:sz w:val="18"/>
          <w:szCs w:val="18"/>
        </w:rPr>
      </w:pPr>
      <w:r w:rsidRPr="0036175E">
        <w:rPr>
          <w:rStyle w:val="FootnoteReference"/>
          <w:rFonts w:asciiTheme="minorHAnsi" w:hAnsiTheme="minorHAnsi" w:cstheme="minorHAnsi"/>
        </w:rPr>
        <w:footnoteRef/>
      </w:r>
      <w:r w:rsidRPr="0036175E">
        <w:rPr>
          <w:rFonts w:asciiTheme="minorHAnsi" w:hAnsiTheme="minorHAnsi" w:cstheme="minorHAnsi"/>
          <w:sz w:val="18"/>
          <w:szCs w:val="18"/>
        </w:rPr>
        <w:t xml:space="preserve"> Includes the SA4 regions of Moreton Bay – South, Brisbane – North, Brisbane – West, Brisbane Inner City, Brisbane – South, and Brisbane – East.</w:t>
      </w:r>
    </w:p>
  </w:footnote>
  <w:footnote w:id="8">
    <w:p w14:paraId="0582596E" w14:textId="77777777" w:rsidR="00A0155F" w:rsidRPr="0035317A" w:rsidRDefault="00A0155F" w:rsidP="00A0155F">
      <w:pPr>
        <w:pStyle w:val="FootnoteText"/>
        <w:rPr>
          <w:rFonts w:asciiTheme="minorHAnsi" w:hAnsiTheme="minorHAnsi" w:cstheme="minorHAnsi"/>
        </w:rPr>
      </w:pPr>
      <w:r w:rsidRPr="009F76FD">
        <w:rPr>
          <w:rStyle w:val="FootnoteReference"/>
          <w:rFonts w:asciiTheme="minorHAnsi" w:hAnsiTheme="minorHAnsi" w:cstheme="minorHAnsi"/>
          <w:sz w:val="18"/>
          <w:szCs w:val="18"/>
        </w:rPr>
        <w:footnoteRef/>
      </w:r>
      <w:r w:rsidRPr="009F76FD">
        <w:rPr>
          <w:rFonts w:asciiTheme="minorHAnsi" w:hAnsiTheme="minorHAnsi" w:cstheme="minorHAnsi"/>
          <w:sz w:val="18"/>
          <w:szCs w:val="18"/>
        </w:rPr>
        <w:t xml:space="preserve"> Matching efficiency is the process of matching jobseekers to available jobs. Job-finding is the output; vacant jobs and active jobseekers are the inputs. A high labour market efficiency suggests that the unemployed are being matched quickly to vacant jobs.</w:t>
      </w:r>
    </w:p>
  </w:footnote>
  <w:footnote w:id="9">
    <w:p w14:paraId="74AD89E7" w14:textId="77777777" w:rsidR="00A0155F" w:rsidRPr="0035317A" w:rsidRDefault="00A0155F" w:rsidP="00A0155F">
      <w:pPr>
        <w:pStyle w:val="FootnoteText"/>
        <w:rPr>
          <w:rFonts w:asciiTheme="minorHAnsi" w:hAnsiTheme="minorHAnsi" w:cstheme="minorHAnsi"/>
        </w:rPr>
      </w:pPr>
      <w:r w:rsidRPr="009F76FD">
        <w:rPr>
          <w:rStyle w:val="FootnoteReference"/>
          <w:rFonts w:asciiTheme="minorHAnsi" w:hAnsiTheme="minorHAnsi" w:cstheme="minorHAnsi"/>
          <w:sz w:val="18"/>
          <w:szCs w:val="18"/>
        </w:rPr>
        <w:footnoteRef/>
      </w:r>
      <w:r w:rsidRPr="009F76FD">
        <w:rPr>
          <w:rFonts w:asciiTheme="minorHAnsi" w:hAnsiTheme="minorHAnsi" w:cstheme="minorHAnsi"/>
          <w:sz w:val="18"/>
          <w:szCs w:val="18"/>
        </w:rPr>
        <w:t xml:space="preserve"> </w:t>
      </w:r>
      <w:r w:rsidRPr="00A754D2">
        <w:rPr>
          <w:rFonts w:asciiTheme="minorHAnsi" w:hAnsiTheme="minorHAnsi"/>
          <w:sz w:val="18"/>
          <w:szCs w:val="18"/>
        </w:rPr>
        <w:t>Treasury</w:t>
      </w:r>
      <w:r>
        <w:rPr>
          <w:rFonts w:asciiTheme="minorHAnsi" w:hAnsiTheme="minorHAnsi"/>
          <w:sz w:val="18"/>
          <w:szCs w:val="18"/>
        </w:rPr>
        <w:t xml:space="preserve">: </w:t>
      </w:r>
      <w:r w:rsidRPr="00173794">
        <w:rPr>
          <w:rFonts w:asciiTheme="minorHAnsi" w:hAnsiTheme="minorHAnsi" w:cstheme="minorHAnsi"/>
          <w:i/>
          <w:sz w:val="18"/>
          <w:szCs w:val="18"/>
        </w:rPr>
        <w:t>Working Future. The Australian Government’s White Paper on Jobs and Opportunities</w:t>
      </w:r>
      <w:r w:rsidRPr="0092265B">
        <w:rPr>
          <w:rFonts w:asciiTheme="minorHAnsi" w:hAnsiTheme="minorHAnsi" w:cstheme="minorHAnsi"/>
          <w:sz w:val="18"/>
          <w:szCs w:val="18"/>
        </w:rPr>
        <w:t xml:space="preserve">, September </w:t>
      </w:r>
      <w:r>
        <w:rPr>
          <w:rFonts w:asciiTheme="minorHAnsi" w:hAnsiTheme="minorHAnsi" w:cstheme="minorHAnsi"/>
          <w:sz w:val="18"/>
          <w:szCs w:val="18"/>
        </w:rPr>
        <w:t xml:space="preserve">2023 </w:t>
      </w:r>
    </w:p>
  </w:footnote>
  <w:footnote w:id="10">
    <w:p w14:paraId="53EEE864" w14:textId="62D8B696" w:rsidR="00C9084F" w:rsidRPr="00D411C8" w:rsidRDefault="00C9084F" w:rsidP="00C9084F">
      <w:pPr>
        <w:pStyle w:val="FootnoteText"/>
        <w:rPr>
          <w:sz w:val="18"/>
          <w:szCs w:val="18"/>
        </w:rPr>
      </w:pPr>
      <w:r w:rsidRPr="001A2F9B">
        <w:rPr>
          <w:rStyle w:val="FootnoteReference"/>
          <w:rFonts w:asciiTheme="majorHAnsi" w:hAnsiTheme="majorHAnsi" w:cstheme="majorHAnsi"/>
          <w:sz w:val="18"/>
          <w:szCs w:val="18"/>
        </w:rPr>
        <w:footnoteRef/>
      </w:r>
      <w:r>
        <w:t xml:space="preserve"> </w:t>
      </w:r>
      <w:r w:rsidRPr="000B6537">
        <w:rPr>
          <w:rFonts w:asciiTheme="majorHAnsi" w:hAnsiTheme="majorHAnsi" w:cstheme="majorHAnsi"/>
          <w:sz w:val="18"/>
          <w:szCs w:val="18"/>
        </w:rPr>
        <w:t xml:space="preserve">JSA, </w:t>
      </w:r>
      <w:r w:rsidRPr="008B6074">
        <w:rPr>
          <w:rFonts w:asciiTheme="majorHAnsi" w:hAnsiTheme="majorHAnsi" w:cstheme="majorHAnsi"/>
          <w:i/>
          <w:sz w:val="18"/>
          <w:szCs w:val="18"/>
        </w:rPr>
        <w:t>First Nations People Workforce Analysis</w:t>
      </w:r>
      <w:r w:rsidRPr="000B6537">
        <w:rPr>
          <w:rFonts w:asciiTheme="majorHAnsi" w:hAnsiTheme="majorHAnsi" w:cstheme="majorHAnsi"/>
          <w:sz w:val="18"/>
          <w:szCs w:val="18"/>
        </w:rPr>
        <w:t>, 2023.</w:t>
      </w:r>
    </w:p>
  </w:footnote>
  <w:footnote w:id="11">
    <w:p w14:paraId="6F0D75FB" w14:textId="79D61507" w:rsidR="008F2FEE" w:rsidRDefault="008F2FEE">
      <w:pPr>
        <w:pStyle w:val="FootnoteText"/>
      </w:pPr>
      <w:r>
        <w:rPr>
          <w:rStyle w:val="FootnoteReference"/>
        </w:rPr>
        <w:footnoteRef/>
      </w:r>
      <w:r>
        <w:t xml:space="preserve"> </w:t>
      </w:r>
      <w:r w:rsidR="00944CEA" w:rsidRPr="009D41AE">
        <w:rPr>
          <w:rFonts w:cs="Arial"/>
          <w:sz w:val="18"/>
          <w:szCs w:val="18"/>
        </w:rPr>
        <w:t>C</w:t>
      </w:r>
      <w:r w:rsidR="00F75567" w:rsidRPr="009D41AE">
        <w:rPr>
          <w:rFonts w:cs="Arial"/>
          <w:sz w:val="18"/>
          <w:szCs w:val="18"/>
        </w:rPr>
        <w:t xml:space="preserve">oastal and inland </w:t>
      </w:r>
      <w:r w:rsidR="00BB5511" w:rsidRPr="009D41AE">
        <w:rPr>
          <w:rFonts w:cs="Arial"/>
          <w:sz w:val="18"/>
          <w:szCs w:val="18"/>
        </w:rPr>
        <w:t xml:space="preserve">regions </w:t>
      </w:r>
      <w:r w:rsidR="008A5348" w:rsidRPr="009D41AE">
        <w:rPr>
          <w:rFonts w:cs="Arial"/>
          <w:sz w:val="18"/>
          <w:szCs w:val="18"/>
        </w:rPr>
        <w:t>have been determined using a</w:t>
      </w:r>
      <w:r w:rsidR="009D394E" w:rsidRPr="009D41AE">
        <w:rPr>
          <w:rFonts w:cs="Arial"/>
          <w:sz w:val="18"/>
          <w:szCs w:val="18"/>
        </w:rPr>
        <w:t>n SA2</w:t>
      </w:r>
      <w:r w:rsidR="008A5348" w:rsidRPr="009D41AE">
        <w:rPr>
          <w:rFonts w:cs="Arial"/>
          <w:sz w:val="18"/>
          <w:szCs w:val="18"/>
        </w:rPr>
        <w:t xml:space="preserve"> population </w:t>
      </w:r>
      <w:r w:rsidR="00BB5511" w:rsidRPr="009D41AE">
        <w:rPr>
          <w:rFonts w:cs="Arial"/>
          <w:sz w:val="18"/>
          <w:szCs w:val="18"/>
        </w:rPr>
        <w:t>weighted concordance.</w:t>
      </w:r>
      <w:r w:rsidR="00BB5511">
        <w:t xml:space="preserve"> </w:t>
      </w:r>
    </w:p>
  </w:footnote>
  <w:footnote w:id="12">
    <w:p w14:paraId="3559BD42" w14:textId="7A73ADBF" w:rsidR="00C9084F" w:rsidRPr="00D411C8" w:rsidDel="00F278FC" w:rsidRDefault="00C9084F" w:rsidP="00C9084F">
      <w:pPr>
        <w:pStyle w:val="FootnoteText"/>
        <w:rPr>
          <w:sz w:val="18"/>
          <w:szCs w:val="18"/>
        </w:rPr>
      </w:pPr>
      <w:r w:rsidRPr="000B6537">
        <w:rPr>
          <w:rStyle w:val="FootnoteReference"/>
          <w:rFonts w:asciiTheme="majorHAnsi" w:hAnsiTheme="majorHAnsi" w:cstheme="majorHAnsi"/>
          <w:sz w:val="18"/>
          <w:szCs w:val="18"/>
        </w:rPr>
        <w:footnoteRef/>
      </w:r>
      <w:r>
        <w:t xml:space="preserve"> </w:t>
      </w:r>
      <w:r w:rsidRPr="000B6537">
        <w:rPr>
          <w:rFonts w:asciiTheme="majorHAnsi" w:hAnsiTheme="majorHAnsi" w:cstheme="majorHAnsi"/>
          <w:sz w:val="18"/>
          <w:szCs w:val="18"/>
        </w:rPr>
        <w:t>Sydney, Melbourne, Brisbane, Adelaide and Perth.</w:t>
      </w:r>
    </w:p>
  </w:footnote>
  <w:footnote w:id="13">
    <w:p w14:paraId="7631E4E5" w14:textId="77777777" w:rsidR="00C9084F" w:rsidRPr="000B6537" w:rsidRDefault="00C9084F" w:rsidP="00C513DC">
      <w:pPr>
        <w:pStyle w:val="FootnoteText"/>
        <w:spacing w:line="240" w:lineRule="auto"/>
        <w:rPr>
          <w:rFonts w:asciiTheme="majorHAnsi" w:hAnsiTheme="majorHAnsi" w:cstheme="majorHAnsi"/>
          <w:sz w:val="18"/>
          <w:szCs w:val="18"/>
        </w:rPr>
      </w:pPr>
      <w:r w:rsidRPr="000B6537">
        <w:rPr>
          <w:rStyle w:val="FootnoteReference"/>
          <w:rFonts w:asciiTheme="majorHAnsi" w:hAnsiTheme="majorHAnsi" w:cstheme="majorHAnsi"/>
          <w:sz w:val="18"/>
          <w:szCs w:val="18"/>
        </w:rPr>
        <w:footnoteRef/>
      </w:r>
      <w:r w:rsidRPr="000B6537">
        <w:rPr>
          <w:rFonts w:asciiTheme="majorHAnsi" w:hAnsiTheme="majorHAnsi" w:cstheme="majorHAnsi"/>
          <w:sz w:val="18"/>
          <w:szCs w:val="18"/>
        </w:rPr>
        <w:t xml:space="preserve"> Australian Government, </w:t>
      </w:r>
      <w:r w:rsidRPr="000B6537">
        <w:rPr>
          <w:rFonts w:asciiTheme="majorHAnsi" w:hAnsiTheme="majorHAnsi" w:cstheme="majorHAnsi"/>
          <w:i/>
          <w:sz w:val="18"/>
          <w:szCs w:val="18"/>
        </w:rPr>
        <w:t>State of Australia’s Regions 2024</w:t>
      </w:r>
    </w:p>
  </w:footnote>
  <w:footnote w:id="14">
    <w:p w14:paraId="73270BEA" w14:textId="77777777" w:rsidR="00C9084F" w:rsidRPr="000B6537" w:rsidRDefault="00C9084F" w:rsidP="00C513DC">
      <w:pPr>
        <w:pStyle w:val="FootnoteText"/>
        <w:spacing w:line="240" w:lineRule="auto"/>
        <w:rPr>
          <w:rFonts w:asciiTheme="majorHAnsi" w:hAnsiTheme="majorHAnsi" w:cstheme="majorHAnsi"/>
          <w:sz w:val="18"/>
          <w:szCs w:val="18"/>
        </w:rPr>
      </w:pPr>
      <w:r w:rsidRPr="000B6537">
        <w:rPr>
          <w:rStyle w:val="FootnoteReference"/>
          <w:rFonts w:asciiTheme="majorHAnsi" w:hAnsiTheme="majorHAnsi" w:cstheme="majorHAnsi"/>
          <w:sz w:val="18"/>
          <w:szCs w:val="18"/>
        </w:rPr>
        <w:footnoteRef/>
      </w:r>
      <w:r w:rsidRPr="000B6537">
        <w:rPr>
          <w:rFonts w:asciiTheme="majorHAnsi" w:hAnsiTheme="majorHAnsi" w:cstheme="majorHAnsi"/>
          <w:sz w:val="18"/>
          <w:szCs w:val="18"/>
        </w:rPr>
        <w:t xml:space="preserve"> Regional Australia Institute, </w:t>
      </w:r>
      <w:r w:rsidRPr="00A02F5D">
        <w:rPr>
          <w:rFonts w:asciiTheme="majorHAnsi" w:hAnsiTheme="majorHAnsi" w:cstheme="majorHAnsi"/>
          <w:i/>
          <w:sz w:val="18"/>
          <w:szCs w:val="18"/>
        </w:rPr>
        <w:t>Regional Movers Index</w:t>
      </w:r>
      <w:r w:rsidRPr="00A01B17">
        <w:rPr>
          <w:rFonts w:asciiTheme="majorHAnsi" w:hAnsiTheme="majorHAnsi" w:cstheme="majorHAnsi"/>
          <w:iCs/>
          <w:sz w:val="18"/>
          <w:szCs w:val="18"/>
        </w:rPr>
        <w:t>, March</w:t>
      </w:r>
      <w:r w:rsidRPr="000B6537">
        <w:rPr>
          <w:rFonts w:asciiTheme="majorHAnsi" w:hAnsiTheme="majorHAnsi" w:cstheme="majorHAnsi"/>
          <w:sz w:val="18"/>
          <w:szCs w:val="18"/>
        </w:rPr>
        <w:t xml:space="preserve"> 2024</w:t>
      </w:r>
    </w:p>
  </w:footnote>
  <w:footnote w:id="15">
    <w:p w14:paraId="3C011169" w14:textId="77777777" w:rsidR="00C9084F" w:rsidRPr="00A01B17" w:rsidRDefault="00C9084F" w:rsidP="00C513DC">
      <w:pPr>
        <w:pStyle w:val="FootnoteText"/>
        <w:spacing w:line="240" w:lineRule="auto"/>
      </w:pPr>
      <w:r w:rsidRPr="00A01B17">
        <w:rPr>
          <w:rStyle w:val="FootnoteReference"/>
          <w:rFonts w:asciiTheme="majorHAnsi" w:hAnsiTheme="majorHAnsi" w:cstheme="majorHAnsi"/>
          <w:sz w:val="18"/>
          <w:szCs w:val="18"/>
        </w:rPr>
        <w:footnoteRef/>
      </w:r>
      <w:r w:rsidRPr="00A01B17">
        <w:rPr>
          <w:rFonts w:asciiTheme="majorHAnsi" w:hAnsiTheme="majorHAnsi" w:cstheme="majorHAnsi"/>
          <w:sz w:val="18"/>
          <w:szCs w:val="18"/>
        </w:rPr>
        <w:t xml:space="preserve"> ABC Gold Coast, </w:t>
      </w:r>
      <w:r w:rsidRPr="00A02F5D">
        <w:rPr>
          <w:rFonts w:asciiTheme="majorHAnsi" w:hAnsiTheme="majorHAnsi" w:cstheme="majorHAnsi"/>
          <w:i/>
          <w:iCs/>
          <w:sz w:val="18"/>
          <w:szCs w:val="18"/>
        </w:rPr>
        <w:t>They’re Australia’s most popular coastal cities but data shows a liveability decline may be turning people away</w:t>
      </w:r>
      <w:r w:rsidRPr="00A01B17">
        <w:rPr>
          <w:rFonts w:asciiTheme="majorHAnsi" w:hAnsiTheme="majorHAnsi" w:cstheme="majorHAnsi"/>
          <w:sz w:val="18"/>
          <w:szCs w:val="18"/>
        </w:rPr>
        <w:t>, May 2024, accessed 24 June 2024</w:t>
      </w:r>
    </w:p>
  </w:footnote>
  <w:footnote w:id="16">
    <w:p w14:paraId="7E4E8130" w14:textId="6F69E1D8" w:rsidR="00901860" w:rsidRDefault="00901860" w:rsidP="00BF4CA2">
      <w:pPr>
        <w:pStyle w:val="FootnoteText"/>
        <w:spacing w:line="240" w:lineRule="auto"/>
      </w:pPr>
      <w:r w:rsidRPr="00A01B17">
        <w:rPr>
          <w:rStyle w:val="FootnoteReference"/>
          <w:rFonts w:asciiTheme="minorHAnsi" w:hAnsiTheme="minorHAnsi" w:cstheme="minorHAnsi"/>
          <w:sz w:val="18"/>
          <w:szCs w:val="18"/>
        </w:rPr>
        <w:footnoteRef/>
      </w:r>
      <w:r>
        <w:t xml:space="preserve"> </w:t>
      </w:r>
      <w:r w:rsidRPr="00901860">
        <w:rPr>
          <w:rFonts w:cs="Arial"/>
          <w:sz w:val="18"/>
          <w:szCs w:val="18"/>
        </w:rPr>
        <w:t>Reserve Bank of Australia</w:t>
      </w:r>
      <w:r w:rsidR="005106D2">
        <w:rPr>
          <w:rFonts w:cs="Arial"/>
          <w:sz w:val="18"/>
          <w:szCs w:val="18"/>
        </w:rPr>
        <w:t xml:space="preserve"> (2017)</w:t>
      </w:r>
      <w:r>
        <w:rPr>
          <w:rFonts w:cs="Arial"/>
          <w:sz w:val="18"/>
          <w:szCs w:val="18"/>
        </w:rPr>
        <w:t xml:space="preserve">, </w:t>
      </w:r>
      <w:r w:rsidRPr="00A02F5D">
        <w:rPr>
          <w:rFonts w:cs="Arial"/>
          <w:i/>
          <w:sz w:val="18"/>
          <w:szCs w:val="18"/>
        </w:rPr>
        <w:t>Ageing and Labour Supply in Advanced Economies</w:t>
      </w:r>
      <w:r w:rsidR="005106D2">
        <w:rPr>
          <w:rFonts w:cs="Arial"/>
          <w:sz w:val="18"/>
          <w:szCs w:val="18"/>
        </w:rPr>
        <w:t>.</w:t>
      </w:r>
    </w:p>
  </w:footnote>
  <w:footnote w:id="17">
    <w:p w14:paraId="3FA3DBDE" w14:textId="571709A9" w:rsidR="00FE6694" w:rsidRPr="00A02F5D" w:rsidRDefault="00FE6694" w:rsidP="00BF4CA2">
      <w:pPr>
        <w:spacing w:line="240" w:lineRule="auto"/>
        <w:rPr>
          <w:rFonts w:asciiTheme="minorHAnsi" w:hAnsiTheme="minorHAnsi"/>
          <w:i/>
          <w:iCs/>
        </w:rPr>
      </w:pPr>
      <w:r>
        <w:rPr>
          <w:rStyle w:val="FootnoteReference"/>
        </w:rPr>
        <w:footnoteRef/>
      </w:r>
      <w:r>
        <w:t xml:space="preserve"> </w:t>
      </w:r>
      <w:r w:rsidRPr="00A754D2">
        <w:rPr>
          <w:rFonts w:asciiTheme="minorHAnsi" w:hAnsiTheme="minorHAnsi"/>
          <w:sz w:val="18"/>
          <w:szCs w:val="18"/>
        </w:rPr>
        <w:t>Treasury (</w:t>
      </w:r>
      <w:r w:rsidRPr="00BF50F9">
        <w:rPr>
          <w:rFonts w:asciiTheme="minorHAnsi" w:hAnsiTheme="minorHAnsi"/>
          <w:sz w:val="18"/>
          <w:szCs w:val="18"/>
        </w:rPr>
        <w:t xml:space="preserve">2023). </w:t>
      </w:r>
      <w:r w:rsidRPr="00A02F5D">
        <w:rPr>
          <w:rFonts w:asciiTheme="minorHAnsi" w:hAnsiTheme="minorHAnsi"/>
          <w:i/>
          <w:iCs/>
          <w:sz w:val="18"/>
          <w:szCs w:val="18"/>
        </w:rPr>
        <w:t>Intergenerational Report 2023, Australia’s future to 2063.</w:t>
      </w:r>
    </w:p>
  </w:footnote>
  <w:footnote w:id="18">
    <w:p w14:paraId="3A04E1A7" w14:textId="77777777" w:rsidR="00A33597" w:rsidRDefault="00A33597" w:rsidP="00BF4CA2">
      <w:pPr>
        <w:pStyle w:val="FootnoteText"/>
        <w:spacing w:line="240" w:lineRule="auto"/>
      </w:pPr>
      <w:r w:rsidRPr="0006095F">
        <w:rPr>
          <w:rStyle w:val="FootnoteReference"/>
          <w:rFonts w:asciiTheme="majorHAnsi" w:hAnsiTheme="majorHAnsi" w:cstheme="majorHAnsi"/>
        </w:rPr>
        <w:footnoteRef/>
      </w:r>
      <w:r>
        <w:t xml:space="preserve"> </w:t>
      </w:r>
      <w:r w:rsidRPr="000B6537">
        <w:rPr>
          <w:rFonts w:asciiTheme="majorHAnsi" w:hAnsiTheme="majorHAnsi" w:cstheme="majorHAnsi"/>
          <w:sz w:val="18"/>
          <w:szCs w:val="18"/>
        </w:rPr>
        <w:t>Population aged 15 years and over</w:t>
      </w:r>
      <w:r>
        <w:rPr>
          <w:rFonts w:asciiTheme="majorHAnsi" w:hAnsiTheme="majorHAnsi" w:cstheme="majorHAnsi"/>
          <w:sz w:val="18"/>
          <w:szCs w:val="18"/>
        </w:rPr>
        <w:t>.</w:t>
      </w:r>
    </w:p>
  </w:footnote>
  <w:footnote w:id="19">
    <w:p w14:paraId="61740833" w14:textId="175F9D9C" w:rsidR="008C290D" w:rsidRPr="00C07ABC" w:rsidRDefault="008C290D" w:rsidP="00BF4CA2">
      <w:pPr>
        <w:pStyle w:val="FootnoteText"/>
        <w:spacing w:line="240" w:lineRule="auto"/>
        <w:rPr>
          <w:rFonts w:asciiTheme="minorHAnsi" w:hAnsiTheme="minorHAnsi" w:cstheme="minorHAnsi"/>
          <w:sz w:val="18"/>
          <w:szCs w:val="18"/>
        </w:rPr>
      </w:pPr>
      <w:r w:rsidRPr="00C07ABC">
        <w:rPr>
          <w:rStyle w:val="FootnoteReference"/>
          <w:rFonts w:asciiTheme="minorHAnsi" w:hAnsiTheme="minorHAnsi" w:cstheme="minorHAnsi"/>
          <w:sz w:val="18"/>
          <w:szCs w:val="18"/>
        </w:rPr>
        <w:footnoteRef/>
      </w:r>
      <w:r w:rsidRPr="00C07ABC">
        <w:rPr>
          <w:rFonts w:asciiTheme="minorHAnsi" w:hAnsiTheme="minorHAnsi" w:cstheme="minorHAnsi"/>
          <w:sz w:val="18"/>
          <w:szCs w:val="18"/>
        </w:rPr>
        <w:t xml:space="preserve"> While there is no academic consensus on</w:t>
      </w:r>
      <w:r w:rsidR="007B343F" w:rsidRPr="00C07ABC">
        <w:rPr>
          <w:rFonts w:asciiTheme="minorHAnsi" w:hAnsiTheme="minorHAnsi" w:cstheme="minorHAnsi"/>
          <w:sz w:val="18"/>
          <w:szCs w:val="18"/>
        </w:rPr>
        <w:t xml:space="preserve"> the relationship between </w:t>
      </w:r>
      <w:r w:rsidR="00860B46" w:rsidRPr="00C07ABC">
        <w:rPr>
          <w:rFonts w:asciiTheme="minorHAnsi" w:hAnsiTheme="minorHAnsi" w:cstheme="minorHAnsi"/>
          <w:sz w:val="18"/>
          <w:szCs w:val="18"/>
        </w:rPr>
        <w:t>population ageing and productivity</w:t>
      </w:r>
      <w:r w:rsidR="00451495" w:rsidRPr="00C07ABC">
        <w:rPr>
          <w:rFonts w:asciiTheme="minorHAnsi" w:hAnsiTheme="minorHAnsi" w:cstheme="minorHAnsi"/>
          <w:sz w:val="18"/>
          <w:szCs w:val="18"/>
        </w:rPr>
        <w:t xml:space="preserve">, some recent international studies </w:t>
      </w:r>
      <w:r w:rsidR="00D46D1A" w:rsidRPr="00C07ABC">
        <w:rPr>
          <w:rFonts w:asciiTheme="minorHAnsi" w:hAnsiTheme="minorHAnsi" w:cstheme="minorHAnsi"/>
          <w:sz w:val="18"/>
          <w:szCs w:val="18"/>
        </w:rPr>
        <w:t xml:space="preserve">identify a </w:t>
      </w:r>
      <w:r w:rsidR="0065421F" w:rsidRPr="00C07ABC">
        <w:rPr>
          <w:rFonts w:asciiTheme="minorHAnsi" w:hAnsiTheme="minorHAnsi" w:cstheme="minorHAnsi"/>
          <w:sz w:val="18"/>
          <w:szCs w:val="18"/>
        </w:rPr>
        <w:t>negative imp</w:t>
      </w:r>
      <w:r w:rsidR="00C85815" w:rsidRPr="00C07ABC">
        <w:rPr>
          <w:rFonts w:asciiTheme="minorHAnsi" w:hAnsiTheme="minorHAnsi" w:cstheme="minorHAnsi"/>
          <w:sz w:val="18"/>
          <w:szCs w:val="18"/>
        </w:rPr>
        <w:t xml:space="preserve">act (see </w:t>
      </w:r>
      <w:r w:rsidR="00125E2C" w:rsidRPr="00C07ABC">
        <w:rPr>
          <w:rFonts w:asciiTheme="minorHAnsi" w:hAnsiTheme="minorHAnsi" w:cstheme="minorHAnsi"/>
          <w:sz w:val="18"/>
          <w:szCs w:val="18"/>
        </w:rPr>
        <w:t>Maestas, N., Mullen, K. J. &amp; Powell, D,</w:t>
      </w:r>
      <w:r w:rsidR="00BA74BF">
        <w:rPr>
          <w:rFonts w:asciiTheme="minorHAnsi" w:hAnsiTheme="minorHAnsi" w:cstheme="minorHAnsi"/>
          <w:sz w:val="18"/>
          <w:szCs w:val="18"/>
        </w:rPr>
        <w:t xml:space="preserve"> </w:t>
      </w:r>
      <w:r w:rsidR="00125E2C" w:rsidRPr="00C07ABC">
        <w:rPr>
          <w:rFonts w:asciiTheme="minorHAnsi" w:hAnsiTheme="minorHAnsi" w:cstheme="minorHAnsi"/>
          <w:sz w:val="18"/>
          <w:szCs w:val="18"/>
        </w:rPr>
        <w:t xml:space="preserve">2023, </w:t>
      </w:r>
      <w:r w:rsidR="00CC2A18" w:rsidRPr="00C07ABC">
        <w:rPr>
          <w:rFonts w:asciiTheme="minorHAnsi" w:hAnsiTheme="minorHAnsi" w:cstheme="minorHAnsi"/>
          <w:sz w:val="18"/>
          <w:szCs w:val="18"/>
        </w:rPr>
        <w:t>Poplawski-Ribeiro, M, 2020 and Calvo-Sotomayor, I., Laka, J. &amp; Aguado, R 201</w:t>
      </w:r>
      <w:r w:rsidR="00C07ABC" w:rsidRPr="00C07ABC">
        <w:rPr>
          <w:rFonts w:asciiTheme="minorHAnsi" w:hAnsiTheme="minorHAnsi" w:cstheme="minorHAnsi"/>
          <w:sz w:val="18"/>
          <w:szCs w:val="18"/>
        </w:rPr>
        <w:t>9)</w:t>
      </w:r>
      <w:r w:rsidR="00C07ABC">
        <w:rPr>
          <w:rFonts w:asciiTheme="minorHAnsi" w:hAnsiTheme="minorHAnsi" w:cstheme="minorHAnsi"/>
          <w:sz w:val="18"/>
          <w:szCs w:val="18"/>
        </w:rPr>
        <w:t>.</w:t>
      </w:r>
    </w:p>
  </w:footnote>
  <w:footnote w:id="20">
    <w:p w14:paraId="2BC1FBE5" w14:textId="57C00EF1" w:rsidR="00A754D2" w:rsidRPr="00562A77" w:rsidRDefault="00A754D2" w:rsidP="00430326">
      <w:pPr>
        <w:contextualSpacing/>
        <w:rPr>
          <w:rFonts w:asciiTheme="minorHAnsi" w:hAnsiTheme="minorHAnsi"/>
          <w:i/>
        </w:rPr>
      </w:pPr>
      <w:r w:rsidRPr="00A02F5D">
        <w:rPr>
          <w:rStyle w:val="FootnoteReference"/>
          <w:rFonts w:asciiTheme="minorHAnsi" w:hAnsiTheme="minorHAnsi" w:cstheme="minorHAnsi"/>
          <w:sz w:val="20"/>
          <w:szCs w:val="20"/>
        </w:rPr>
        <w:footnoteRef/>
      </w:r>
      <w:r w:rsidRPr="00A02F5D">
        <w:rPr>
          <w:rFonts w:asciiTheme="minorHAnsi" w:hAnsiTheme="minorHAnsi" w:cstheme="minorHAnsi"/>
        </w:rPr>
        <w:t xml:space="preserve"> </w:t>
      </w:r>
      <w:r w:rsidRPr="00A754D2">
        <w:rPr>
          <w:rFonts w:asciiTheme="minorHAnsi" w:hAnsiTheme="minorHAnsi"/>
          <w:sz w:val="18"/>
          <w:szCs w:val="18"/>
        </w:rPr>
        <w:t xml:space="preserve">Treasury (2023). </w:t>
      </w:r>
      <w:r w:rsidRPr="00A02F5D">
        <w:rPr>
          <w:rFonts w:asciiTheme="minorHAnsi" w:hAnsiTheme="minorHAnsi"/>
          <w:i/>
          <w:iCs/>
          <w:sz w:val="18"/>
          <w:szCs w:val="18"/>
        </w:rPr>
        <w:t>Intergenerational Report 2023, A</w:t>
      </w:r>
      <w:r w:rsidRPr="00A754D2">
        <w:rPr>
          <w:rFonts w:asciiTheme="minorHAnsi" w:hAnsiTheme="minorHAnsi"/>
          <w:i/>
          <w:sz w:val="18"/>
          <w:szCs w:val="18"/>
        </w:rPr>
        <w:t>ustralia’s future to 2063.</w:t>
      </w:r>
    </w:p>
  </w:footnote>
  <w:footnote w:id="21">
    <w:p w14:paraId="2D327A4F" w14:textId="03CFC910" w:rsidR="00562A77" w:rsidRDefault="00562A77" w:rsidP="00624F8E">
      <w:pPr>
        <w:contextualSpacing/>
      </w:pPr>
      <w:r w:rsidRPr="00562A77">
        <w:rPr>
          <w:rStyle w:val="FootnoteReference"/>
          <w:rFonts w:cs="Arial"/>
          <w:sz w:val="18"/>
          <w:szCs w:val="18"/>
        </w:rPr>
        <w:footnoteRef/>
      </w:r>
      <w:r w:rsidRPr="00562A77">
        <w:rPr>
          <w:rFonts w:cs="Arial"/>
          <w:sz w:val="18"/>
          <w:szCs w:val="18"/>
        </w:rPr>
        <w:t xml:space="preserve"> JSA </w:t>
      </w:r>
      <w:r w:rsidRPr="00BF50F9">
        <w:rPr>
          <w:rFonts w:cs="Arial"/>
          <w:i/>
          <w:iCs/>
          <w:sz w:val="18"/>
          <w:szCs w:val="18"/>
        </w:rPr>
        <w:t>(2023). Skills Priority List Key Findings Report.</w:t>
      </w:r>
    </w:p>
  </w:footnote>
  <w:footnote w:id="22">
    <w:p w14:paraId="4655A365" w14:textId="3E072E77" w:rsidR="00C9084F" w:rsidRPr="007C0DAA" w:rsidRDefault="00C9084F" w:rsidP="00C9084F">
      <w:pPr>
        <w:pStyle w:val="FootnoteText"/>
        <w:rPr>
          <w:rStyle w:val="FootnoteReference"/>
          <w:rFonts w:asciiTheme="majorHAnsi" w:hAnsiTheme="majorHAnsi" w:cstheme="majorHAnsi"/>
          <w:sz w:val="18"/>
          <w:szCs w:val="18"/>
        </w:rPr>
      </w:pPr>
      <w:r w:rsidRPr="007C0DAA">
        <w:rPr>
          <w:rStyle w:val="FootnoteReference"/>
          <w:rFonts w:asciiTheme="majorHAnsi" w:hAnsiTheme="majorHAnsi" w:cstheme="majorHAnsi"/>
          <w:sz w:val="18"/>
          <w:szCs w:val="18"/>
        </w:rPr>
        <w:footnoteRef/>
      </w:r>
      <w:r w:rsidRPr="007C0DAA">
        <w:rPr>
          <w:rStyle w:val="FootnoteReference"/>
          <w:rFonts w:asciiTheme="majorHAnsi" w:hAnsiTheme="majorHAnsi" w:cstheme="majorHAnsi"/>
          <w:sz w:val="18"/>
          <w:szCs w:val="18"/>
        </w:rPr>
        <w:t xml:space="preserve"> </w:t>
      </w:r>
      <w:r>
        <w:rPr>
          <w:rFonts w:asciiTheme="majorHAnsi" w:hAnsiTheme="majorHAnsi" w:cstheme="majorHAnsi"/>
          <w:sz w:val="18"/>
          <w:szCs w:val="18"/>
        </w:rPr>
        <w:t>Cl</w:t>
      </w:r>
      <w:r w:rsidRPr="007C0DAA">
        <w:rPr>
          <w:rFonts w:asciiTheme="majorHAnsi" w:hAnsiTheme="majorHAnsi" w:cstheme="majorHAnsi"/>
          <w:sz w:val="18"/>
          <w:szCs w:val="18"/>
        </w:rPr>
        <w:t>ose to</w:t>
      </w:r>
      <w:r w:rsidRPr="007C0DAA">
        <w:rPr>
          <w:rStyle w:val="FootnoteReference"/>
          <w:rFonts w:asciiTheme="majorHAnsi" w:hAnsiTheme="majorHAnsi" w:cstheme="majorHAnsi"/>
          <w:sz w:val="18"/>
          <w:szCs w:val="18"/>
          <w:vertAlign w:val="baseline"/>
        </w:rPr>
        <w:t xml:space="preserve"> 80% of workers are employed in the service industr</w:t>
      </w:r>
      <w:r w:rsidRPr="007C0DAA">
        <w:rPr>
          <w:rFonts w:asciiTheme="majorHAnsi" w:hAnsiTheme="majorHAnsi" w:cstheme="majorHAnsi"/>
          <w:sz w:val="18"/>
          <w:szCs w:val="18"/>
        </w:rPr>
        <w:t>ies</w:t>
      </w:r>
      <w:r w:rsidRPr="007C0DAA">
        <w:rPr>
          <w:rStyle w:val="FootnoteReference"/>
          <w:rFonts w:asciiTheme="majorHAnsi" w:hAnsiTheme="majorHAnsi" w:cstheme="majorHAnsi"/>
          <w:sz w:val="18"/>
          <w:szCs w:val="18"/>
          <w:vertAlign w:val="baseline"/>
        </w:rPr>
        <w:t xml:space="preserve">. Service industries include all industries besides Manufacturing; Construction; Agriculture, Forestry and Fishing; Mining; and Electricity, Gas, Water and Waste Services, although, even within these industries, there are service components. </w:t>
      </w:r>
    </w:p>
  </w:footnote>
  <w:footnote w:id="23">
    <w:p w14:paraId="5E6A29CA" w14:textId="3741E3F8" w:rsidR="00C9084F" w:rsidRPr="00BA0010" w:rsidRDefault="00C9084F" w:rsidP="00C9084F">
      <w:pPr>
        <w:pStyle w:val="FootnoteText"/>
        <w:rPr>
          <w:rStyle w:val="FootnoteReference"/>
          <w:rFonts w:asciiTheme="majorHAnsi" w:hAnsiTheme="majorHAnsi" w:cstheme="majorHAnsi"/>
          <w:sz w:val="18"/>
          <w:szCs w:val="18"/>
        </w:rPr>
      </w:pPr>
      <w:r w:rsidRPr="007C0DAA">
        <w:rPr>
          <w:rStyle w:val="FootnoteReference"/>
          <w:rFonts w:asciiTheme="majorHAnsi" w:hAnsiTheme="majorHAnsi" w:cstheme="majorHAnsi"/>
          <w:sz w:val="18"/>
          <w:szCs w:val="18"/>
        </w:rPr>
        <w:footnoteRef/>
      </w:r>
      <w:r w:rsidRPr="007C0DAA">
        <w:rPr>
          <w:rStyle w:val="FootnoteReference"/>
          <w:rFonts w:asciiTheme="majorHAnsi" w:hAnsiTheme="majorHAnsi" w:cstheme="majorHAnsi"/>
          <w:sz w:val="18"/>
          <w:szCs w:val="18"/>
        </w:rPr>
        <w:t xml:space="preserve"> </w:t>
      </w:r>
      <w:r w:rsidRPr="00BA0010">
        <w:rPr>
          <w:rStyle w:val="FootnoteReference"/>
          <w:rFonts w:asciiTheme="majorHAnsi" w:hAnsiTheme="majorHAnsi" w:cstheme="majorHAnsi"/>
          <w:sz w:val="18"/>
          <w:szCs w:val="18"/>
          <w:vertAlign w:val="baseline"/>
        </w:rPr>
        <w:t xml:space="preserve">Borland &amp; Coelli </w:t>
      </w:r>
      <w:r w:rsidR="00E7384F" w:rsidRPr="00BA0010">
        <w:rPr>
          <w:rStyle w:val="FootnoteReference"/>
          <w:rFonts w:asciiTheme="majorHAnsi" w:hAnsiTheme="majorHAnsi" w:cstheme="majorHAnsi"/>
          <w:sz w:val="18"/>
          <w:szCs w:val="18"/>
          <w:vertAlign w:val="baseline"/>
        </w:rPr>
        <w:t>(</w:t>
      </w:r>
      <w:r w:rsidRPr="00BA0010">
        <w:rPr>
          <w:rStyle w:val="FootnoteReference"/>
          <w:rFonts w:asciiTheme="majorHAnsi" w:hAnsiTheme="majorHAnsi" w:cstheme="majorHAnsi"/>
          <w:sz w:val="18"/>
          <w:szCs w:val="18"/>
          <w:vertAlign w:val="baseline"/>
        </w:rPr>
        <w:t>2022</w:t>
      </w:r>
      <w:r w:rsidR="00E7384F" w:rsidRPr="00BA0010">
        <w:rPr>
          <w:rStyle w:val="FootnoteReference"/>
          <w:rFonts w:asciiTheme="majorHAnsi" w:hAnsiTheme="majorHAnsi" w:cstheme="majorHAnsi"/>
          <w:sz w:val="18"/>
          <w:szCs w:val="18"/>
          <w:vertAlign w:val="baseline"/>
        </w:rPr>
        <w:t>)</w:t>
      </w:r>
      <w:r w:rsidR="00E7384F" w:rsidRPr="00BA0010">
        <w:rPr>
          <w:rFonts w:asciiTheme="majorHAnsi" w:hAnsiTheme="majorHAnsi" w:cstheme="majorHAnsi"/>
          <w:sz w:val="18"/>
          <w:szCs w:val="18"/>
        </w:rPr>
        <w:t>.</w:t>
      </w:r>
      <w:r w:rsidRPr="00BA0010">
        <w:rPr>
          <w:rStyle w:val="FootnoteReference"/>
          <w:rFonts w:asciiTheme="majorHAnsi" w:hAnsiTheme="majorHAnsi" w:cstheme="majorHAnsi"/>
          <w:sz w:val="18"/>
          <w:szCs w:val="18"/>
          <w:vertAlign w:val="baseline"/>
        </w:rPr>
        <w:t xml:space="preserve"> </w:t>
      </w:r>
      <w:r w:rsidRPr="00A02F5D">
        <w:rPr>
          <w:rStyle w:val="FootnoteReference"/>
          <w:rFonts w:asciiTheme="majorHAnsi" w:hAnsiTheme="majorHAnsi" w:cstheme="majorHAnsi"/>
          <w:i/>
          <w:iCs/>
          <w:sz w:val="18"/>
          <w:szCs w:val="18"/>
          <w:vertAlign w:val="baseline"/>
        </w:rPr>
        <w:t>The Australian labour market and the digital economy</w:t>
      </w:r>
      <w:r w:rsidR="00A02F5D">
        <w:rPr>
          <w:rStyle w:val="FootnoteReference"/>
          <w:rFonts w:asciiTheme="majorHAnsi" w:hAnsiTheme="majorHAnsi" w:cstheme="majorHAnsi"/>
          <w:i/>
          <w:iCs/>
          <w:sz w:val="18"/>
          <w:szCs w:val="18"/>
          <w:vertAlign w:val="baseline"/>
        </w:rPr>
        <w:t>.</w:t>
      </w:r>
      <w:r w:rsidRPr="00BA0010">
        <w:rPr>
          <w:rStyle w:val="FootnoteReference"/>
          <w:rFonts w:asciiTheme="majorHAnsi" w:hAnsiTheme="majorHAnsi" w:cstheme="majorHAnsi"/>
          <w:sz w:val="18"/>
          <w:szCs w:val="18"/>
        </w:rPr>
        <w:t xml:space="preserve"> </w:t>
      </w:r>
    </w:p>
  </w:footnote>
  <w:footnote w:id="24">
    <w:p w14:paraId="29D20AE4" w14:textId="26E236AB" w:rsidR="00C9084F" w:rsidRPr="00BA0010" w:rsidRDefault="00C9084F" w:rsidP="00C9084F">
      <w:pPr>
        <w:pStyle w:val="FootnoteText"/>
        <w:rPr>
          <w:rFonts w:asciiTheme="majorHAnsi" w:hAnsiTheme="majorHAnsi" w:cstheme="majorHAnsi"/>
          <w:color w:val="000000"/>
          <w:sz w:val="18"/>
          <w:szCs w:val="18"/>
        </w:rPr>
      </w:pPr>
      <w:r w:rsidRPr="00BA0010">
        <w:rPr>
          <w:rStyle w:val="FootnoteReference"/>
          <w:rFonts w:asciiTheme="majorHAnsi" w:hAnsiTheme="majorHAnsi" w:cstheme="majorHAnsi"/>
          <w:sz w:val="18"/>
          <w:szCs w:val="18"/>
        </w:rPr>
        <w:footnoteRef/>
      </w:r>
      <w:r w:rsidRPr="00BA0010">
        <w:rPr>
          <w:rStyle w:val="FootnoteReference"/>
          <w:rFonts w:asciiTheme="majorHAnsi" w:hAnsiTheme="majorHAnsi" w:cstheme="majorHAnsi"/>
          <w:sz w:val="18"/>
          <w:szCs w:val="18"/>
        </w:rPr>
        <w:t xml:space="preserve"> </w:t>
      </w:r>
      <w:r w:rsidR="00624F8E" w:rsidRPr="00BA0010">
        <w:rPr>
          <w:rFonts w:asciiTheme="minorHAnsi" w:hAnsiTheme="minorHAnsi"/>
          <w:sz w:val="18"/>
          <w:szCs w:val="18"/>
        </w:rPr>
        <w:t xml:space="preserve">Treasury: </w:t>
      </w:r>
      <w:r w:rsidRPr="00A02F5D">
        <w:rPr>
          <w:rStyle w:val="FootnoteReference"/>
          <w:rFonts w:asciiTheme="majorHAnsi" w:hAnsiTheme="majorHAnsi" w:cstheme="majorHAnsi"/>
          <w:i/>
          <w:iCs/>
          <w:sz w:val="18"/>
          <w:szCs w:val="18"/>
          <w:vertAlign w:val="baseline"/>
        </w:rPr>
        <w:t>Working Future. The Australian Government’s White Paper on Jobs and Opportunities</w:t>
      </w:r>
      <w:r w:rsidRPr="00BA0010">
        <w:rPr>
          <w:rStyle w:val="FootnoteReference"/>
          <w:rFonts w:asciiTheme="majorHAnsi" w:hAnsiTheme="majorHAnsi" w:cstheme="majorHAnsi"/>
          <w:sz w:val="18"/>
          <w:szCs w:val="18"/>
          <w:vertAlign w:val="baseline"/>
        </w:rPr>
        <w:t>, September 2023</w:t>
      </w:r>
      <w:r w:rsidRPr="00BA0010">
        <w:rPr>
          <w:rFonts w:asciiTheme="majorHAnsi" w:hAnsiTheme="majorHAnsi" w:cstheme="majorHAnsi"/>
          <w:color w:val="000000"/>
          <w:sz w:val="18"/>
          <w:szCs w:val="18"/>
        </w:rPr>
        <w:t xml:space="preserve"> </w:t>
      </w:r>
    </w:p>
  </w:footnote>
  <w:footnote w:id="25">
    <w:p w14:paraId="79F8A4DE" w14:textId="480FA563" w:rsidR="00C9084F" w:rsidRPr="00AB7751" w:rsidRDefault="00C9084F" w:rsidP="00C9084F">
      <w:pPr>
        <w:pStyle w:val="FootnoteText"/>
      </w:pPr>
      <w:r w:rsidRPr="007C0DAA">
        <w:rPr>
          <w:rStyle w:val="FootnoteReference"/>
          <w:rFonts w:asciiTheme="majorHAnsi" w:hAnsiTheme="majorHAnsi" w:cstheme="majorHAnsi"/>
          <w:sz w:val="18"/>
          <w:szCs w:val="18"/>
        </w:rPr>
        <w:footnoteRef/>
      </w:r>
      <w:r w:rsidRPr="007C0DAA">
        <w:rPr>
          <w:rFonts w:asciiTheme="majorHAnsi" w:hAnsiTheme="majorHAnsi" w:cstheme="majorHAnsi"/>
          <w:sz w:val="18"/>
          <w:szCs w:val="18"/>
        </w:rPr>
        <w:t xml:space="preserve"> Jobs and Skills Australia</w:t>
      </w:r>
      <w:r w:rsidR="00E7384F">
        <w:rPr>
          <w:rFonts w:asciiTheme="majorHAnsi" w:hAnsiTheme="majorHAnsi" w:cstheme="majorHAnsi"/>
          <w:sz w:val="18"/>
          <w:szCs w:val="18"/>
        </w:rPr>
        <w:t xml:space="preserve"> (2023).</w:t>
      </w:r>
      <w:r w:rsidRPr="007C0DAA">
        <w:rPr>
          <w:rFonts w:asciiTheme="majorHAnsi" w:hAnsiTheme="majorHAnsi" w:cstheme="majorHAnsi"/>
          <w:sz w:val="18"/>
          <w:szCs w:val="18"/>
        </w:rPr>
        <w:t xml:space="preserve"> </w:t>
      </w:r>
      <w:r w:rsidRPr="00A02F5D">
        <w:rPr>
          <w:rFonts w:asciiTheme="majorHAnsi" w:hAnsiTheme="majorHAnsi" w:cstheme="majorHAnsi"/>
          <w:i/>
          <w:sz w:val="18"/>
          <w:szCs w:val="18"/>
        </w:rPr>
        <w:t>Towards a National Jobs and Skills Roadmap</w:t>
      </w:r>
      <w:r w:rsidR="00E7384F">
        <w:rPr>
          <w:rFonts w:asciiTheme="majorHAnsi" w:hAnsiTheme="majorHAnsi" w:cstheme="majorHAnsi"/>
          <w:sz w:val="18"/>
          <w:szCs w:val="18"/>
        </w:rPr>
        <w:t>.</w:t>
      </w:r>
    </w:p>
  </w:footnote>
  <w:footnote w:id="26">
    <w:p w14:paraId="52D9C2E5" w14:textId="790757C1" w:rsidR="00C9084F" w:rsidRPr="000B6537" w:rsidRDefault="00C9084F" w:rsidP="00C9084F">
      <w:pPr>
        <w:pStyle w:val="FootnoteText"/>
        <w:rPr>
          <w:rFonts w:asciiTheme="majorHAnsi" w:hAnsiTheme="majorHAnsi" w:cstheme="majorHAnsi"/>
          <w:sz w:val="18"/>
          <w:szCs w:val="18"/>
        </w:rPr>
      </w:pPr>
      <w:r w:rsidRPr="000B6537">
        <w:rPr>
          <w:rStyle w:val="FootnoteReference"/>
          <w:rFonts w:asciiTheme="majorHAnsi" w:hAnsiTheme="majorHAnsi" w:cstheme="majorHAnsi"/>
          <w:sz w:val="18"/>
          <w:szCs w:val="18"/>
        </w:rPr>
        <w:footnoteRef/>
      </w:r>
      <w:r w:rsidRPr="000B6537">
        <w:rPr>
          <w:rFonts w:asciiTheme="majorHAnsi" w:hAnsiTheme="majorHAnsi" w:cstheme="majorHAnsi"/>
          <w:sz w:val="18"/>
          <w:szCs w:val="18"/>
        </w:rPr>
        <w:t xml:space="preserve"> In 2023 JSA </w:t>
      </w:r>
      <w:r w:rsidRPr="003864F4">
        <w:rPr>
          <w:rFonts w:asciiTheme="majorHAnsi" w:hAnsiTheme="majorHAnsi" w:cstheme="majorHAnsi"/>
          <w:sz w:val="18"/>
          <w:szCs w:val="18"/>
        </w:rPr>
        <w:t>undertook a comprehensive workforce capacity study on the clean energy transformation (</w:t>
      </w:r>
      <w:r w:rsidRPr="00A02F5D">
        <w:rPr>
          <w:rFonts w:asciiTheme="majorHAnsi" w:hAnsiTheme="majorHAnsi" w:cstheme="majorHAnsi"/>
          <w:i/>
          <w:iCs/>
          <w:sz w:val="18"/>
          <w:szCs w:val="18"/>
        </w:rPr>
        <w:t>The Clean Energy Generation: workforce needs for a net zero economy</w:t>
      </w:r>
      <w:r w:rsidRPr="003864F4">
        <w:rPr>
          <w:rFonts w:asciiTheme="majorHAnsi" w:hAnsiTheme="majorHAnsi" w:cstheme="majorHAnsi"/>
          <w:sz w:val="18"/>
          <w:szCs w:val="18"/>
        </w:rPr>
        <w:t xml:space="preserve">), including </w:t>
      </w:r>
      <w:r w:rsidR="005E4A00" w:rsidRPr="003864F4">
        <w:rPr>
          <w:rFonts w:asciiTheme="majorHAnsi" w:hAnsiTheme="majorHAnsi" w:cstheme="majorHAnsi"/>
          <w:sz w:val="18"/>
          <w:szCs w:val="18"/>
        </w:rPr>
        <w:t>an</w:t>
      </w:r>
      <w:r w:rsidRPr="003864F4">
        <w:rPr>
          <w:rFonts w:asciiTheme="majorHAnsi" w:hAnsiTheme="majorHAnsi" w:cstheme="majorHAnsi"/>
          <w:sz w:val="18"/>
          <w:szCs w:val="18"/>
        </w:rPr>
        <w:t xml:space="preserve"> analysis on future skill needs, transition challenges, and opportunities for innovation in the education and training system, to support a successful clean energy transformation</w:t>
      </w:r>
      <w:r w:rsidRPr="000B6537">
        <w:rPr>
          <w:rFonts w:asciiTheme="majorHAnsi" w:hAnsiTheme="majorHAnsi" w:cstheme="majorHAnsi"/>
          <w:sz w:val="18"/>
          <w:szCs w:val="18"/>
        </w:rPr>
        <w:t>. This section draws on material from this study.</w:t>
      </w:r>
    </w:p>
  </w:footnote>
  <w:footnote w:id="27">
    <w:p w14:paraId="0716BAEA" w14:textId="77777777" w:rsidR="00C9084F" w:rsidRDefault="00C9084F" w:rsidP="00C9084F">
      <w:pPr>
        <w:pStyle w:val="FootnoteText"/>
      </w:pPr>
      <w:r w:rsidRPr="000B6537">
        <w:rPr>
          <w:rStyle w:val="FootnoteReference"/>
          <w:rFonts w:asciiTheme="majorHAnsi" w:hAnsiTheme="majorHAnsi" w:cstheme="majorHAnsi"/>
          <w:sz w:val="18"/>
          <w:szCs w:val="18"/>
        </w:rPr>
        <w:footnoteRef/>
      </w:r>
      <w:r w:rsidRPr="000B6537">
        <w:rPr>
          <w:rFonts w:asciiTheme="majorHAnsi" w:hAnsiTheme="majorHAnsi" w:cstheme="majorHAnsi"/>
          <w:sz w:val="18"/>
          <w:szCs w:val="18"/>
        </w:rPr>
        <w:t xml:space="preserve"> F</w:t>
      </w:r>
      <w:r w:rsidRPr="000B6537">
        <w:rPr>
          <w:rFonts w:asciiTheme="majorHAnsi" w:eastAsia="Arial" w:hAnsiTheme="majorHAnsi" w:cstheme="majorHAnsi"/>
          <w:sz w:val="18"/>
          <w:szCs w:val="18"/>
        </w:rPr>
        <w:t>ossil-fuel related groups which will decline and transform substantially as a result of decarbonisation.</w:t>
      </w:r>
    </w:p>
  </w:footnote>
  <w:footnote w:id="28">
    <w:p w14:paraId="03B12582" w14:textId="77E90035" w:rsidR="008501FF" w:rsidRPr="009D73A8" w:rsidRDefault="008501FF">
      <w:pPr>
        <w:pStyle w:val="FootnoteText"/>
        <w:rPr>
          <w:rFonts w:asciiTheme="minorHAnsi" w:hAnsiTheme="minorHAnsi" w:cstheme="minorHAnsi"/>
          <w:sz w:val="18"/>
          <w:szCs w:val="18"/>
        </w:rPr>
      </w:pPr>
      <w:r w:rsidRPr="004970BA">
        <w:rPr>
          <w:rStyle w:val="FootnoteReference"/>
          <w:rFonts w:asciiTheme="minorHAnsi" w:hAnsiTheme="minorHAnsi" w:cstheme="minorHAnsi"/>
        </w:rPr>
        <w:footnoteRef/>
      </w:r>
      <w:r>
        <w:t xml:space="preserve"> </w:t>
      </w:r>
      <w:r w:rsidR="00E74DB6" w:rsidRPr="006A63C6">
        <w:rPr>
          <w:sz w:val="18"/>
          <w:szCs w:val="18"/>
        </w:rPr>
        <w:t>Core Logic, Regional value growth slows amid affordability constraints and elevated interest rates, August 2024.</w:t>
      </w:r>
    </w:p>
  </w:footnote>
  <w:footnote w:id="29">
    <w:p w14:paraId="02EEFC4D" w14:textId="7D64ADD8" w:rsidR="00DB2275" w:rsidRPr="009D73A8" w:rsidRDefault="00DB2275" w:rsidP="00DB2275">
      <w:pPr>
        <w:outlineLvl w:val="3"/>
        <w:rPr>
          <w:rFonts w:eastAsia="Arial" w:cs="Arial"/>
        </w:rPr>
      </w:pPr>
      <w:r w:rsidRPr="009D73A8">
        <w:rPr>
          <w:rStyle w:val="FootnoteReference"/>
          <w:rFonts w:cs="Arial"/>
          <w:sz w:val="18"/>
          <w:szCs w:val="18"/>
        </w:rPr>
        <w:footnoteRef/>
      </w:r>
      <w:r w:rsidRPr="009D73A8">
        <w:rPr>
          <w:rFonts w:cs="Arial"/>
          <w:sz w:val="18"/>
          <w:szCs w:val="18"/>
        </w:rPr>
        <w:t xml:space="preserve"> </w:t>
      </w:r>
      <w:r w:rsidRPr="009D73A8">
        <w:rPr>
          <w:rFonts w:eastAsia="Arial" w:cs="Arial"/>
          <w:sz w:val="18"/>
          <w:szCs w:val="18"/>
        </w:rPr>
        <w:t xml:space="preserve">Service delivery and regulatory differences between states may discourage people living in border communities from taking up work and study opportunities across the border. </w:t>
      </w:r>
      <w:r w:rsidR="005C2116" w:rsidRPr="009D73A8">
        <w:rPr>
          <w:rFonts w:eastAsia="Arial" w:cs="Arial"/>
          <w:sz w:val="18"/>
          <w:szCs w:val="18"/>
        </w:rPr>
        <w:t>A</w:t>
      </w:r>
      <w:r w:rsidRPr="009D73A8">
        <w:rPr>
          <w:rFonts w:eastAsia="Arial" w:cs="Arial"/>
          <w:sz w:val="18"/>
          <w:szCs w:val="18"/>
        </w:rPr>
        <w:t xml:space="preserve"> number of Cross Border Commissioners</w:t>
      </w:r>
      <w:r w:rsidR="003C7573" w:rsidRPr="009D73A8">
        <w:rPr>
          <w:rFonts w:eastAsia="Arial" w:cs="Arial"/>
          <w:sz w:val="18"/>
          <w:szCs w:val="18"/>
        </w:rPr>
        <w:t xml:space="preserve"> (in </w:t>
      </w:r>
      <w:r w:rsidR="00945121" w:rsidRPr="009D73A8">
        <w:rPr>
          <w:rFonts w:eastAsia="Arial" w:cs="Arial"/>
          <w:sz w:val="18"/>
          <w:szCs w:val="18"/>
        </w:rPr>
        <w:t>NSW, Vic., Qld. And SA)</w:t>
      </w:r>
      <w:r w:rsidRPr="009D73A8">
        <w:rPr>
          <w:rFonts w:eastAsia="Arial" w:cs="Arial"/>
          <w:sz w:val="18"/>
          <w:szCs w:val="18"/>
        </w:rPr>
        <w:t xml:space="preserve"> have been appointed to work with border residents, businesses and organisations to </w:t>
      </w:r>
      <w:r w:rsidR="00E514C7" w:rsidRPr="009D73A8">
        <w:rPr>
          <w:rFonts w:eastAsia="Arial" w:cs="Arial"/>
          <w:sz w:val="18"/>
          <w:szCs w:val="18"/>
        </w:rPr>
        <w:t>address</w:t>
      </w:r>
      <w:r w:rsidRPr="009D73A8">
        <w:rPr>
          <w:rFonts w:eastAsia="Arial" w:cs="Arial"/>
          <w:sz w:val="18"/>
          <w:szCs w:val="18"/>
        </w:rPr>
        <w:t xml:space="preserve"> some of these challenges.</w:t>
      </w:r>
      <w:r w:rsidRPr="009D73A8">
        <w:rPr>
          <w:rFonts w:eastAsia="Arial" w:cs="Arial"/>
        </w:rPr>
        <w:t xml:space="preserve"> </w:t>
      </w:r>
    </w:p>
  </w:footnote>
  <w:footnote w:id="30">
    <w:p w14:paraId="70379089" w14:textId="1BE67B93" w:rsidR="008731EB" w:rsidRPr="009D73A8" w:rsidRDefault="008731EB" w:rsidP="008731EB">
      <w:pPr>
        <w:spacing w:before="120"/>
        <w:contextualSpacing/>
        <w:rPr>
          <w:rFonts w:cs="Arial"/>
          <w:sz w:val="18"/>
          <w:szCs w:val="18"/>
        </w:rPr>
      </w:pPr>
      <w:r w:rsidRPr="009D73A8">
        <w:rPr>
          <w:rStyle w:val="FootnoteReference"/>
          <w:rFonts w:cs="Arial"/>
          <w:sz w:val="18"/>
          <w:szCs w:val="18"/>
        </w:rPr>
        <w:footnoteRef/>
      </w:r>
      <w:r w:rsidRPr="009D73A8">
        <w:rPr>
          <w:rFonts w:cs="Arial"/>
          <w:sz w:val="18"/>
          <w:szCs w:val="18"/>
        </w:rPr>
        <w:t xml:space="preserve"> Productivity Commission (2023). </w:t>
      </w:r>
      <w:r w:rsidRPr="00A02F5D">
        <w:rPr>
          <w:rFonts w:cs="Arial"/>
          <w:i/>
          <w:iCs/>
          <w:sz w:val="18"/>
          <w:szCs w:val="18"/>
        </w:rPr>
        <w:t>A path to universal early childhood education and care</w:t>
      </w:r>
      <w:r w:rsidRPr="009D73A8">
        <w:rPr>
          <w:rFonts w:cs="Arial"/>
          <w:sz w:val="18"/>
          <w:szCs w:val="18"/>
        </w:rPr>
        <w:t xml:space="preserve"> – draft report.</w:t>
      </w:r>
    </w:p>
  </w:footnote>
  <w:footnote w:id="31">
    <w:p w14:paraId="472D5C3E" w14:textId="0E6E497E" w:rsidR="00C05D05" w:rsidRPr="009D73A8" w:rsidRDefault="00C05D05">
      <w:pPr>
        <w:pStyle w:val="FootnoteText"/>
        <w:rPr>
          <w:rFonts w:asciiTheme="minorHAnsi" w:hAnsiTheme="minorHAnsi" w:cstheme="minorHAnsi"/>
          <w:sz w:val="18"/>
          <w:szCs w:val="18"/>
        </w:rPr>
      </w:pPr>
      <w:r w:rsidRPr="004970BA">
        <w:rPr>
          <w:rStyle w:val="FootnoteReference"/>
          <w:rFonts w:asciiTheme="minorHAnsi" w:hAnsiTheme="minorHAnsi" w:cstheme="minorHAnsi"/>
          <w:sz w:val="18"/>
          <w:szCs w:val="18"/>
        </w:rPr>
        <w:footnoteRef/>
      </w:r>
      <w:r w:rsidRPr="009D73A8">
        <w:rPr>
          <w:rFonts w:asciiTheme="minorHAnsi" w:hAnsiTheme="minorHAnsi" w:cstheme="minorHAnsi"/>
        </w:rPr>
        <w:t xml:space="preserve"> </w:t>
      </w:r>
      <w:r w:rsidR="00A1519B" w:rsidRPr="009D73A8">
        <w:rPr>
          <w:rFonts w:asciiTheme="minorHAnsi" w:hAnsiTheme="minorHAnsi" w:cstheme="minorHAnsi"/>
          <w:sz w:val="18"/>
          <w:szCs w:val="18"/>
        </w:rPr>
        <w:t xml:space="preserve">JSA (2024). </w:t>
      </w:r>
      <w:r w:rsidR="00A1519B" w:rsidRPr="00A02F5D">
        <w:rPr>
          <w:rFonts w:asciiTheme="minorHAnsi" w:hAnsiTheme="minorHAnsi" w:cstheme="minorHAnsi"/>
          <w:i/>
          <w:iCs/>
          <w:sz w:val="18"/>
          <w:szCs w:val="18"/>
        </w:rPr>
        <w:t>The Future of the Early Childhood Education Profession</w:t>
      </w:r>
      <w:r w:rsidR="00A1519B" w:rsidRPr="009D73A8">
        <w:rPr>
          <w:rFonts w:asciiTheme="minorHAnsi" w:hAnsiTheme="minorHAnsi" w:cstheme="minorHAnsi"/>
          <w:sz w:val="18"/>
          <w:szCs w:val="18"/>
        </w:rPr>
        <w:t>.</w:t>
      </w:r>
    </w:p>
  </w:footnote>
  <w:footnote w:id="32">
    <w:p w14:paraId="57932D88" w14:textId="2E1B2A0D" w:rsidR="007F0935" w:rsidRPr="004970BA" w:rsidRDefault="007F0935" w:rsidP="004970BA">
      <w:pPr>
        <w:spacing w:before="120"/>
        <w:contextualSpacing/>
        <w:rPr>
          <w:rFonts w:cs="Arial"/>
          <w:i/>
          <w:sz w:val="18"/>
          <w:szCs w:val="18"/>
        </w:rPr>
      </w:pPr>
      <w:r w:rsidRPr="007F0935">
        <w:rPr>
          <w:rStyle w:val="FootnoteReference"/>
          <w:rFonts w:cs="Arial"/>
          <w:sz w:val="20"/>
          <w:szCs w:val="20"/>
        </w:rPr>
        <w:footnoteRef/>
      </w:r>
      <w:r w:rsidRPr="007F0935">
        <w:rPr>
          <w:rFonts w:cs="Arial"/>
          <w:sz w:val="20"/>
          <w:szCs w:val="20"/>
        </w:rPr>
        <w:t xml:space="preserve"> </w:t>
      </w:r>
      <w:r w:rsidRPr="007F0935">
        <w:rPr>
          <w:rFonts w:cs="Arial"/>
          <w:sz w:val="18"/>
          <w:szCs w:val="18"/>
        </w:rPr>
        <w:t xml:space="preserve">Australian Institute of Health and Welfare (AIHW) (2024). </w:t>
      </w:r>
      <w:r w:rsidRPr="007F0935">
        <w:rPr>
          <w:rFonts w:cs="Arial"/>
          <w:i/>
          <w:iCs/>
          <w:sz w:val="18"/>
          <w:szCs w:val="18"/>
        </w:rPr>
        <w:t>Rural and remote health.</w:t>
      </w:r>
    </w:p>
  </w:footnote>
  <w:footnote w:id="33">
    <w:p w14:paraId="13C70082" w14:textId="77777777" w:rsidR="00F82B44" w:rsidRPr="002425DC" w:rsidRDefault="00F82B44" w:rsidP="00F82B44">
      <w:pPr>
        <w:pStyle w:val="FootnoteText"/>
      </w:pPr>
      <w:r w:rsidRPr="004970BA">
        <w:rPr>
          <w:rStyle w:val="FootnoteReference"/>
          <w:rFonts w:asciiTheme="minorHAnsi" w:hAnsiTheme="minorHAnsi" w:cstheme="minorHAnsi"/>
        </w:rPr>
        <w:footnoteRef/>
      </w:r>
      <w:r w:rsidRPr="004970BA">
        <w:rPr>
          <w:rFonts w:asciiTheme="minorHAnsi" w:hAnsiTheme="minorHAnsi" w:cstheme="minorHAnsi"/>
        </w:rPr>
        <w:t xml:space="preserve"> </w:t>
      </w:r>
      <w:r w:rsidRPr="004970BA">
        <w:rPr>
          <w:rFonts w:asciiTheme="minorHAnsi" w:hAnsiTheme="minorHAnsi" w:cstheme="minorHAnsi"/>
          <w:sz w:val="18"/>
          <w:szCs w:val="18"/>
        </w:rPr>
        <w:t>I</w:t>
      </w:r>
      <w:r w:rsidRPr="00962DDE">
        <w:rPr>
          <w:rFonts w:asciiTheme="minorHAnsi" w:hAnsiTheme="minorHAnsi" w:cstheme="minorHAnsi"/>
          <w:sz w:val="18"/>
          <w:szCs w:val="18"/>
        </w:rPr>
        <w:t>t is important to note that despite strong interest, there is no consistent approach to measuring adaptive capacity, particularly as it relates to the factors that are considered important in shaping the capacity of a region to adapt.</w:t>
      </w:r>
      <w:r>
        <w:t xml:space="preserve"> </w:t>
      </w:r>
      <w:r>
        <w:rPr>
          <w:sz w:val="18"/>
          <w:szCs w:val="18"/>
        </w:rPr>
        <w:t xml:space="preserve"> </w:t>
      </w:r>
    </w:p>
  </w:footnote>
  <w:footnote w:id="34">
    <w:p w14:paraId="6A506A30" w14:textId="77777777" w:rsidR="003D6C8A" w:rsidRPr="00DC009F" w:rsidRDefault="003D6C8A" w:rsidP="003D6C8A">
      <w:pPr>
        <w:pStyle w:val="FootnoteText"/>
        <w:rPr>
          <w:rFonts w:asciiTheme="minorHAnsi" w:hAnsiTheme="minorHAnsi" w:cstheme="minorHAnsi"/>
        </w:rPr>
      </w:pPr>
      <w:r w:rsidRPr="00DC009F">
        <w:rPr>
          <w:rStyle w:val="FootnoteReference"/>
          <w:rFonts w:asciiTheme="minorHAnsi" w:hAnsiTheme="minorHAnsi" w:cstheme="minorHAnsi"/>
        </w:rPr>
        <w:footnoteRef/>
      </w:r>
      <w:r w:rsidRPr="00DC009F">
        <w:rPr>
          <w:rFonts w:asciiTheme="minorHAnsi" w:hAnsiTheme="minorHAnsi" w:cstheme="minorHAnsi"/>
        </w:rPr>
        <w:t xml:space="preserve"> </w:t>
      </w:r>
      <w:r w:rsidRPr="00DC009F">
        <w:rPr>
          <w:rFonts w:asciiTheme="minorHAnsi" w:hAnsiTheme="minorHAnsi" w:cstheme="minorHAnsi"/>
          <w:sz w:val="18"/>
          <w:szCs w:val="18"/>
        </w:rPr>
        <w:t xml:space="preserve">In discussions of vulnerability, the terms ‘resilience’ and ‘adaptive capacity’ are often used interchangeably. In this context, ‘resilience’ is defined as the ability to recover from and adapt to external shocks. </w:t>
      </w:r>
    </w:p>
  </w:footnote>
  <w:footnote w:id="35">
    <w:p w14:paraId="2A06ACD3" w14:textId="77777777" w:rsidR="003D6C8A" w:rsidRPr="00966653" w:rsidRDefault="003D6C8A" w:rsidP="003D6C8A">
      <w:pPr>
        <w:pStyle w:val="FootnoteText"/>
        <w:rPr>
          <w:rFonts w:asciiTheme="minorHAnsi" w:hAnsiTheme="minorHAnsi" w:cstheme="minorHAnsi"/>
        </w:rPr>
      </w:pPr>
      <w:r>
        <w:rPr>
          <w:rStyle w:val="FootnoteReference"/>
        </w:rPr>
        <w:footnoteRef/>
      </w:r>
      <w:r>
        <w:t xml:space="preserve"> </w:t>
      </w:r>
      <w:r w:rsidRPr="00966653">
        <w:rPr>
          <w:rFonts w:asciiTheme="minorHAnsi" w:hAnsiTheme="minorHAnsi" w:cstheme="minorHAnsi"/>
          <w:sz w:val="18"/>
          <w:szCs w:val="18"/>
        </w:rPr>
        <w:t xml:space="preserve">JSA, </w:t>
      </w:r>
      <w:r w:rsidRPr="00A02F5D">
        <w:rPr>
          <w:rFonts w:asciiTheme="minorHAnsi" w:hAnsiTheme="minorHAnsi" w:cstheme="minorHAnsi"/>
          <w:i/>
          <w:iCs/>
          <w:sz w:val="18"/>
          <w:szCs w:val="18"/>
        </w:rPr>
        <w:t>The Clean Energy Generation: Workforce needs for a net zero economy</w:t>
      </w:r>
      <w:r w:rsidRPr="004970BA">
        <w:rPr>
          <w:rFonts w:asciiTheme="minorHAnsi" w:hAnsiTheme="minorHAnsi" w:cstheme="minorHAnsi"/>
          <w:sz w:val="18"/>
          <w:szCs w:val="18"/>
        </w:rPr>
        <w:t>,</w:t>
      </w:r>
      <w:r w:rsidRPr="00966653">
        <w:rPr>
          <w:rFonts w:asciiTheme="minorHAnsi" w:hAnsiTheme="minorHAnsi" w:cstheme="minorHAnsi"/>
          <w:sz w:val="18"/>
          <w:szCs w:val="18"/>
        </w:rPr>
        <w:t xml:space="preserve"> 2023.  </w:t>
      </w:r>
    </w:p>
  </w:footnote>
  <w:footnote w:id="36">
    <w:p w14:paraId="196A7BCD" w14:textId="3BFECFBE" w:rsidR="00F256E9" w:rsidRPr="00715944" w:rsidRDefault="00F256E9" w:rsidP="00951B4A">
      <w:pPr>
        <w:pStyle w:val="ListBullet"/>
        <w:numPr>
          <w:ilvl w:val="0"/>
          <w:numId w:val="0"/>
        </w:numPr>
        <w:spacing w:after="80"/>
        <w:rPr>
          <w:rFonts w:asciiTheme="minorHAnsi" w:hAnsiTheme="minorHAnsi" w:cstheme="minorHAnsi"/>
          <w:sz w:val="18"/>
          <w:szCs w:val="18"/>
        </w:rPr>
      </w:pPr>
      <w:r w:rsidRPr="00715944">
        <w:rPr>
          <w:rStyle w:val="FootnoteReference"/>
          <w:rFonts w:asciiTheme="minorHAnsi" w:hAnsiTheme="minorHAnsi" w:cstheme="minorHAnsi"/>
          <w:sz w:val="18"/>
          <w:szCs w:val="18"/>
        </w:rPr>
        <w:footnoteRef/>
      </w:r>
      <w:r w:rsidR="00890B7E">
        <w:rPr>
          <w:rFonts w:asciiTheme="minorHAnsi" w:hAnsiTheme="minorHAnsi" w:cstheme="minorHAnsi"/>
          <w:sz w:val="18"/>
          <w:szCs w:val="18"/>
        </w:rPr>
        <w:t xml:space="preserve">   </w:t>
      </w:r>
      <w:r w:rsidRPr="00715944">
        <w:rPr>
          <w:rFonts w:asciiTheme="minorHAnsi" w:hAnsiTheme="minorHAnsi" w:cstheme="minorHAnsi"/>
          <w:sz w:val="18"/>
          <w:szCs w:val="18"/>
        </w:rPr>
        <w:t xml:space="preserve">SERA is based on approximately 2,000 responses each quarter. The survey covers occupations, as defined by </w:t>
      </w:r>
      <w:r w:rsidR="00890B7E" w:rsidRPr="00715944">
        <w:rPr>
          <w:rFonts w:asciiTheme="minorHAnsi" w:hAnsiTheme="minorHAnsi" w:cstheme="minorHAnsi"/>
          <w:sz w:val="18"/>
          <w:szCs w:val="18"/>
        </w:rPr>
        <w:t xml:space="preserve">ANZSCO </w:t>
      </w:r>
      <w:r w:rsidRPr="00715944">
        <w:rPr>
          <w:rFonts w:asciiTheme="minorHAnsi" w:hAnsiTheme="minorHAnsi" w:cstheme="minorHAnsi"/>
          <w:sz w:val="18"/>
          <w:szCs w:val="18"/>
        </w:rPr>
        <w:t>generally requiring a university degree, trade apprenticeship or Certificate III or IV. As a result, the survey outcomes are reflective of occupations requiring post-school education.</w:t>
      </w:r>
    </w:p>
  </w:footnote>
  <w:footnote w:id="37">
    <w:p w14:paraId="3011A5B2" w14:textId="67867F39" w:rsidR="00264A66" w:rsidRPr="00715944" w:rsidRDefault="00264A66">
      <w:pPr>
        <w:pStyle w:val="FootnoteText"/>
        <w:rPr>
          <w:rFonts w:asciiTheme="minorHAnsi" w:hAnsiTheme="minorHAnsi" w:cstheme="minorHAnsi"/>
        </w:rPr>
      </w:pPr>
      <w:r w:rsidRPr="00715944">
        <w:rPr>
          <w:rStyle w:val="FootnoteReference"/>
          <w:rFonts w:asciiTheme="minorHAnsi" w:hAnsiTheme="minorHAnsi" w:cstheme="minorHAnsi"/>
          <w:sz w:val="18"/>
          <w:szCs w:val="18"/>
        </w:rPr>
        <w:footnoteRef/>
      </w:r>
      <w:r w:rsidRPr="00715944">
        <w:rPr>
          <w:rFonts w:asciiTheme="minorHAnsi" w:hAnsiTheme="minorHAnsi" w:cstheme="minorHAnsi"/>
          <w:sz w:val="18"/>
          <w:szCs w:val="18"/>
        </w:rPr>
        <w:t xml:space="preserve"> </w:t>
      </w:r>
      <w:r w:rsidRPr="00715944">
        <w:rPr>
          <w:rFonts w:asciiTheme="minorHAnsi" w:eastAsia="Arial" w:hAnsiTheme="minorHAnsi" w:cstheme="minorHAnsi"/>
          <w:sz w:val="18"/>
          <w:szCs w:val="18"/>
        </w:rPr>
        <w:t>The percentage of advertised occupation vacancies filled (</w:t>
      </w:r>
      <w:r w:rsidR="00DB085C" w:rsidRPr="00715944">
        <w:rPr>
          <w:rFonts w:asciiTheme="minorHAnsi" w:eastAsia="Arial" w:hAnsiTheme="minorHAnsi" w:cstheme="minorHAnsi"/>
          <w:sz w:val="18"/>
          <w:szCs w:val="18"/>
        </w:rPr>
        <w:t xml:space="preserve">‘vacancy </w:t>
      </w:r>
      <w:r w:rsidRPr="00715944">
        <w:rPr>
          <w:rFonts w:asciiTheme="minorHAnsi" w:eastAsia="Arial" w:hAnsiTheme="minorHAnsi" w:cstheme="minorHAnsi"/>
          <w:sz w:val="18"/>
          <w:szCs w:val="18"/>
        </w:rPr>
        <w:t>fill rate</w:t>
      </w:r>
      <w:r w:rsidR="00DB085C" w:rsidRPr="00715944">
        <w:rPr>
          <w:rFonts w:asciiTheme="minorHAnsi" w:eastAsia="Arial" w:hAnsiTheme="minorHAnsi" w:cstheme="minorHAnsi"/>
          <w:sz w:val="18"/>
          <w:szCs w:val="18"/>
        </w:rPr>
        <w:t>’</w:t>
      </w:r>
      <w:r w:rsidRPr="00715944">
        <w:rPr>
          <w:rFonts w:asciiTheme="minorHAnsi" w:eastAsia="Arial" w:hAnsiTheme="minorHAnsi" w:cstheme="minorHAnsi"/>
          <w:sz w:val="18"/>
          <w:szCs w:val="18"/>
        </w:rPr>
        <w:t>) is a key metric from SERA.</w:t>
      </w:r>
      <w:r w:rsidR="00DB085C" w:rsidRPr="00715944">
        <w:rPr>
          <w:rFonts w:asciiTheme="minorHAnsi" w:eastAsia="Arial" w:hAnsiTheme="minorHAnsi" w:cstheme="minorHAnsi"/>
          <w:sz w:val="18"/>
          <w:szCs w:val="18"/>
        </w:rPr>
        <w:t xml:space="preserve"> A low fill rate indicates that the demand for labour is not matched by the supply of labour from workers. </w:t>
      </w:r>
      <w:r w:rsidR="00E6767C" w:rsidRPr="00715944">
        <w:rPr>
          <w:rFonts w:asciiTheme="minorHAnsi" w:eastAsia="Arial" w:hAnsiTheme="minorHAnsi" w:cstheme="minorHAnsi"/>
          <w:sz w:val="18"/>
          <w:szCs w:val="18"/>
        </w:rPr>
        <w:t xml:space="preserve"> </w:t>
      </w:r>
    </w:p>
  </w:footnote>
  <w:footnote w:id="38">
    <w:p w14:paraId="432BB7AC" w14:textId="3895496A" w:rsidR="20A6F5DF" w:rsidRDefault="20A6F5DF">
      <w:pPr>
        <w:rPr>
          <w:rFonts w:eastAsia="Times New Roman"/>
        </w:rPr>
      </w:pPr>
      <w:r w:rsidRPr="008C768B">
        <w:rPr>
          <w:rFonts w:asciiTheme="minorHAnsi" w:hAnsiTheme="minorHAnsi" w:cstheme="minorHAnsi"/>
          <w:sz w:val="18"/>
          <w:szCs w:val="18"/>
        </w:rPr>
        <w:footnoteRef/>
      </w:r>
      <w:r w:rsidR="2C21B4FA">
        <w:t xml:space="preserve"> </w:t>
      </w:r>
      <w:r w:rsidR="2C21B4FA" w:rsidRPr="2C21B4FA">
        <w:rPr>
          <w:rFonts w:eastAsia="Arial" w:cs="Arial"/>
          <w:sz w:val="18"/>
          <w:szCs w:val="18"/>
        </w:rPr>
        <w:t xml:space="preserve">New South Wales Department of Primary Industries and Regional </w:t>
      </w:r>
      <w:r w:rsidR="2C21B4FA" w:rsidRPr="00CD312D">
        <w:rPr>
          <w:rFonts w:eastAsia="Arial" w:cs="Arial"/>
          <w:sz w:val="18"/>
          <w:szCs w:val="18"/>
        </w:rPr>
        <w:t>Development, New South Wales and Victoria, Memorandum of Understanding for Cross-Border Collaboration 2019-2021, 2020.</w:t>
      </w:r>
    </w:p>
  </w:footnote>
  <w:footnote w:id="39">
    <w:p w14:paraId="27DE6EE7" w14:textId="25C18342" w:rsidR="58454EC6" w:rsidRPr="00E416DC" w:rsidRDefault="58454EC6" w:rsidP="58454EC6">
      <w:pPr>
        <w:rPr>
          <w:rFonts w:asciiTheme="minorHAnsi" w:eastAsia="Times New Roman" w:hAnsiTheme="minorHAnsi" w:cstheme="minorHAnsi"/>
          <w:sz w:val="18"/>
          <w:szCs w:val="18"/>
        </w:rPr>
      </w:pPr>
      <w:r w:rsidRPr="00E416DC">
        <w:rPr>
          <w:rFonts w:asciiTheme="minorHAnsi" w:hAnsiTheme="minorHAnsi" w:cstheme="minorHAnsi"/>
          <w:sz w:val="18"/>
          <w:szCs w:val="18"/>
        </w:rPr>
        <w:footnoteRef/>
      </w:r>
      <w:r w:rsidRPr="00E416DC">
        <w:rPr>
          <w:rFonts w:asciiTheme="minorHAnsi" w:hAnsiTheme="minorHAnsi" w:cstheme="minorHAnsi"/>
          <w:sz w:val="18"/>
          <w:szCs w:val="18"/>
        </w:rPr>
        <w:t xml:space="preserve"> </w:t>
      </w:r>
      <w:r w:rsidRPr="00E416DC">
        <w:rPr>
          <w:rFonts w:asciiTheme="minorHAnsi" w:eastAsia="Arial" w:hAnsiTheme="minorHAnsi" w:cstheme="minorHAnsi"/>
          <w:sz w:val="18"/>
          <w:szCs w:val="18"/>
        </w:rPr>
        <w:t>ABS, Census of Population and Housing, 2021.</w:t>
      </w:r>
    </w:p>
  </w:footnote>
  <w:footnote w:id="40">
    <w:p w14:paraId="28121613" w14:textId="44B16C6D" w:rsidR="005175FD" w:rsidRDefault="005175FD">
      <w:pPr>
        <w:pStyle w:val="FootnoteText"/>
      </w:pPr>
      <w:r w:rsidRPr="00CD312D">
        <w:rPr>
          <w:rFonts w:asciiTheme="minorHAnsi" w:hAnsiTheme="minorHAnsi" w:cstheme="minorHAnsi"/>
          <w:sz w:val="18"/>
          <w:szCs w:val="18"/>
        </w:rPr>
        <w:footnoteRef/>
      </w:r>
      <w:r w:rsidRPr="00CD312D">
        <w:rPr>
          <w:rFonts w:asciiTheme="minorHAnsi" w:hAnsiTheme="minorHAnsi" w:cstheme="minorHAnsi"/>
          <w:sz w:val="18"/>
          <w:szCs w:val="18"/>
        </w:rPr>
        <w:t xml:space="preserve"> </w:t>
      </w:r>
      <w:r w:rsidR="00711F4F" w:rsidRPr="00775266">
        <w:rPr>
          <w:rFonts w:asciiTheme="minorHAnsi" w:eastAsia="Arial" w:hAnsiTheme="minorHAnsi" w:cstheme="minorHAnsi"/>
          <w:sz w:val="18"/>
          <w:szCs w:val="18"/>
        </w:rPr>
        <w:t>JSA</w:t>
      </w:r>
      <w:r w:rsidR="0099413E" w:rsidRPr="00775266">
        <w:rPr>
          <w:rFonts w:asciiTheme="minorHAnsi" w:eastAsia="Arial" w:hAnsiTheme="minorHAnsi" w:cstheme="minorHAnsi"/>
          <w:sz w:val="18"/>
          <w:szCs w:val="18"/>
        </w:rPr>
        <w:t xml:space="preserve"> </w:t>
      </w:r>
      <w:hyperlink r:id="rId2" w:history="1">
        <w:r w:rsidR="00463BD8" w:rsidRPr="00775266">
          <w:rPr>
            <w:rStyle w:val="Hyperlink"/>
            <w:rFonts w:asciiTheme="minorHAnsi" w:eastAsia="Arial" w:hAnsiTheme="minorHAnsi" w:cstheme="minorHAnsi"/>
            <w:sz w:val="18"/>
            <w:szCs w:val="18"/>
          </w:rPr>
          <w:t>Recruitment</w:t>
        </w:r>
        <w:r w:rsidR="0099413E" w:rsidRPr="00775266">
          <w:rPr>
            <w:rStyle w:val="Hyperlink"/>
            <w:rFonts w:asciiTheme="minorHAnsi" w:eastAsia="Arial" w:hAnsiTheme="minorHAnsi" w:cstheme="minorHAnsi"/>
            <w:sz w:val="18"/>
            <w:szCs w:val="18"/>
          </w:rPr>
          <w:t xml:space="preserve"> methods</w:t>
        </w:r>
        <w:r w:rsidR="00016EB3" w:rsidRPr="00D209F6">
          <w:rPr>
            <w:rStyle w:val="Hyperlink"/>
            <w:rFonts w:asciiTheme="minorHAnsi" w:eastAsia="Arial" w:hAnsiTheme="minorHAnsi" w:cstheme="minorHAnsi"/>
            <w:sz w:val="18"/>
            <w:szCs w:val="18"/>
          </w:rPr>
          <w:t xml:space="preserve"> </w:t>
        </w:r>
        <w:r w:rsidR="0099413E" w:rsidRPr="00775266">
          <w:rPr>
            <w:rStyle w:val="Hyperlink"/>
            <w:rFonts w:asciiTheme="minorHAnsi" w:eastAsia="Arial" w:hAnsiTheme="minorHAnsi" w:cstheme="minorHAnsi"/>
            <w:sz w:val="18"/>
            <w:szCs w:val="18"/>
          </w:rPr>
          <w:t>used by employe</w:t>
        </w:r>
        <w:r w:rsidR="007971C7" w:rsidRPr="00775266">
          <w:rPr>
            <w:rStyle w:val="Hyperlink"/>
            <w:rFonts w:asciiTheme="minorHAnsi" w:eastAsia="Arial" w:hAnsiTheme="minorHAnsi" w:cstheme="minorHAnsi"/>
            <w:sz w:val="18"/>
            <w:szCs w:val="18"/>
          </w:rPr>
          <w:t>rs</w:t>
        </w:r>
        <w:r w:rsidR="00214ECB" w:rsidRPr="00775266">
          <w:rPr>
            <w:rStyle w:val="Hyperlink"/>
            <w:rFonts w:asciiTheme="minorHAnsi" w:eastAsia="Arial" w:hAnsiTheme="minorHAnsi" w:cstheme="minorHAnsi"/>
            <w:sz w:val="18"/>
            <w:szCs w:val="18"/>
          </w:rPr>
          <w:t xml:space="preserve">, Findings from the Recruitment Experiences and Outlook Survey, </w:t>
        </w:r>
        <w:r w:rsidR="00016EB3" w:rsidRPr="00D209F6">
          <w:rPr>
            <w:rStyle w:val="Hyperlink"/>
            <w:rFonts w:asciiTheme="minorHAnsi" w:eastAsia="Arial" w:hAnsiTheme="minorHAnsi" w:cstheme="minorHAnsi"/>
            <w:sz w:val="18"/>
            <w:szCs w:val="18"/>
          </w:rPr>
          <w:t xml:space="preserve">Australia, </w:t>
        </w:r>
        <w:r w:rsidR="00214ECB" w:rsidRPr="00775266">
          <w:rPr>
            <w:rStyle w:val="Hyperlink"/>
            <w:rFonts w:asciiTheme="minorHAnsi" w:eastAsia="Arial" w:hAnsiTheme="minorHAnsi" w:cstheme="minorHAnsi"/>
            <w:sz w:val="18"/>
            <w:szCs w:val="18"/>
          </w:rPr>
          <w:t>20</w:t>
        </w:r>
        <w:r w:rsidR="00857F7F">
          <w:rPr>
            <w:rStyle w:val="Hyperlink"/>
            <w:rFonts w:asciiTheme="minorHAnsi" w:eastAsia="Arial" w:hAnsiTheme="minorHAnsi" w:cstheme="minorHAnsi"/>
            <w:sz w:val="18"/>
            <w:szCs w:val="18"/>
          </w:rPr>
          <w:t>21</w:t>
        </w:r>
        <w:r w:rsidR="00214ECB" w:rsidRPr="00775266">
          <w:rPr>
            <w:rStyle w:val="Hyperlink"/>
            <w:rFonts w:asciiTheme="minorHAnsi" w:eastAsia="Arial" w:hAnsiTheme="minorHAnsi" w:cstheme="minorHAnsi"/>
            <w:sz w:val="18"/>
            <w:szCs w:val="18"/>
          </w:rPr>
          <w:t>-2022</w:t>
        </w:r>
      </w:hyperlink>
      <w:r w:rsidR="00463BD8" w:rsidRPr="00775266">
        <w:rPr>
          <w:rFonts w:asciiTheme="minorHAnsi" w:eastAsia="Arial" w:hAnsiTheme="minorHAnsi" w:cstheme="minorHAnsi"/>
          <w:sz w:val="18"/>
          <w:szCs w:val="18"/>
        </w:rPr>
        <w:t>.</w:t>
      </w:r>
    </w:p>
  </w:footnote>
  <w:footnote w:id="41">
    <w:p w14:paraId="266ABD2C" w14:textId="01093F3B" w:rsidR="1B512C58" w:rsidRDefault="1B512C58" w:rsidP="1B512C58">
      <w:pPr>
        <w:rPr>
          <w:rFonts w:eastAsia="Times New Roman"/>
        </w:rPr>
      </w:pPr>
      <w:r w:rsidRPr="00E416DC">
        <w:rPr>
          <w:rFonts w:asciiTheme="minorHAnsi" w:hAnsiTheme="minorHAnsi" w:cstheme="minorHAnsi"/>
          <w:sz w:val="18"/>
          <w:szCs w:val="18"/>
        </w:rPr>
        <w:footnoteRef/>
      </w:r>
      <w:r w:rsidRPr="00E416DC">
        <w:rPr>
          <w:rFonts w:asciiTheme="minorHAnsi" w:hAnsiTheme="minorHAnsi" w:cstheme="minorHAnsi"/>
          <w:sz w:val="18"/>
          <w:szCs w:val="18"/>
        </w:rPr>
        <w:t xml:space="preserve"> </w:t>
      </w:r>
      <w:r w:rsidRPr="00E416DC">
        <w:rPr>
          <w:rFonts w:asciiTheme="minorHAnsi" w:eastAsia="Arial" w:hAnsiTheme="minorHAnsi" w:cstheme="minorHAnsi"/>
          <w:sz w:val="18"/>
          <w:szCs w:val="18"/>
        </w:rPr>
        <w:t xml:space="preserve">The </w:t>
      </w:r>
      <w:hyperlink r:id="rId3" w:anchor="skillsshortagedriv">
        <w:r w:rsidRPr="00E416DC">
          <w:rPr>
            <w:rStyle w:val="Hyperlink"/>
            <w:rFonts w:asciiTheme="minorHAnsi" w:eastAsia="Arial" w:hAnsiTheme="minorHAnsi" w:cstheme="minorHAnsi"/>
            <w:color w:val="013D74"/>
            <w:sz w:val="18"/>
            <w:szCs w:val="18"/>
          </w:rPr>
          <w:t>JSA’s Skills Shortage Drivers</w:t>
        </w:r>
      </w:hyperlink>
      <w:r w:rsidRPr="00E416DC">
        <w:rPr>
          <w:rFonts w:asciiTheme="minorHAnsi" w:eastAsia="Arial" w:hAnsiTheme="minorHAnsi" w:cstheme="minorHAnsi"/>
          <w:sz w:val="18"/>
          <w:szCs w:val="18"/>
        </w:rPr>
        <w:t xml:space="preserve"> classifies skills shortages into four main drivers based on the likeliest cause of shortage in terms of occupational characteristics. The four categories are: Long Training Gap, Short Training Gap, Suitability Gap and Retention Gap.</w:t>
      </w:r>
    </w:p>
  </w:footnote>
  <w:footnote w:id="42">
    <w:p w14:paraId="70FAB937" w14:textId="7A06247D" w:rsidR="1B512C58" w:rsidRPr="004145FD" w:rsidRDefault="1B512C58" w:rsidP="1B512C58">
      <w:pPr>
        <w:rPr>
          <w:rFonts w:asciiTheme="majorHAnsi" w:eastAsia="Times New Roman" w:hAnsiTheme="majorHAnsi" w:cstheme="majorHAnsi"/>
          <w:sz w:val="18"/>
          <w:szCs w:val="18"/>
        </w:rPr>
      </w:pPr>
      <w:r w:rsidRPr="00054405">
        <w:rPr>
          <w:rFonts w:asciiTheme="majorHAnsi" w:hAnsiTheme="majorHAnsi" w:cstheme="majorHAnsi"/>
          <w:sz w:val="18"/>
          <w:szCs w:val="18"/>
        </w:rPr>
        <w:footnoteRef/>
      </w:r>
      <w:r w:rsidRPr="004145FD">
        <w:rPr>
          <w:rFonts w:asciiTheme="majorHAnsi" w:hAnsiTheme="majorHAnsi" w:cstheme="majorHAnsi"/>
          <w:sz w:val="18"/>
          <w:szCs w:val="18"/>
        </w:rPr>
        <w:t xml:space="preserve"> </w:t>
      </w:r>
      <w:r w:rsidRPr="004145FD">
        <w:rPr>
          <w:rFonts w:asciiTheme="majorHAnsi" w:eastAsia="Arial" w:hAnsiTheme="majorHAnsi" w:cstheme="majorHAnsi"/>
          <w:sz w:val="18"/>
          <w:szCs w:val="18"/>
        </w:rPr>
        <w:t xml:space="preserve">The </w:t>
      </w:r>
      <w:hyperlink r:id="rId4" w:anchor="skillsshortagedriv">
        <w:r w:rsidRPr="004145FD">
          <w:rPr>
            <w:rStyle w:val="Hyperlink"/>
            <w:rFonts w:asciiTheme="majorHAnsi" w:eastAsia="Arial" w:hAnsiTheme="majorHAnsi" w:cstheme="majorHAnsi"/>
            <w:color w:val="013D74"/>
            <w:sz w:val="18"/>
            <w:szCs w:val="18"/>
          </w:rPr>
          <w:t>JSA’s Skills Shortage Drivers</w:t>
        </w:r>
      </w:hyperlink>
      <w:r w:rsidRPr="004145FD">
        <w:rPr>
          <w:rFonts w:asciiTheme="majorHAnsi" w:eastAsia="Arial" w:hAnsiTheme="majorHAnsi" w:cstheme="majorHAnsi"/>
          <w:sz w:val="18"/>
          <w:szCs w:val="18"/>
        </w:rPr>
        <w:t xml:space="preserve"> classifies skills shortages into four main drivers based on the likeliest cause of shortage in terms of occupational characteristics. The four categories are: Long Training Gap, Short Training Gap, Suitability Gap and Retention Gap</w:t>
      </w:r>
      <w:r w:rsidRPr="004145FD">
        <w:rPr>
          <w:rFonts w:asciiTheme="majorHAnsi" w:eastAsia="Calibri" w:hAnsiTheme="majorHAnsi" w:cstheme="majorHAnsi"/>
          <w:sz w:val="18"/>
          <w:szCs w:val="18"/>
        </w:rPr>
        <w:t>.</w:t>
      </w:r>
    </w:p>
  </w:footnote>
  <w:footnote w:id="43">
    <w:p w14:paraId="2FDDD81F" w14:textId="6F77586E" w:rsidR="00D86BAF" w:rsidRDefault="00D86BAF" w:rsidP="665D8B29">
      <w:pPr>
        <w:rPr>
          <w:rFonts w:eastAsia="Arial" w:cs="Arial"/>
          <w:sz w:val="18"/>
          <w:szCs w:val="18"/>
        </w:rPr>
      </w:pPr>
      <w:r w:rsidRPr="707F378D">
        <w:rPr>
          <w:rFonts w:asciiTheme="majorHAnsi" w:hAnsiTheme="majorHAnsi" w:cstheme="majorBidi"/>
          <w:sz w:val="18"/>
          <w:szCs w:val="18"/>
        </w:rPr>
        <w:footnoteRef/>
      </w:r>
      <w:r w:rsidRPr="707F378D">
        <w:rPr>
          <w:rFonts w:asciiTheme="majorHAnsi" w:hAnsiTheme="majorHAnsi" w:cstheme="majorBidi"/>
          <w:sz w:val="18"/>
          <w:szCs w:val="18"/>
        </w:rPr>
        <w:t xml:space="preserve"> </w:t>
      </w:r>
      <w:r w:rsidRPr="665D8B29">
        <w:rPr>
          <w:rFonts w:eastAsia="Arial" w:cs="Arial"/>
          <w:sz w:val="18"/>
          <w:szCs w:val="18"/>
        </w:rPr>
        <w:t xml:space="preserve">In terms of employment, NERO </w:t>
      </w:r>
      <w:r w:rsidR="707F378D" w:rsidRPr="665D8B29">
        <w:rPr>
          <w:rFonts w:eastAsia="Arial" w:cs="Arial"/>
          <w:sz w:val="18"/>
          <w:szCs w:val="18"/>
        </w:rPr>
        <w:t>estimates</w:t>
      </w:r>
      <w:r w:rsidRPr="665D8B29">
        <w:rPr>
          <w:rFonts w:eastAsia="Arial" w:cs="Arial"/>
          <w:sz w:val="18"/>
          <w:szCs w:val="18"/>
        </w:rPr>
        <w:t xml:space="preserve"> 2</w:t>
      </w:r>
      <w:r w:rsidR="00014047">
        <w:rPr>
          <w:rFonts w:eastAsia="Arial" w:cs="Arial"/>
          <w:sz w:val="18"/>
          <w:szCs w:val="18"/>
        </w:rPr>
        <w:t>3</w:t>
      </w:r>
      <w:r w:rsidRPr="665D8B29">
        <w:rPr>
          <w:rFonts w:eastAsia="Arial" w:cs="Arial"/>
          <w:sz w:val="18"/>
          <w:szCs w:val="18"/>
        </w:rPr>
        <w:t>,</w:t>
      </w:r>
      <w:r w:rsidR="00014047">
        <w:rPr>
          <w:rFonts w:eastAsia="Arial" w:cs="Arial"/>
          <w:sz w:val="18"/>
          <w:szCs w:val="18"/>
        </w:rPr>
        <w:t>525</w:t>
      </w:r>
      <w:r w:rsidRPr="665D8B29">
        <w:rPr>
          <w:rFonts w:eastAsia="Arial" w:cs="Arial"/>
          <w:sz w:val="18"/>
          <w:szCs w:val="18"/>
        </w:rPr>
        <w:t xml:space="preserve"> General Practitioners and Resident Medical Officers </w:t>
      </w:r>
      <w:r w:rsidR="1F392A7B" w:rsidRPr="665D8B29">
        <w:rPr>
          <w:rFonts w:eastAsia="Arial" w:cs="Arial"/>
          <w:sz w:val="18"/>
          <w:szCs w:val="18"/>
        </w:rPr>
        <w:t xml:space="preserve">were </w:t>
      </w:r>
      <w:r w:rsidRPr="665D8B29">
        <w:rPr>
          <w:rFonts w:eastAsia="Arial" w:cs="Arial"/>
          <w:sz w:val="18"/>
          <w:szCs w:val="18"/>
        </w:rPr>
        <w:t xml:space="preserve">working in regional Australia as of </w:t>
      </w:r>
      <w:r w:rsidR="00B86089">
        <w:rPr>
          <w:rFonts w:eastAsia="Arial" w:cs="Arial"/>
          <w:sz w:val="18"/>
          <w:szCs w:val="18"/>
        </w:rPr>
        <w:t>J</w:t>
      </w:r>
      <w:r w:rsidR="00CF711E">
        <w:rPr>
          <w:rFonts w:eastAsia="Arial" w:cs="Arial"/>
          <w:sz w:val="18"/>
          <w:szCs w:val="18"/>
        </w:rPr>
        <w:t>uly</w:t>
      </w:r>
      <w:r w:rsidR="00CF711E" w:rsidRPr="665D8B29">
        <w:rPr>
          <w:rFonts w:eastAsia="Arial" w:cs="Arial"/>
          <w:sz w:val="18"/>
          <w:szCs w:val="18"/>
        </w:rPr>
        <w:t xml:space="preserve"> </w:t>
      </w:r>
      <w:r w:rsidRPr="665D8B29">
        <w:rPr>
          <w:rFonts w:eastAsia="Arial" w:cs="Arial"/>
          <w:sz w:val="18"/>
          <w:szCs w:val="18"/>
        </w:rPr>
        <w:t>2024.</w:t>
      </w:r>
    </w:p>
  </w:footnote>
  <w:footnote w:id="44">
    <w:p w14:paraId="0C320579" w14:textId="34297D82" w:rsidR="00477952" w:rsidRDefault="00477952" w:rsidP="00477952">
      <w:pPr>
        <w:rPr>
          <w:rFonts w:eastAsia="Times New Roman"/>
        </w:rPr>
      </w:pPr>
      <w:r w:rsidRPr="004D6628">
        <w:rPr>
          <w:rFonts w:asciiTheme="majorHAnsi" w:hAnsiTheme="majorHAnsi" w:cstheme="majorHAnsi"/>
          <w:sz w:val="18"/>
          <w:szCs w:val="18"/>
        </w:rPr>
        <w:footnoteRef/>
      </w:r>
      <w:r w:rsidRPr="004D6628">
        <w:rPr>
          <w:rFonts w:asciiTheme="majorHAnsi" w:hAnsiTheme="majorHAnsi" w:cstheme="majorHAnsi"/>
          <w:sz w:val="18"/>
          <w:szCs w:val="18"/>
        </w:rPr>
        <w:t xml:space="preserve"> </w:t>
      </w:r>
      <w:r w:rsidRPr="00901A26">
        <w:rPr>
          <w:rFonts w:eastAsia="Arial" w:cs="Arial"/>
          <w:i/>
          <w:iCs/>
          <w:sz w:val="18"/>
          <w:szCs w:val="18"/>
        </w:rPr>
        <w:t>Regional Jobs 2022: The Big Skills Challenge</w:t>
      </w:r>
      <w:r w:rsidRPr="004C75F1">
        <w:rPr>
          <w:rFonts w:eastAsia="Arial" w:cs="Arial"/>
          <w:sz w:val="18"/>
          <w:szCs w:val="18"/>
        </w:rPr>
        <w:t>, Regional Australia Institute Report, May</w:t>
      </w:r>
      <w:r w:rsidRPr="5DE79E94">
        <w:rPr>
          <w:rFonts w:eastAsia="Arial" w:cs="Arial"/>
          <w:sz w:val="18"/>
          <w:szCs w:val="18"/>
        </w:rPr>
        <w:t xml:space="preserve"> 2023.</w:t>
      </w:r>
    </w:p>
  </w:footnote>
  <w:footnote w:id="45">
    <w:p w14:paraId="4889F235" w14:textId="77777777" w:rsidR="007A5032" w:rsidRPr="004C75F1" w:rsidRDefault="007A5032" w:rsidP="007A5032">
      <w:pPr>
        <w:pStyle w:val="FootnoteText"/>
        <w:spacing w:after="0"/>
        <w:rPr>
          <w:sz w:val="18"/>
          <w:szCs w:val="18"/>
        </w:rPr>
      </w:pPr>
      <w:r w:rsidRPr="00D1390C">
        <w:rPr>
          <w:rStyle w:val="FootnoteReference"/>
          <w:rFonts w:asciiTheme="minorHAnsi" w:hAnsiTheme="minorHAnsi"/>
        </w:rPr>
        <w:footnoteRef/>
      </w:r>
      <w:r>
        <w:t xml:space="preserve"> </w:t>
      </w:r>
      <w:r w:rsidRPr="004C75F1">
        <w:rPr>
          <w:rFonts w:asciiTheme="minorHAnsi" w:hAnsiTheme="minorHAnsi"/>
          <w:sz w:val="18"/>
          <w:szCs w:val="18"/>
        </w:rPr>
        <w:t xml:space="preserve">Occupational gender segregation is the unequal distribution of male and female workers across and within job types. Segregation can be horizontal, with male and female workers concentrated in different sectors; and vertical, with gender disparities in job hierarchy.  </w:t>
      </w:r>
    </w:p>
  </w:footnote>
  <w:footnote w:id="46">
    <w:p w14:paraId="6F1DB4F1" w14:textId="77777777" w:rsidR="007A5032" w:rsidRPr="004C75F1" w:rsidRDefault="007A5032" w:rsidP="007A5032">
      <w:pPr>
        <w:pStyle w:val="FootnoteText"/>
        <w:spacing w:after="0"/>
        <w:rPr>
          <w:sz w:val="18"/>
          <w:szCs w:val="18"/>
        </w:rPr>
      </w:pPr>
      <w:r w:rsidRPr="004C75F1">
        <w:rPr>
          <w:rStyle w:val="FootnoteReference"/>
          <w:rFonts w:asciiTheme="minorHAnsi" w:hAnsiTheme="minorHAnsi"/>
          <w:sz w:val="18"/>
          <w:szCs w:val="18"/>
        </w:rPr>
        <w:footnoteRef/>
      </w:r>
      <w:r w:rsidRPr="004C75F1">
        <w:rPr>
          <w:sz w:val="18"/>
          <w:szCs w:val="18"/>
        </w:rPr>
        <w:t xml:space="preserve"> </w:t>
      </w:r>
      <w:r w:rsidRPr="004C75F1">
        <w:rPr>
          <w:rFonts w:asciiTheme="minorHAnsi" w:hAnsiTheme="minorHAnsi"/>
          <w:sz w:val="18"/>
          <w:szCs w:val="18"/>
        </w:rPr>
        <w:t>Lind &amp; Colquhoun (2021).</w:t>
      </w:r>
      <w:r w:rsidRPr="004C75F1">
        <w:rPr>
          <w:sz w:val="18"/>
          <w:szCs w:val="18"/>
        </w:rPr>
        <w:t xml:space="preserve"> </w:t>
      </w:r>
    </w:p>
  </w:footnote>
  <w:footnote w:id="47">
    <w:p w14:paraId="61B36BA6" w14:textId="77777777" w:rsidR="007A5032" w:rsidRPr="004C75F1" w:rsidRDefault="007A5032" w:rsidP="007A5032">
      <w:pPr>
        <w:pStyle w:val="FootnoteText"/>
        <w:spacing w:after="0"/>
        <w:rPr>
          <w:sz w:val="18"/>
          <w:szCs w:val="18"/>
        </w:rPr>
      </w:pPr>
      <w:r w:rsidRPr="00D1390C">
        <w:rPr>
          <w:rStyle w:val="FootnoteReference"/>
          <w:rFonts w:asciiTheme="minorHAnsi" w:hAnsiTheme="minorHAnsi"/>
        </w:rPr>
        <w:footnoteRef/>
      </w:r>
      <w:r>
        <w:t xml:space="preserve"> </w:t>
      </w:r>
      <w:r w:rsidRPr="004C75F1">
        <w:rPr>
          <w:rFonts w:asciiTheme="minorHAnsi" w:hAnsiTheme="minorHAnsi"/>
          <w:sz w:val="18"/>
          <w:szCs w:val="18"/>
        </w:rPr>
        <w:t>Lind &amp; Colquhoun (2021).</w:t>
      </w:r>
      <w:r w:rsidRPr="004C75F1">
        <w:rPr>
          <w:sz w:val="18"/>
          <w:szCs w:val="18"/>
        </w:rPr>
        <w:t xml:space="preserve"> </w:t>
      </w:r>
    </w:p>
  </w:footnote>
  <w:footnote w:id="48">
    <w:p w14:paraId="092AE926" w14:textId="77777777" w:rsidR="00530D74" w:rsidRPr="00A07EE4" w:rsidRDefault="00530D74" w:rsidP="00096427">
      <w:pPr>
        <w:pStyle w:val="FootnoteText"/>
        <w:rPr>
          <w:rFonts w:asciiTheme="majorHAnsi" w:hAnsiTheme="majorHAnsi" w:cstheme="majorHAnsi"/>
          <w:sz w:val="18"/>
          <w:szCs w:val="18"/>
        </w:rPr>
      </w:pPr>
      <w:r w:rsidRPr="00A07EE4">
        <w:rPr>
          <w:rStyle w:val="FootnoteReference"/>
          <w:rFonts w:asciiTheme="majorHAnsi" w:hAnsiTheme="majorHAnsi" w:cstheme="majorHAnsi"/>
          <w:sz w:val="18"/>
          <w:szCs w:val="18"/>
        </w:rPr>
        <w:footnoteRef/>
      </w:r>
      <w:r w:rsidRPr="00A07EE4">
        <w:rPr>
          <w:rFonts w:asciiTheme="majorHAnsi" w:hAnsiTheme="majorHAnsi" w:cstheme="majorHAnsi"/>
          <w:sz w:val="18"/>
          <w:szCs w:val="18"/>
        </w:rPr>
        <w:t xml:space="preserve"> The Annual Jobs and Skills Report 2023 describes how these three core pillars of the national skills system operate within a broader jobs and skills ecosystem which includes, for example, the school system, informal, unaccredited and industry-based training, the employment services system and workplace relations frameworks (page 10).</w:t>
      </w:r>
    </w:p>
  </w:footnote>
  <w:footnote w:id="49">
    <w:p w14:paraId="78C3E195" w14:textId="77777777" w:rsidR="00253F48" w:rsidRPr="0028307A" w:rsidRDefault="00253F48" w:rsidP="00253F48">
      <w:pPr>
        <w:pStyle w:val="FootnoteText"/>
        <w:rPr>
          <w:rFonts w:asciiTheme="minorHAnsi" w:hAnsiTheme="minorHAnsi" w:cstheme="minorHAnsi"/>
          <w:sz w:val="18"/>
          <w:szCs w:val="18"/>
        </w:rPr>
      </w:pPr>
      <w:r w:rsidRPr="002E2A2C">
        <w:rPr>
          <w:rStyle w:val="FootnoteReference"/>
          <w:rFonts w:asciiTheme="minorHAnsi" w:hAnsiTheme="minorHAnsi" w:cstheme="minorHAnsi"/>
          <w:sz w:val="18"/>
          <w:szCs w:val="18"/>
        </w:rPr>
        <w:footnoteRef/>
      </w:r>
      <w:r w:rsidRPr="002E2A2C">
        <w:rPr>
          <w:rFonts w:asciiTheme="minorHAnsi" w:hAnsiTheme="minorHAnsi" w:cstheme="minorHAnsi"/>
          <w:sz w:val="18"/>
          <w:szCs w:val="18"/>
        </w:rPr>
        <w:t xml:space="preserve"> </w:t>
      </w:r>
      <w:hyperlink r:id="rId5">
        <w:r w:rsidRPr="0028307A">
          <w:rPr>
            <w:rStyle w:val="Hyperlink"/>
            <w:rFonts w:asciiTheme="minorHAnsi" w:hAnsiTheme="minorHAnsi" w:cstheme="minorHAnsi"/>
            <w:sz w:val="18"/>
            <w:szCs w:val="18"/>
          </w:rPr>
          <w:t>Australian Universities Accord Final Report - Department of Education 2024</w:t>
        </w:r>
      </w:hyperlink>
    </w:p>
  </w:footnote>
  <w:footnote w:id="50">
    <w:p w14:paraId="0DB1F742" w14:textId="77777777" w:rsidR="00253F48" w:rsidRDefault="00253F48" w:rsidP="00253F48">
      <w:pPr>
        <w:pStyle w:val="FootnoteText"/>
      </w:pPr>
      <w:r w:rsidRPr="0028307A">
        <w:rPr>
          <w:rStyle w:val="FootnoteReference"/>
          <w:rFonts w:asciiTheme="minorHAnsi" w:hAnsiTheme="minorHAnsi" w:cstheme="minorHAnsi"/>
          <w:sz w:val="18"/>
          <w:szCs w:val="18"/>
        </w:rPr>
        <w:footnoteRef/>
      </w:r>
      <w:r w:rsidRPr="0028307A">
        <w:rPr>
          <w:rFonts w:asciiTheme="minorHAnsi" w:hAnsiTheme="minorHAnsi" w:cstheme="minorHAnsi"/>
          <w:sz w:val="18"/>
          <w:szCs w:val="18"/>
        </w:rPr>
        <w:t xml:space="preserve"> </w:t>
      </w:r>
      <w:hyperlink r:id="rId6">
        <w:r w:rsidRPr="0028307A">
          <w:rPr>
            <w:rStyle w:val="Hyperlink"/>
            <w:rFonts w:asciiTheme="minorHAnsi" w:hAnsiTheme="minorHAnsi" w:cstheme="minorHAnsi"/>
            <w:sz w:val="18"/>
            <w:szCs w:val="18"/>
          </w:rPr>
          <w:t>Australian Universities Accord Final Report - Department of Education 2024</w:t>
        </w:r>
      </w:hyperlink>
    </w:p>
  </w:footnote>
  <w:footnote w:id="51">
    <w:p w14:paraId="2944D25C" w14:textId="104B0FAD" w:rsidR="00A52673" w:rsidRDefault="00A52673" w:rsidP="00A52673">
      <w:pPr>
        <w:pStyle w:val="FootnoteText"/>
      </w:pPr>
      <w:r w:rsidRPr="0028307A">
        <w:rPr>
          <w:rStyle w:val="FootnoteReference"/>
          <w:rFonts w:asciiTheme="minorHAnsi" w:hAnsiTheme="minorHAnsi" w:cstheme="minorHAnsi"/>
          <w:sz w:val="18"/>
          <w:szCs w:val="18"/>
        </w:rPr>
        <w:footnoteRef/>
      </w:r>
      <w:r w:rsidRPr="0028307A">
        <w:rPr>
          <w:rFonts w:asciiTheme="minorHAnsi" w:hAnsiTheme="minorHAnsi" w:cstheme="minorHAnsi"/>
          <w:sz w:val="18"/>
          <w:szCs w:val="18"/>
        </w:rPr>
        <w:t xml:space="preserve"> </w:t>
      </w:r>
      <w:hyperlink r:id="rId7">
        <w:r w:rsidRPr="0028307A">
          <w:rPr>
            <w:rStyle w:val="Hyperlink"/>
            <w:rFonts w:asciiTheme="minorHAnsi" w:hAnsiTheme="minorHAnsi" w:cstheme="minorHAnsi"/>
            <w:sz w:val="18"/>
            <w:szCs w:val="18"/>
          </w:rPr>
          <w:t>A</w:t>
        </w:r>
        <w:r w:rsidR="008E65E8">
          <w:rPr>
            <w:rStyle w:val="Hyperlink"/>
            <w:rFonts w:asciiTheme="minorHAnsi" w:hAnsiTheme="minorHAnsi" w:cstheme="minorHAnsi"/>
            <w:sz w:val="18"/>
            <w:szCs w:val="18"/>
          </w:rPr>
          <w:t xml:space="preserve">ustralian </w:t>
        </w:r>
        <w:r>
          <w:rPr>
            <w:rStyle w:val="Hyperlink"/>
            <w:rFonts w:asciiTheme="minorHAnsi" w:hAnsiTheme="minorHAnsi" w:cstheme="minorHAnsi"/>
            <w:sz w:val="18"/>
            <w:szCs w:val="18"/>
          </w:rPr>
          <w:t>B</w:t>
        </w:r>
        <w:r w:rsidR="008E65E8">
          <w:rPr>
            <w:rStyle w:val="Hyperlink"/>
            <w:rFonts w:asciiTheme="minorHAnsi" w:hAnsiTheme="minorHAnsi" w:cstheme="minorHAnsi"/>
            <w:sz w:val="18"/>
            <w:szCs w:val="18"/>
          </w:rPr>
          <w:t xml:space="preserve">ureau of </w:t>
        </w:r>
        <w:r>
          <w:rPr>
            <w:rStyle w:val="Hyperlink"/>
            <w:rFonts w:asciiTheme="minorHAnsi" w:hAnsiTheme="minorHAnsi" w:cstheme="minorHAnsi"/>
            <w:sz w:val="18"/>
            <w:szCs w:val="18"/>
          </w:rPr>
          <w:t>S</w:t>
        </w:r>
        <w:r w:rsidR="008E65E8">
          <w:rPr>
            <w:rStyle w:val="Hyperlink"/>
            <w:rFonts w:asciiTheme="minorHAnsi" w:hAnsiTheme="minorHAnsi" w:cstheme="minorHAnsi"/>
            <w:sz w:val="18"/>
            <w:szCs w:val="18"/>
          </w:rPr>
          <w:t>tatistics</w:t>
        </w:r>
        <w:r>
          <w:rPr>
            <w:rStyle w:val="Hyperlink"/>
            <w:rFonts w:asciiTheme="minorHAnsi" w:hAnsiTheme="minorHAnsi" w:cstheme="minorHAnsi"/>
            <w:sz w:val="18"/>
            <w:szCs w:val="18"/>
          </w:rPr>
          <w:t>, Survey of Education and Work, May 2023</w:t>
        </w:r>
        <w:r w:rsidR="002E2A2C">
          <w:rPr>
            <w:rStyle w:val="Hyperlink"/>
            <w:rFonts w:asciiTheme="minorHAnsi" w:hAnsiTheme="minorHAnsi" w:cstheme="minorHAnsi"/>
            <w:sz w:val="18"/>
            <w:szCs w:val="18"/>
          </w:rPr>
          <w:t>.</w:t>
        </w:r>
      </w:hyperlink>
      <w:r w:rsidR="002E2A2C">
        <w:rPr>
          <w:rStyle w:val="Hyperlink"/>
          <w:rFonts w:asciiTheme="minorHAnsi" w:hAnsiTheme="minorHAnsi" w:cstheme="minorHAnsi"/>
          <w:sz w:val="18"/>
          <w:szCs w:val="18"/>
        </w:rPr>
        <w:t xml:space="preserve">  </w:t>
      </w:r>
    </w:p>
  </w:footnote>
  <w:footnote w:id="52">
    <w:p w14:paraId="40ADCECC" w14:textId="77777777" w:rsidR="007402E0" w:rsidRPr="0028307A" w:rsidRDefault="007402E0" w:rsidP="007402E0">
      <w:pPr>
        <w:pStyle w:val="FootnoteText"/>
        <w:rPr>
          <w:rFonts w:asciiTheme="minorHAnsi" w:hAnsiTheme="minorHAnsi" w:cstheme="minorHAnsi"/>
          <w:sz w:val="18"/>
          <w:szCs w:val="18"/>
        </w:rPr>
      </w:pPr>
      <w:r w:rsidRPr="009B5AF3">
        <w:rPr>
          <w:rStyle w:val="FootnoteReference"/>
          <w:rFonts w:asciiTheme="minorHAnsi" w:hAnsiTheme="minorHAnsi" w:cstheme="minorHAnsi"/>
          <w:sz w:val="18"/>
          <w:szCs w:val="18"/>
        </w:rPr>
        <w:footnoteRef/>
      </w:r>
      <w:r w:rsidRPr="009B5AF3">
        <w:rPr>
          <w:rFonts w:asciiTheme="minorHAnsi" w:hAnsiTheme="minorHAnsi" w:cstheme="minorHAnsi"/>
          <w:sz w:val="18"/>
          <w:szCs w:val="18"/>
        </w:rPr>
        <w:t xml:space="preserve"> </w:t>
      </w:r>
      <w:r w:rsidRPr="0028307A">
        <w:rPr>
          <w:rFonts w:asciiTheme="minorHAnsi" w:hAnsiTheme="minorHAnsi" w:cstheme="minorHAnsi"/>
          <w:sz w:val="18"/>
          <w:szCs w:val="18"/>
        </w:rPr>
        <w:t>Australian Bureau of Statistics, Education and Work Australia, May 2023</w:t>
      </w:r>
    </w:p>
  </w:footnote>
  <w:footnote w:id="53">
    <w:p w14:paraId="14A2B65C" w14:textId="77777777" w:rsidR="007402E0" w:rsidRPr="007402E0" w:rsidRDefault="007402E0" w:rsidP="007402E0">
      <w:pPr>
        <w:pStyle w:val="FootnoteText"/>
        <w:rPr>
          <w:rFonts w:asciiTheme="minorHAnsi" w:hAnsiTheme="minorHAnsi" w:cstheme="minorHAnsi"/>
          <w:sz w:val="18"/>
          <w:szCs w:val="18"/>
        </w:rPr>
      </w:pPr>
      <w:r w:rsidRPr="00B27743">
        <w:rPr>
          <w:rStyle w:val="FootnoteReference"/>
          <w:rFonts w:asciiTheme="minorHAnsi" w:hAnsiTheme="minorHAnsi" w:cstheme="minorHAnsi"/>
          <w:sz w:val="18"/>
          <w:szCs w:val="18"/>
        </w:rPr>
        <w:footnoteRef/>
      </w:r>
      <w:r w:rsidRPr="00B27743">
        <w:rPr>
          <w:rFonts w:asciiTheme="minorHAnsi" w:hAnsiTheme="minorHAnsi" w:cstheme="minorHAnsi"/>
          <w:sz w:val="18"/>
          <w:szCs w:val="18"/>
        </w:rPr>
        <w:t xml:space="preserve"> Productivity Commission, </w:t>
      </w:r>
      <w:r w:rsidRPr="007402E0">
        <w:rPr>
          <w:rFonts w:asciiTheme="minorHAnsi" w:hAnsiTheme="minorHAnsi" w:cstheme="minorHAnsi"/>
          <w:sz w:val="18"/>
          <w:szCs w:val="18"/>
        </w:rPr>
        <w:t>‘</w:t>
      </w:r>
      <w:r w:rsidRPr="00901A26">
        <w:rPr>
          <w:rFonts w:asciiTheme="minorHAnsi" w:hAnsiTheme="minorHAnsi" w:cstheme="minorHAnsi"/>
          <w:i/>
          <w:iCs/>
          <w:sz w:val="18"/>
          <w:szCs w:val="18"/>
        </w:rPr>
        <w:t>The Demand Driven System: A University Report Card’</w:t>
      </w:r>
      <w:r w:rsidRPr="007402E0">
        <w:rPr>
          <w:rFonts w:asciiTheme="minorHAnsi" w:hAnsiTheme="minorHAnsi" w:cstheme="minorHAnsi"/>
          <w:sz w:val="18"/>
          <w:szCs w:val="18"/>
        </w:rPr>
        <w:t>, June 2019</w:t>
      </w:r>
    </w:p>
  </w:footnote>
  <w:footnote w:id="54">
    <w:p w14:paraId="413AA7C9" w14:textId="77777777" w:rsidR="007402E0" w:rsidRDefault="007402E0" w:rsidP="007402E0">
      <w:pPr>
        <w:pStyle w:val="FootnoteText"/>
      </w:pPr>
      <w:r w:rsidRPr="009B5AF3">
        <w:rPr>
          <w:rStyle w:val="FootnoteReference"/>
          <w:rFonts w:asciiTheme="minorHAnsi" w:hAnsiTheme="minorHAnsi" w:cstheme="minorHAnsi"/>
          <w:sz w:val="18"/>
          <w:szCs w:val="18"/>
        </w:rPr>
        <w:footnoteRef/>
      </w:r>
      <w:r w:rsidRPr="009B5AF3">
        <w:rPr>
          <w:rFonts w:asciiTheme="minorHAnsi" w:hAnsiTheme="minorHAnsi" w:cstheme="minorHAnsi"/>
          <w:sz w:val="18"/>
          <w:szCs w:val="18"/>
        </w:rPr>
        <w:t xml:space="preserve"> As measured by the OECD’s Programme for International Student Assessment (PISA).</w:t>
      </w:r>
    </w:p>
  </w:footnote>
  <w:footnote w:id="55">
    <w:p w14:paraId="0243A4FD" w14:textId="77777777" w:rsidR="007402E0" w:rsidRPr="009B5AF3" w:rsidRDefault="007402E0" w:rsidP="007402E0">
      <w:pPr>
        <w:pStyle w:val="FootnoteText"/>
        <w:rPr>
          <w:rFonts w:asciiTheme="minorHAnsi" w:hAnsiTheme="minorHAnsi" w:cstheme="minorHAnsi"/>
          <w:sz w:val="18"/>
          <w:szCs w:val="18"/>
        </w:rPr>
      </w:pPr>
      <w:r w:rsidRPr="009B5AF3">
        <w:rPr>
          <w:rStyle w:val="FootnoteReference"/>
          <w:rFonts w:asciiTheme="minorHAnsi" w:hAnsiTheme="minorHAnsi" w:cstheme="minorHAnsi"/>
          <w:sz w:val="18"/>
          <w:szCs w:val="18"/>
        </w:rPr>
        <w:footnoteRef/>
      </w:r>
      <w:r w:rsidRPr="009B5AF3">
        <w:rPr>
          <w:rFonts w:asciiTheme="minorHAnsi" w:hAnsiTheme="minorHAnsi" w:cstheme="minorHAnsi"/>
          <w:sz w:val="18"/>
          <w:szCs w:val="18"/>
        </w:rPr>
        <w:t xml:space="preserve"> </w:t>
      </w:r>
      <w:r w:rsidRPr="0069712F">
        <w:rPr>
          <w:rFonts w:asciiTheme="minorHAnsi" w:hAnsiTheme="minorHAnsi" w:cstheme="minorHAnsi"/>
          <w:sz w:val="18"/>
          <w:szCs w:val="18"/>
        </w:rPr>
        <w:t xml:space="preserve">Productivity Commission, </w:t>
      </w:r>
      <w:r w:rsidRPr="0069712F">
        <w:rPr>
          <w:rFonts w:asciiTheme="minorHAnsi" w:hAnsiTheme="minorHAnsi" w:cstheme="minorHAnsi"/>
          <w:i/>
          <w:iCs/>
          <w:sz w:val="18"/>
          <w:szCs w:val="18"/>
        </w:rPr>
        <w:t>‘The Demand Driven System: A University Report Card’</w:t>
      </w:r>
      <w:r w:rsidRPr="0069712F">
        <w:rPr>
          <w:rFonts w:asciiTheme="minorHAnsi" w:hAnsiTheme="minorHAnsi" w:cstheme="minorHAnsi"/>
          <w:sz w:val="18"/>
          <w:szCs w:val="18"/>
        </w:rPr>
        <w:t>,</w:t>
      </w:r>
      <w:r w:rsidRPr="0069712F">
        <w:rPr>
          <w:rFonts w:asciiTheme="minorHAnsi" w:hAnsiTheme="minorHAnsi" w:cstheme="minorHAnsi"/>
          <w:i/>
          <w:iCs/>
          <w:sz w:val="18"/>
          <w:szCs w:val="18"/>
        </w:rPr>
        <w:t xml:space="preserve"> </w:t>
      </w:r>
      <w:r w:rsidRPr="0069712F">
        <w:rPr>
          <w:rFonts w:asciiTheme="minorHAnsi" w:hAnsiTheme="minorHAnsi" w:cstheme="minorHAnsi"/>
          <w:sz w:val="18"/>
          <w:szCs w:val="18"/>
        </w:rPr>
        <w:t>June 2019</w:t>
      </w:r>
      <w:r>
        <w:rPr>
          <w:rFonts w:asciiTheme="minorHAnsi" w:hAnsiTheme="minorHAnsi" w:cstheme="minorHAnsi"/>
          <w:sz w:val="18"/>
          <w:szCs w:val="18"/>
        </w:rPr>
        <w:t>, page 12.</w:t>
      </w:r>
    </w:p>
  </w:footnote>
  <w:footnote w:id="56">
    <w:p w14:paraId="47CE8D5F" w14:textId="77777777" w:rsidR="00AE7E06" w:rsidRDefault="00AE7E06" w:rsidP="00AE7E06">
      <w:pPr>
        <w:pStyle w:val="FootnoteText"/>
      </w:pPr>
      <w:r w:rsidRPr="00A07EE4">
        <w:rPr>
          <w:rStyle w:val="FootnoteReference"/>
          <w:rFonts w:asciiTheme="majorHAnsi" w:hAnsiTheme="majorHAnsi" w:cstheme="majorHAnsi"/>
          <w:sz w:val="18"/>
          <w:szCs w:val="18"/>
        </w:rPr>
        <w:footnoteRef/>
      </w:r>
      <w:r w:rsidRPr="00A07EE4">
        <w:rPr>
          <w:rFonts w:asciiTheme="majorHAnsi" w:hAnsiTheme="majorHAnsi" w:cstheme="majorHAnsi"/>
          <w:sz w:val="18"/>
          <w:szCs w:val="18"/>
        </w:rPr>
        <w:t xml:space="preserve"> </w:t>
      </w:r>
      <w:hyperlink r:id="rId8" w:history="1">
        <w:r w:rsidRPr="00A07EE4">
          <w:rPr>
            <w:rStyle w:val="Hyperlink"/>
            <w:rFonts w:asciiTheme="majorHAnsi" w:hAnsiTheme="majorHAnsi" w:cstheme="majorHAnsi"/>
            <w:sz w:val="18"/>
            <w:szCs w:val="18"/>
          </w:rPr>
          <w:t>JSA Skills Priority List 2023</w:t>
        </w:r>
      </w:hyperlink>
    </w:p>
  </w:footnote>
  <w:footnote w:id="57">
    <w:p w14:paraId="05EC5F73" w14:textId="77777777" w:rsidR="00AE1E16" w:rsidRPr="00A07EE4" w:rsidRDefault="00AE1E16" w:rsidP="00AE1E16">
      <w:pPr>
        <w:pStyle w:val="FootnoteText"/>
        <w:rPr>
          <w:rFonts w:asciiTheme="majorHAnsi" w:hAnsiTheme="majorHAnsi" w:cstheme="majorHAnsi"/>
          <w:sz w:val="18"/>
          <w:szCs w:val="18"/>
        </w:rPr>
      </w:pPr>
      <w:r w:rsidRPr="00A07EE4">
        <w:rPr>
          <w:rStyle w:val="FootnoteReference"/>
          <w:rFonts w:asciiTheme="majorHAnsi" w:hAnsiTheme="majorHAnsi" w:cstheme="majorHAnsi"/>
          <w:sz w:val="18"/>
          <w:szCs w:val="18"/>
        </w:rPr>
        <w:footnoteRef/>
      </w:r>
      <w:r w:rsidRPr="00A07EE4">
        <w:rPr>
          <w:rFonts w:asciiTheme="majorHAnsi" w:hAnsiTheme="majorHAnsi" w:cstheme="majorHAnsi"/>
          <w:sz w:val="18"/>
          <w:szCs w:val="18"/>
        </w:rPr>
        <w:t xml:space="preserve"> </w:t>
      </w:r>
      <w:hyperlink r:id="rId9">
        <w:r w:rsidRPr="00A07EE4">
          <w:rPr>
            <w:rStyle w:val="Hyperlink"/>
            <w:rFonts w:asciiTheme="majorHAnsi" w:hAnsiTheme="majorHAnsi" w:cstheme="majorHAnsi"/>
            <w:sz w:val="18"/>
            <w:szCs w:val="18"/>
          </w:rPr>
          <w:t>Australian Universities Accord Final Report - Department of Education 2024</w:t>
        </w:r>
      </w:hyperlink>
    </w:p>
  </w:footnote>
  <w:footnote w:id="58">
    <w:p w14:paraId="408C6B45" w14:textId="2BA377E2" w:rsidR="00536E3D" w:rsidRPr="009B5AF3" w:rsidRDefault="00536E3D" w:rsidP="00926ADE">
      <w:pPr>
        <w:pStyle w:val="FootnoteText"/>
        <w:spacing w:after="0"/>
        <w:rPr>
          <w:rFonts w:asciiTheme="minorHAnsi" w:hAnsiTheme="minorHAnsi" w:cstheme="minorHAnsi"/>
          <w:sz w:val="18"/>
          <w:szCs w:val="18"/>
        </w:rPr>
      </w:pPr>
      <w:r w:rsidRPr="009B5AF3">
        <w:rPr>
          <w:rStyle w:val="FootnoteReference"/>
          <w:rFonts w:asciiTheme="minorHAnsi" w:hAnsiTheme="minorHAnsi" w:cstheme="minorHAnsi"/>
          <w:sz w:val="18"/>
          <w:szCs w:val="18"/>
        </w:rPr>
        <w:footnoteRef/>
      </w:r>
      <w:r w:rsidRPr="009B5AF3">
        <w:rPr>
          <w:rFonts w:asciiTheme="minorHAnsi" w:hAnsiTheme="minorHAnsi" w:cstheme="minorHAnsi"/>
          <w:sz w:val="18"/>
          <w:szCs w:val="18"/>
        </w:rPr>
        <w:t xml:space="preserve"> </w:t>
      </w:r>
      <w:r w:rsidR="004C12D1">
        <w:rPr>
          <w:rFonts w:asciiTheme="minorHAnsi" w:hAnsiTheme="minorHAnsi" w:cstheme="minorHAnsi"/>
          <w:sz w:val="18"/>
          <w:szCs w:val="18"/>
        </w:rPr>
        <w:t>Parliamentary Library</w:t>
      </w:r>
      <w:r w:rsidR="004C12D1" w:rsidRPr="009B5AF3">
        <w:rPr>
          <w:rFonts w:asciiTheme="minorHAnsi" w:hAnsiTheme="minorHAnsi" w:cstheme="minorHAnsi"/>
          <w:i/>
          <w:iCs/>
          <w:sz w:val="18"/>
          <w:szCs w:val="18"/>
        </w:rPr>
        <w:t>, ‘Regional and remote higher education: a quick guide’</w:t>
      </w:r>
      <w:r w:rsidR="004C12D1">
        <w:rPr>
          <w:rFonts w:asciiTheme="minorHAnsi" w:hAnsiTheme="minorHAnsi" w:cstheme="minorHAnsi"/>
          <w:sz w:val="18"/>
          <w:szCs w:val="18"/>
        </w:rPr>
        <w:t xml:space="preserve">, </w:t>
      </w:r>
      <w:r w:rsidR="00F4609B">
        <w:rPr>
          <w:rFonts w:asciiTheme="minorHAnsi" w:hAnsiTheme="minorHAnsi" w:cstheme="minorHAnsi"/>
          <w:sz w:val="18"/>
          <w:szCs w:val="18"/>
        </w:rPr>
        <w:t>Dr Hazel Ferguson</w:t>
      </w:r>
      <w:r w:rsidR="005F0CB8">
        <w:rPr>
          <w:rFonts w:asciiTheme="minorHAnsi" w:hAnsiTheme="minorHAnsi" w:cstheme="minorHAnsi"/>
          <w:sz w:val="18"/>
          <w:szCs w:val="18"/>
        </w:rPr>
        <w:t>, April 2022</w:t>
      </w:r>
      <w:r w:rsidR="00F37659">
        <w:rPr>
          <w:rFonts w:asciiTheme="minorHAnsi" w:hAnsiTheme="minorHAnsi" w:cstheme="minorHAnsi"/>
          <w:sz w:val="18"/>
          <w:szCs w:val="18"/>
        </w:rPr>
        <w:t xml:space="preserve">, </w:t>
      </w:r>
      <w:r w:rsidR="00931DBF">
        <w:rPr>
          <w:rFonts w:asciiTheme="minorHAnsi" w:hAnsiTheme="minorHAnsi" w:cstheme="minorHAnsi"/>
          <w:sz w:val="18"/>
          <w:szCs w:val="18"/>
        </w:rPr>
        <w:t xml:space="preserve">also </w:t>
      </w:r>
      <w:r w:rsidR="00F962D7">
        <w:rPr>
          <w:rFonts w:asciiTheme="minorHAnsi" w:hAnsiTheme="minorHAnsi" w:cstheme="minorHAnsi"/>
          <w:sz w:val="18"/>
          <w:szCs w:val="18"/>
        </w:rPr>
        <w:t>uses th</w:t>
      </w:r>
      <w:r w:rsidR="009E152F">
        <w:rPr>
          <w:rFonts w:asciiTheme="minorHAnsi" w:hAnsiTheme="minorHAnsi" w:cstheme="minorHAnsi"/>
          <w:sz w:val="18"/>
          <w:szCs w:val="18"/>
        </w:rPr>
        <w:t>is grouping of</w:t>
      </w:r>
      <w:r w:rsidR="00F962D7">
        <w:rPr>
          <w:rFonts w:asciiTheme="minorHAnsi" w:hAnsiTheme="minorHAnsi" w:cstheme="minorHAnsi"/>
          <w:sz w:val="18"/>
          <w:szCs w:val="18"/>
        </w:rPr>
        <w:t xml:space="preserve"> ten</w:t>
      </w:r>
      <w:r w:rsidR="009E152F">
        <w:rPr>
          <w:rFonts w:asciiTheme="minorHAnsi" w:hAnsiTheme="minorHAnsi" w:cstheme="minorHAnsi"/>
          <w:sz w:val="18"/>
          <w:szCs w:val="18"/>
        </w:rPr>
        <w:t xml:space="preserve"> </w:t>
      </w:r>
      <w:r w:rsidR="00F75868">
        <w:rPr>
          <w:rFonts w:asciiTheme="minorHAnsi" w:hAnsiTheme="minorHAnsi" w:cstheme="minorHAnsi"/>
          <w:sz w:val="18"/>
          <w:szCs w:val="18"/>
        </w:rPr>
        <w:t>regional universities</w:t>
      </w:r>
      <w:r w:rsidR="00704AA3">
        <w:rPr>
          <w:rFonts w:asciiTheme="minorHAnsi" w:hAnsiTheme="minorHAnsi" w:cstheme="minorHAnsi"/>
          <w:sz w:val="18"/>
          <w:szCs w:val="18"/>
        </w:rPr>
        <w:t xml:space="preserve">. </w:t>
      </w:r>
      <w:r w:rsidR="00343905">
        <w:rPr>
          <w:rFonts w:asciiTheme="minorHAnsi" w:hAnsiTheme="minorHAnsi" w:cstheme="minorHAnsi"/>
          <w:sz w:val="18"/>
          <w:szCs w:val="18"/>
        </w:rPr>
        <w:t>Note:</w:t>
      </w:r>
      <w:r w:rsidR="00F962D7">
        <w:rPr>
          <w:rFonts w:asciiTheme="minorHAnsi" w:hAnsiTheme="minorHAnsi" w:cstheme="minorHAnsi"/>
          <w:sz w:val="18"/>
          <w:szCs w:val="18"/>
        </w:rPr>
        <w:t xml:space="preserve"> </w:t>
      </w:r>
      <w:r w:rsidR="00343905" w:rsidRPr="00343905">
        <w:rPr>
          <w:rFonts w:asciiTheme="minorHAnsi" w:hAnsiTheme="minorHAnsi" w:cstheme="minorHAnsi"/>
          <w:sz w:val="18"/>
          <w:szCs w:val="18"/>
        </w:rPr>
        <w:t xml:space="preserve">Darwin and Hobart are classed as </w:t>
      </w:r>
      <w:r w:rsidR="00E600D4">
        <w:rPr>
          <w:rFonts w:asciiTheme="minorHAnsi" w:hAnsiTheme="minorHAnsi" w:cstheme="minorHAnsi"/>
          <w:sz w:val="18"/>
          <w:szCs w:val="18"/>
        </w:rPr>
        <w:t>‘regional’</w:t>
      </w:r>
      <w:r w:rsidR="00343905" w:rsidRPr="00343905">
        <w:rPr>
          <w:rFonts w:asciiTheme="minorHAnsi" w:hAnsiTheme="minorHAnsi" w:cstheme="minorHAnsi"/>
          <w:sz w:val="18"/>
          <w:szCs w:val="18"/>
        </w:rPr>
        <w:t xml:space="preserve"> </w:t>
      </w:r>
      <w:r w:rsidR="00E600D4">
        <w:rPr>
          <w:rFonts w:asciiTheme="minorHAnsi" w:hAnsiTheme="minorHAnsi" w:cstheme="minorHAnsi"/>
          <w:sz w:val="18"/>
          <w:szCs w:val="18"/>
        </w:rPr>
        <w:t xml:space="preserve">areas outside of the ‘major cities of Australia’ </w:t>
      </w:r>
      <w:r w:rsidR="00343905" w:rsidRPr="00343905">
        <w:rPr>
          <w:rFonts w:asciiTheme="minorHAnsi" w:hAnsiTheme="minorHAnsi" w:cstheme="minorHAnsi"/>
          <w:sz w:val="18"/>
          <w:szCs w:val="18"/>
        </w:rPr>
        <w:t xml:space="preserve">within the </w:t>
      </w:r>
      <w:r w:rsidR="00343905">
        <w:rPr>
          <w:rFonts w:asciiTheme="minorHAnsi" w:hAnsiTheme="minorHAnsi" w:cstheme="minorHAnsi"/>
          <w:sz w:val="18"/>
          <w:szCs w:val="18"/>
        </w:rPr>
        <w:t xml:space="preserve">ASGS </w:t>
      </w:r>
      <w:r w:rsidR="00343905" w:rsidRPr="00343905">
        <w:rPr>
          <w:rFonts w:asciiTheme="minorHAnsi" w:hAnsiTheme="minorHAnsi" w:cstheme="minorHAnsi"/>
          <w:sz w:val="18"/>
          <w:szCs w:val="18"/>
        </w:rPr>
        <w:t>remoteness structure</w:t>
      </w:r>
      <w:r w:rsidR="00343905">
        <w:rPr>
          <w:rFonts w:asciiTheme="minorHAnsi" w:hAnsiTheme="minorHAnsi" w:cstheme="minorHAnsi"/>
          <w:sz w:val="18"/>
          <w:szCs w:val="18"/>
        </w:rPr>
        <w:t xml:space="preserve"> (</w:t>
      </w:r>
      <w:r w:rsidR="007A39F7">
        <w:rPr>
          <w:rFonts w:asciiTheme="minorHAnsi" w:hAnsiTheme="minorHAnsi" w:cstheme="minorHAnsi"/>
          <w:sz w:val="18"/>
          <w:szCs w:val="18"/>
        </w:rPr>
        <w:t>see</w:t>
      </w:r>
      <w:r w:rsidR="00343905">
        <w:rPr>
          <w:rFonts w:asciiTheme="minorHAnsi" w:hAnsiTheme="minorHAnsi" w:cstheme="minorHAnsi"/>
          <w:sz w:val="18"/>
          <w:szCs w:val="18"/>
        </w:rPr>
        <w:t xml:space="preserve"> Appendix B)</w:t>
      </w:r>
      <w:r w:rsidR="00343905" w:rsidRPr="00343905">
        <w:rPr>
          <w:rFonts w:asciiTheme="minorHAnsi" w:hAnsiTheme="minorHAnsi" w:cstheme="minorHAnsi"/>
          <w:sz w:val="18"/>
          <w:szCs w:val="18"/>
        </w:rPr>
        <w:t>.</w:t>
      </w:r>
    </w:p>
  </w:footnote>
  <w:footnote w:id="59">
    <w:p w14:paraId="56B1B0B1" w14:textId="20685159" w:rsidR="00F76830" w:rsidRPr="00853454" w:rsidRDefault="00F76830" w:rsidP="002A37CA">
      <w:pPr>
        <w:pStyle w:val="FootnoteText"/>
        <w:rPr>
          <w:rFonts w:asciiTheme="minorHAnsi" w:hAnsiTheme="minorHAnsi" w:cstheme="minorHAnsi"/>
          <w:sz w:val="18"/>
          <w:szCs w:val="18"/>
        </w:rPr>
      </w:pPr>
      <w:r w:rsidRPr="00853454">
        <w:rPr>
          <w:rStyle w:val="FootnoteReference"/>
          <w:rFonts w:asciiTheme="minorHAnsi" w:hAnsiTheme="minorHAnsi" w:cstheme="minorHAnsi"/>
          <w:sz w:val="18"/>
          <w:szCs w:val="18"/>
        </w:rPr>
        <w:footnoteRef/>
      </w:r>
      <w:r w:rsidRPr="00853454">
        <w:rPr>
          <w:rFonts w:asciiTheme="minorHAnsi" w:hAnsiTheme="minorHAnsi" w:cstheme="minorHAnsi"/>
          <w:sz w:val="18"/>
          <w:szCs w:val="18"/>
        </w:rPr>
        <w:t xml:space="preserve"> </w:t>
      </w:r>
      <w:r w:rsidR="00A84BA8" w:rsidRPr="00853454">
        <w:rPr>
          <w:rFonts w:asciiTheme="minorHAnsi" w:hAnsiTheme="minorHAnsi" w:cstheme="minorHAnsi"/>
          <w:sz w:val="18"/>
          <w:szCs w:val="18"/>
        </w:rPr>
        <w:t>Country Education Foundation</w:t>
      </w:r>
      <w:r w:rsidR="005D37F5" w:rsidRPr="00853454">
        <w:rPr>
          <w:rFonts w:asciiTheme="minorHAnsi" w:hAnsiTheme="minorHAnsi" w:cstheme="minorHAnsi"/>
          <w:sz w:val="18"/>
          <w:szCs w:val="18"/>
        </w:rPr>
        <w:t xml:space="preserve"> of Australia, </w:t>
      </w:r>
      <w:hyperlink r:id="rId10" w:history="1">
        <w:r w:rsidR="005D37F5" w:rsidRPr="00853454">
          <w:rPr>
            <w:rStyle w:val="Hyperlink"/>
            <w:rFonts w:asciiTheme="minorHAnsi" w:hAnsiTheme="minorHAnsi" w:cstheme="minorHAnsi"/>
            <w:sz w:val="18"/>
            <w:szCs w:val="18"/>
          </w:rPr>
          <w:t xml:space="preserve">‘More than your ATAR, </w:t>
        </w:r>
        <w:r w:rsidR="000F775E" w:rsidRPr="00853454">
          <w:rPr>
            <w:rStyle w:val="Hyperlink"/>
            <w:rFonts w:asciiTheme="minorHAnsi" w:hAnsiTheme="minorHAnsi" w:cstheme="minorHAnsi"/>
            <w:sz w:val="18"/>
            <w:szCs w:val="18"/>
          </w:rPr>
          <w:t>Distance Study Options’</w:t>
        </w:r>
      </w:hyperlink>
    </w:p>
  </w:footnote>
  <w:footnote w:id="60">
    <w:p w14:paraId="37E1F8D6" w14:textId="14DDD5E0" w:rsidR="000F30B0" w:rsidRDefault="000F30B0" w:rsidP="002A37CA">
      <w:pPr>
        <w:pStyle w:val="FootnoteText"/>
      </w:pPr>
      <w:r w:rsidRPr="00853454">
        <w:rPr>
          <w:rStyle w:val="FootnoteReference"/>
          <w:rFonts w:asciiTheme="minorHAnsi" w:hAnsiTheme="minorHAnsi" w:cstheme="minorHAnsi"/>
          <w:sz w:val="18"/>
          <w:szCs w:val="18"/>
        </w:rPr>
        <w:footnoteRef/>
      </w:r>
      <w:r w:rsidRPr="00853454">
        <w:rPr>
          <w:rFonts w:asciiTheme="minorHAnsi" w:hAnsiTheme="minorHAnsi" w:cstheme="minorHAnsi"/>
          <w:sz w:val="18"/>
          <w:szCs w:val="18"/>
        </w:rPr>
        <w:t xml:space="preserve"> Department of Education, </w:t>
      </w:r>
      <w:r w:rsidR="00853454" w:rsidRPr="00901A26">
        <w:rPr>
          <w:rFonts w:asciiTheme="minorHAnsi" w:hAnsiTheme="minorHAnsi" w:cstheme="minorHAnsi"/>
          <w:i/>
          <w:iCs/>
          <w:sz w:val="18"/>
          <w:szCs w:val="18"/>
        </w:rPr>
        <w:t xml:space="preserve">2022 </w:t>
      </w:r>
      <w:r w:rsidRPr="00901A26">
        <w:rPr>
          <w:rFonts w:asciiTheme="minorHAnsi" w:hAnsiTheme="minorHAnsi" w:cstheme="minorHAnsi"/>
          <w:i/>
          <w:iCs/>
          <w:sz w:val="18"/>
          <w:szCs w:val="18"/>
        </w:rPr>
        <w:t>Higher Education Stat</w:t>
      </w:r>
      <w:r w:rsidR="00B70B13" w:rsidRPr="00901A26">
        <w:rPr>
          <w:rFonts w:asciiTheme="minorHAnsi" w:hAnsiTheme="minorHAnsi" w:cstheme="minorHAnsi"/>
          <w:i/>
          <w:iCs/>
          <w:sz w:val="18"/>
          <w:szCs w:val="18"/>
        </w:rPr>
        <w:t>istics</w:t>
      </w:r>
      <w:r w:rsidR="00853454" w:rsidRPr="00853454">
        <w:rPr>
          <w:rFonts w:asciiTheme="minorHAnsi" w:hAnsiTheme="minorHAnsi" w:cstheme="minorHAnsi"/>
          <w:sz w:val="18"/>
          <w:szCs w:val="18"/>
        </w:rPr>
        <w:t>, Student Data, Table 11.5</w:t>
      </w:r>
    </w:p>
  </w:footnote>
  <w:footnote w:id="61">
    <w:p w14:paraId="308DA378" w14:textId="77777777" w:rsidR="0092452D" w:rsidRPr="0028307A" w:rsidRDefault="0092452D" w:rsidP="00096427">
      <w:pPr>
        <w:pStyle w:val="FootnoteText"/>
        <w:rPr>
          <w:rFonts w:asciiTheme="minorHAnsi" w:hAnsiTheme="minorHAnsi" w:cstheme="minorHAnsi"/>
          <w:sz w:val="18"/>
          <w:szCs w:val="18"/>
        </w:rPr>
      </w:pPr>
      <w:r w:rsidRPr="0028307A">
        <w:rPr>
          <w:rStyle w:val="FootnoteReference"/>
          <w:rFonts w:asciiTheme="minorHAnsi" w:hAnsiTheme="minorHAnsi" w:cstheme="minorHAnsi"/>
          <w:sz w:val="18"/>
          <w:szCs w:val="18"/>
        </w:rPr>
        <w:footnoteRef/>
      </w:r>
      <w:r w:rsidRPr="0028307A">
        <w:rPr>
          <w:rFonts w:asciiTheme="minorHAnsi" w:hAnsiTheme="minorHAnsi" w:cstheme="minorHAnsi"/>
          <w:sz w:val="18"/>
          <w:szCs w:val="18"/>
        </w:rPr>
        <w:t xml:space="preserve"> </w:t>
      </w:r>
      <w:hyperlink r:id="rId11" w:history="1">
        <w:r w:rsidRPr="0028307A">
          <w:rPr>
            <w:rStyle w:val="Hyperlink"/>
            <w:rFonts w:asciiTheme="minorHAnsi" w:hAnsiTheme="minorHAnsi" w:cstheme="minorHAnsi"/>
            <w:sz w:val="18"/>
            <w:szCs w:val="18"/>
          </w:rPr>
          <w:t>Media Release- Minister’s Media Centre -10 new Study Hubs for regional Australia</w:t>
        </w:r>
      </w:hyperlink>
    </w:p>
  </w:footnote>
  <w:footnote w:id="62">
    <w:p w14:paraId="44C504DD" w14:textId="387DB721" w:rsidR="0092452D" w:rsidRPr="0028307A" w:rsidRDefault="007E0179" w:rsidP="00096427">
      <w:pPr>
        <w:pStyle w:val="FootnoteText"/>
        <w:rPr>
          <w:rFonts w:asciiTheme="minorHAnsi" w:hAnsiTheme="minorHAnsi" w:cstheme="minorHAnsi"/>
          <w:sz w:val="18"/>
          <w:szCs w:val="18"/>
        </w:rPr>
      </w:pPr>
      <w:r>
        <w:rPr>
          <w:rFonts w:asciiTheme="minorHAnsi" w:hAnsiTheme="minorHAnsi" w:cstheme="minorHAnsi"/>
          <w:sz w:val="18"/>
          <w:szCs w:val="18"/>
          <w:vertAlign w:val="superscript"/>
        </w:rPr>
        <w:t>61</w:t>
      </w:r>
      <w:r w:rsidR="0092452D" w:rsidRPr="0028307A">
        <w:rPr>
          <w:rFonts w:asciiTheme="minorHAnsi" w:hAnsiTheme="minorHAnsi" w:cstheme="minorHAnsi"/>
          <w:sz w:val="18"/>
          <w:szCs w:val="18"/>
          <w:vertAlign w:val="superscript"/>
        </w:rPr>
        <w:t xml:space="preserve"> </w:t>
      </w:r>
      <w:hyperlink r:id="rId12" w:history="1">
        <w:r w:rsidR="0092452D" w:rsidRPr="0028307A">
          <w:rPr>
            <w:rStyle w:val="Hyperlink"/>
            <w:rFonts w:asciiTheme="minorHAnsi" w:hAnsiTheme="minorHAnsi" w:cstheme="minorHAnsi"/>
            <w:sz w:val="18"/>
            <w:szCs w:val="18"/>
          </w:rPr>
          <w:t>Australian Universities Accord Final Report - Department of Education 2024</w:t>
        </w:r>
      </w:hyperlink>
      <w:r w:rsidR="0092452D" w:rsidRPr="0028307A">
        <w:rPr>
          <w:rFonts w:asciiTheme="minorHAnsi" w:hAnsiTheme="minorHAnsi" w:cstheme="minorHAnsi"/>
          <w:sz w:val="18"/>
          <w:szCs w:val="18"/>
        </w:rPr>
        <w:t xml:space="preserve"> (page 16).</w:t>
      </w:r>
    </w:p>
  </w:footnote>
  <w:footnote w:id="63">
    <w:p w14:paraId="3EC27C12" w14:textId="7FAF6DFF" w:rsidR="0092452D" w:rsidRDefault="0092452D" w:rsidP="0092452D">
      <w:pPr>
        <w:pStyle w:val="FootnoteText"/>
      </w:pPr>
      <w:r w:rsidRPr="0CF5B975">
        <w:rPr>
          <w:rStyle w:val="FootnoteReference"/>
          <w:rFonts w:asciiTheme="minorHAnsi" w:hAnsiTheme="minorHAnsi"/>
          <w:sz w:val="18"/>
          <w:szCs w:val="18"/>
        </w:rPr>
        <w:footnoteRef/>
      </w:r>
      <w:r w:rsidRPr="0CF5B975">
        <w:rPr>
          <w:rFonts w:asciiTheme="minorHAnsi" w:hAnsiTheme="minorHAnsi"/>
          <w:sz w:val="18"/>
          <w:szCs w:val="18"/>
        </w:rPr>
        <w:t xml:space="preserve"> </w:t>
      </w:r>
      <w:hyperlink r:id="rId13" w:history="1">
        <w:r w:rsidRPr="0CF5B975">
          <w:rPr>
            <w:rStyle w:val="Hyperlink"/>
            <w:rFonts w:asciiTheme="minorHAnsi" w:hAnsiTheme="minorHAnsi"/>
            <w:sz w:val="18"/>
            <w:szCs w:val="18"/>
          </w:rPr>
          <w:t>Media Release- Minister’s Media Centre -10 new Study Hubs for regional Australia</w:t>
        </w:r>
      </w:hyperlink>
      <w:r w:rsidRPr="0CF5B975">
        <w:rPr>
          <w:rFonts w:asciiTheme="minorHAnsi" w:hAnsiTheme="minorHAnsi"/>
          <w:sz w:val="18"/>
          <w:szCs w:val="18"/>
        </w:rPr>
        <w:t xml:space="preserve"> </w:t>
      </w:r>
    </w:p>
  </w:footnote>
  <w:footnote w:id="64">
    <w:p w14:paraId="3E16CB17" w14:textId="4C7ECBE7" w:rsidR="00BC0949" w:rsidRDefault="00BC0949">
      <w:pPr>
        <w:pStyle w:val="FootnoteText"/>
      </w:pPr>
      <w:r w:rsidRPr="00466153">
        <w:rPr>
          <w:rStyle w:val="FootnoteReference"/>
          <w:rFonts w:asciiTheme="minorHAnsi" w:hAnsiTheme="minorHAnsi" w:cstheme="minorHAnsi"/>
        </w:rPr>
        <w:footnoteRef/>
      </w:r>
      <w:r w:rsidRPr="00466153">
        <w:rPr>
          <w:rFonts w:asciiTheme="minorHAnsi" w:hAnsiTheme="minorHAnsi" w:cstheme="minorHAnsi"/>
        </w:rPr>
        <w:t xml:space="preserve"> </w:t>
      </w:r>
      <w:r>
        <w:rPr>
          <w:rFonts w:cs="Arial"/>
          <w:sz w:val="18"/>
          <w:szCs w:val="18"/>
        </w:rPr>
        <w:t xml:space="preserve">Department of Education </w:t>
      </w:r>
      <w:r w:rsidR="00FE4880">
        <w:rPr>
          <w:rFonts w:cs="Arial"/>
          <w:sz w:val="18"/>
          <w:szCs w:val="18"/>
        </w:rPr>
        <w:t>h</w:t>
      </w:r>
      <w:r>
        <w:rPr>
          <w:rFonts w:cs="Arial"/>
          <w:sz w:val="18"/>
          <w:szCs w:val="18"/>
        </w:rPr>
        <w:t xml:space="preserve">igher </w:t>
      </w:r>
      <w:r w:rsidR="00FE4880">
        <w:rPr>
          <w:rFonts w:cs="Arial"/>
          <w:sz w:val="18"/>
          <w:szCs w:val="18"/>
        </w:rPr>
        <w:t>e</w:t>
      </w:r>
      <w:r>
        <w:rPr>
          <w:rFonts w:cs="Arial"/>
          <w:sz w:val="18"/>
          <w:szCs w:val="18"/>
        </w:rPr>
        <w:t xml:space="preserve">ducation </w:t>
      </w:r>
      <w:r w:rsidR="00FE4880">
        <w:rPr>
          <w:rFonts w:cs="Arial"/>
          <w:sz w:val="18"/>
          <w:szCs w:val="18"/>
        </w:rPr>
        <w:t>s</w:t>
      </w:r>
      <w:r>
        <w:rPr>
          <w:rFonts w:cs="Arial"/>
          <w:sz w:val="18"/>
          <w:szCs w:val="18"/>
        </w:rPr>
        <w:t xml:space="preserve">tudent </w:t>
      </w:r>
      <w:r w:rsidR="00FE4880">
        <w:rPr>
          <w:rFonts w:cs="Arial"/>
          <w:sz w:val="18"/>
          <w:szCs w:val="18"/>
        </w:rPr>
        <w:t>d</w:t>
      </w:r>
      <w:r>
        <w:rPr>
          <w:rFonts w:cs="Arial"/>
          <w:sz w:val="18"/>
          <w:szCs w:val="18"/>
        </w:rPr>
        <w:t xml:space="preserve">ata cited </w:t>
      </w:r>
      <w:r w:rsidR="007D5672">
        <w:rPr>
          <w:rFonts w:cs="Arial"/>
          <w:sz w:val="18"/>
          <w:szCs w:val="18"/>
        </w:rPr>
        <w:t>in this section</w:t>
      </w:r>
      <w:r>
        <w:rPr>
          <w:rFonts w:cs="Arial"/>
          <w:sz w:val="18"/>
          <w:szCs w:val="18"/>
        </w:rPr>
        <w:t xml:space="preserve"> are based on the student’s permanent home address postcode and thus includes data on students that study at both regional and major city campuses. </w:t>
      </w:r>
      <w:hyperlink r:id="rId14" w:history="1">
        <w:r w:rsidRPr="00C33713">
          <w:rPr>
            <w:rStyle w:val="Hyperlink"/>
            <w:rFonts w:cs="Arial"/>
            <w:sz w:val="18"/>
            <w:szCs w:val="18"/>
          </w:rPr>
          <w:t>Grattan Institute research (page 55)</w:t>
        </w:r>
      </w:hyperlink>
      <w:r>
        <w:rPr>
          <w:rFonts w:cs="Arial"/>
          <w:sz w:val="18"/>
          <w:szCs w:val="18"/>
        </w:rPr>
        <w:t xml:space="preserve"> found guidance for students on what constitutes their permanent home address is not consistent across universities</w:t>
      </w:r>
      <w:r w:rsidR="007D5672">
        <w:rPr>
          <w:rFonts w:cs="Arial"/>
          <w:sz w:val="18"/>
          <w:szCs w:val="18"/>
        </w:rPr>
        <w:t>, however</w:t>
      </w:r>
      <w:r>
        <w:rPr>
          <w:rFonts w:cs="Arial"/>
          <w:sz w:val="18"/>
          <w:szCs w:val="18"/>
        </w:rPr>
        <w:t xml:space="preserve">.  </w:t>
      </w:r>
    </w:p>
  </w:footnote>
  <w:footnote w:id="65">
    <w:p w14:paraId="563B092A" w14:textId="77777777" w:rsidR="004420A3" w:rsidRPr="008943CF" w:rsidRDefault="004420A3" w:rsidP="004420A3">
      <w:pPr>
        <w:pStyle w:val="FootnoteText"/>
        <w:rPr>
          <w:rFonts w:asciiTheme="minorHAnsi" w:hAnsiTheme="minorHAnsi" w:cstheme="minorHAnsi"/>
          <w:sz w:val="18"/>
          <w:szCs w:val="18"/>
        </w:rPr>
      </w:pPr>
      <w:r w:rsidRPr="008943CF">
        <w:rPr>
          <w:rStyle w:val="FootnoteReference"/>
          <w:rFonts w:asciiTheme="minorHAnsi" w:hAnsiTheme="minorHAnsi" w:cstheme="minorHAnsi"/>
          <w:sz w:val="18"/>
          <w:szCs w:val="18"/>
        </w:rPr>
        <w:footnoteRef/>
      </w:r>
      <w:r w:rsidRPr="008943CF">
        <w:rPr>
          <w:rFonts w:asciiTheme="minorHAnsi" w:hAnsiTheme="minorHAnsi" w:cstheme="minorHAnsi"/>
          <w:sz w:val="18"/>
          <w:szCs w:val="18"/>
        </w:rPr>
        <w:t xml:space="preserve"> </w:t>
      </w:r>
      <w:hyperlink r:id="rId15" w:anchor=":~:text=Australian%20Government%20Response,Access%20Payment%20for%20regional%20students" w:history="1">
        <w:r w:rsidRPr="008943CF">
          <w:rPr>
            <w:rStyle w:val="Hyperlink"/>
            <w:rFonts w:asciiTheme="minorHAnsi" w:hAnsiTheme="minorHAnsi" w:cstheme="minorHAnsi"/>
            <w:sz w:val="18"/>
            <w:szCs w:val="18"/>
          </w:rPr>
          <w:t xml:space="preserve">National Regional, Rural and Remote Tertiary Education Strategy (The Napthine Review) 2019 </w:t>
        </w:r>
      </w:hyperlink>
    </w:p>
  </w:footnote>
  <w:footnote w:id="66">
    <w:p w14:paraId="44A71433" w14:textId="65B0C88F" w:rsidR="006C4C23" w:rsidRDefault="006C4C23">
      <w:pPr>
        <w:pStyle w:val="FootnoteText"/>
      </w:pPr>
      <w:r w:rsidRPr="008943CF">
        <w:rPr>
          <w:rStyle w:val="FootnoteReference"/>
          <w:rFonts w:asciiTheme="minorHAnsi" w:hAnsiTheme="minorHAnsi" w:cstheme="minorHAnsi"/>
          <w:sz w:val="18"/>
          <w:szCs w:val="18"/>
        </w:rPr>
        <w:footnoteRef/>
      </w:r>
      <w:r w:rsidRPr="008943CF">
        <w:rPr>
          <w:rFonts w:asciiTheme="minorHAnsi" w:hAnsiTheme="minorHAnsi" w:cstheme="minorHAnsi"/>
          <w:sz w:val="18"/>
          <w:szCs w:val="18"/>
        </w:rPr>
        <w:t xml:space="preserve"> </w:t>
      </w:r>
      <w:hyperlink r:id="rId16">
        <w:r w:rsidRPr="008943CF">
          <w:rPr>
            <w:rStyle w:val="Hyperlink"/>
            <w:rFonts w:asciiTheme="minorHAnsi" w:hAnsiTheme="minorHAnsi" w:cstheme="minorHAnsi"/>
            <w:sz w:val="18"/>
            <w:szCs w:val="18"/>
          </w:rPr>
          <w:t>Australian Universities Accord Fil Report - Department of Education 2024</w:t>
        </w:r>
      </w:hyperlink>
    </w:p>
  </w:footnote>
  <w:footnote w:id="67">
    <w:p w14:paraId="45A61E0A" w14:textId="0B5FA567" w:rsidR="00C57F02" w:rsidRPr="00C57F02" w:rsidRDefault="00C57F02">
      <w:pPr>
        <w:pStyle w:val="FootnoteText"/>
        <w:rPr>
          <w:rFonts w:asciiTheme="minorHAnsi" w:hAnsiTheme="minorHAnsi" w:cstheme="minorHAnsi"/>
          <w:sz w:val="18"/>
          <w:szCs w:val="18"/>
        </w:rPr>
      </w:pPr>
      <w:r w:rsidRPr="00C57F02">
        <w:rPr>
          <w:rStyle w:val="FootnoteReference"/>
          <w:rFonts w:asciiTheme="minorHAnsi" w:hAnsiTheme="minorHAnsi" w:cstheme="minorHAnsi"/>
          <w:sz w:val="18"/>
          <w:szCs w:val="18"/>
        </w:rPr>
        <w:footnoteRef/>
      </w:r>
      <w:r w:rsidRPr="00C57F02">
        <w:rPr>
          <w:rFonts w:asciiTheme="minorHAnsi" w:hAnsiTheme="minorHAnsi" w:cstheme="minorHAnsi"/>
          <w:sz w:val="18"/>
          <w:szCs w:val="18"/>
        </w:rPr>
        <w:t xml:space="preserve"> </w:t>
      </w:r>
      <w:r>
        <w:rPr>
          <w:rFonts w:asciiTheme="minorHAnsi" w:hAnsiTheme="minorHAnsi" w:cstheme="minorHAnsi"/>
          <w:sz w:val="18"/>
          <w:szCs w:val="18"/>
        </w:rPr>
        <w:t>The G</w:t>
      </w:r>
      <w:r w:rsidR="00153AFF">
        <w:rPr>
          <w:rFonts w:asciiTheme="minorHAnsi" w:hAnsiTheme="minorHAnsi" w:cstheme="minorHAnsi"/>
          <w:sz w:val="18"/>
          <w:szCs w:val="18"/>
        </w:rPr>
        <w:t>raduate Outcome</w:t>
      </w:r>
      <w:r w:rsidR="00052263">
        <w:rPr>
          <w:rFonts w:asciiTheme="minorHAnsi" w:hAnsiTheme="minorHAnsi" w:cstheme="minorHAnsi"/>
          <w:sz w:val="18"/>
          <w:szCs w:val="18"/>
        </w:rPr>
        <w:t>s</w:t>
      </w:r>
      <w:r w:rsidR="00153AFF">
        <w:rPr>
          <w:rFonts w:asciiTheme="minorHAnsi" w:hAnsiTheme="minorHAnsi" w:cstheme="minorHAnsi"/>
          <w:sz w:val="18"/>
          <w:szCs w:val="18"/>
        </w:rPr>
        <w:t xml:space="preserve"> Survey location data</w:t>
      </w:r>
      <w:r w:rsidRPr="00C57F02">
        <w:rPr>
          <w:rFonts w:asciiTheme="minorHAnsi" w:hAnsiTheme="minorHAnsi" w:cstheme="minorHAnsi"/>
          <w:sz w:val="18"/>
          <w:szCs w:val="18"/>
        </w:rPr>
        <w:t xml:space="preserve"> </w:t>
      </w:r>
      <w:r w:rsidR="00052263">
        <w:rPr>
          <w:rFonts w:asciiTheme="minorHAnsi" w:hAnsiTheme="minorHAnsi" w:cstheme="minorHAnsi"/>
          <w:sz w:val="18"/>
          <w:szCs w:val="18"/>
        </w:rPr>
        <w:t xml:space="preserve">are based on </w:t>
      </w:r>
      <w:r w:rsidRPr="00C57F02">
        <w:rPr>
          <w:rFonts w:asciiTheme="minorHAnsi" w:hAnsiTheme="minorHAnsi" w:cstheme="minorHAnsi"/>
          <w:sz w:val="18"/>
          <w:szCs w:val="18"/>
        </w:rPr>
        <w:t xml:space="preserve">students’ first permanent home address submitted when they commenced </w:t>
      </w:r>
      <w:r w:rsidR="007B6415">
        <w:rPr>
          <w:rFonts w:asciiTheme="minorHAnsi" w:hAnsiTheme="minorHAnsi" w:cstheme="minorHAnsi"/>
          <w:sz w:val="18"/>
          <w:szCs w:val="18"/>
        </w:rPr>
        <w:t>studying with their higher education institution</w:t>
      </w:r>
      <w:r w:rsidR="00F64018">
        <w:rPr>
          <w:rFonts w:asciiTheme="minorHAnsi" w:hAnsiTheme="minorHAnsi" w:cstheme="minorHAnsi"/>
          <w:sz w:val="18"/>
          <w:szCs w:val="18"/>
        </w:rPr>
        <w:t>.</w:t>
      </w:r>
    </w:p>
  </w:footnote>
  <w:footnote w:id="68">
    <w:p w14:paraId="07B4CFBF" w14:textId="72030E6A" w:rsidR="00482684" w:rsidRDefault="00482684" w:rsidP="00482684">
      <w:pPr>
        <w:pStyle w:val="FootnoteText"/>
      </w:pPr>
      <w:r>
        <w:rPr>
          <w:rStyle w:val="FootnoteReference"/>
        </w:rPr>
        <w:footnoteRef/>
      </w:r>
      <w:r>
        <w:t xml:space="preserve"> </w:t>
      </w:r>
      <w:r w:rsidRPr="00EE669C">
        <w:rPr>
          <w:rFonts w:asciiTheme="majorHAnsi" w:hAnsiTheme="majorHAnsi" w:cstheme="majorHAnsi"/>
          <w:sz w:val="18"/>
          <w:szCs w:val="18"/>
        </w:rPr>
        <w:t xml:space="preserve">The full-time employment rate </w:t>
      </w:r>
      <w:hyperlink r:id="rId17" w:history="1">
        <w:r w:rsidRPr="00800EF9">
          <w:rPr>
            <w:rStyle w:val="Hyperlink"/>
            <w:rFonts w:asciiTheme="majorHAnsi" w:hAnsiTheme="majorHAnsi" w:cstheme="majorHAnsi"/>
            <w:sz w:val="18"/>
            <w:szCs w:val="18"/>
          </w:rPr>
          <w:t>is defined</w:t>
        </w:r>
      </w:hyperlink>
      <w:r>
        <w:rPr>
          <w:rFonts w:asciiTheme="majorHAnsi" w:hAnsiTheme="majorHAnsi" w:cstheme="majorHAnsi"/>
          <w:sz w:val="18"/>
          <w:szCs w:val="18"/>
        </w:rPr>
        <w:t xml:space="preserve"> (page 3)</w:t>
      </w:r>
      <w:r w:rsidRPr="00EE669C">
        <w:rPr>
          <w:rFonts w:asciiTheme="majorHAnsi" w:hAnsiTheme="majorHAnsi" w:cstheme="majorHAnsi"/>
          <w:sz w:val="18"/>
          <w:szCs w:val="18"/>
        </w:rPr>
        <w:t xml:space="preserve"> as graduates who were usually or actually in paid employment for at least 35 hours per week, in the week before the survey as a proportion of those available for full-time work. Graduates are </w:t>
      </w:r>
      <w:r w:rsidR="00925A18" w:rsidRPr="00EE669C">
        <w:rPr>
          <w:rFonts w:asciiTheme="majorHAnsi" w:hAnsiTheme="majorHAnsi" w:cstheme="majorHAnsi"/>
          <w:sz w:val="18"/>
          <w:szCs w:val="18"/>
        </w:rPr>
        <w:t>considered</w:t>
      </w:r>
      <w:r w:rsidRPr="00EE669C">
        <w:rPr>
          <w:rFonts w:asciiTheme="majorHAnsi" w:hAnsiTheme="majorHAnsi" w:cstheme="majorHAnsi"/>
          <w:sz w:val="18"/>
          <w:szCs w:val="18"/>
        </w:rPr>
        <w:t xml:space="preserve"> available for full-time work if they were employed full-time or looking for full-time employment in the week prior to the survey</w:t>
      </w:r>
    </w:p>
  </w:footnote>
  <w:footnote w:id="69">
    <w:p w14:paraId="04823F71" w14:textId="77777777" w:rsidR="00A61D67" w:rsidRPr="00DC73C6" w:rsidRDefault="00A61D67" w:rsidP="00A61D67">
      <w:pPr>
        <w:pStyle w:val="FootnoteText"/>
        <w:rPr>
          <w:rFonts w:asciiTheme="minorHAnsi" w:hAnsiTheme="minorHAnsi" w:cstheme="minorHAnsi"/>
          <w:sz w:val="18"/>
          <w:szCs w:val="18"/>
        </w:rPr>
      </w:pPr>
      <w:r w:rsidRPr="00DC73C6">
        <w:rPr>
          <w:rStyle w:val="FootnoteReference"/>
          <w:rFonts w:asciiTheme="minorHAnsi" w:hAnsiTheme="minorHAnsi" w:cstheme="minorHAnsi"/>
          <w:sz w:val="18"/>
          <w:szCs w:val="18"/>
        </w:rPr>
        <w:footnoteRef/>
      </w:r>
      <w:r w:rsidRPr="00DC73C6">
        <w:rPr>
          <w:rFonts w:asciiTheme="minorHAnsi" w:hAnsiTheme="minorHAnsi" w:cstheme="minorHAnsi"/>
          <w:sz w:val="18"/>
          <w:szCs w:val="18"/>
        </w:rPr>
        <w:t xml:space="preserve"> </w:t>
      </w:r>
      <w:hyperlink r:id="rId18" w:history="1">
        <w:r w:rsidRPr="00DC73C6">
          <w:rPr>
            <w:rStyle w:val="Hyperlink"/>
            <w:rFonts w:asciiTheme="minorHAnsi" w:hAnsiTheme="minorHAnsi" w:cstheme="minorHAnsi"/>
            <w:sz w:val="18"/>
            <w:szCs w:val="18"/>
            <w:shd w:val="clear" w:color="auto" w:fill="FFFFFF"/>
          </w:rPr>
          <w:t>2023 Graduate Outcomes Survey National Report (Page 20/21).</w:t>
        </w:r>
      </w:hyperlink>
    </w:p>
  </w:footnote>
  <w:footnote w:id="70">
    <w:p w14:paraId="5EDFEFC2" w14:textId="77777777" w:rsidR="00C318D8" w:rsidRPr="002917E2" w:rsidRDefault="00C318D8" w:rsidP="00C318D8">
      <w:pPr>
        <w:pStyle w:val="FootnoteText"/>
        <w:rPr>
          <w:rFonts w:cs="Arial"/>
          <w:sz w:val="18"/>
          <w:szCs w:val="18"/>
        </w:rPr>
      </w:pPr>
      <w:r w:rsidRPr="002917E2">
        <w:rPr>
          <w:rStyle w:val="FootnoteReference"/>
          <w:rFonts w:cs="Arial"/>
          <w:sz w:val="18"/>
          <w:szCs w:val="18"/>
        </w:rPr>
        <w:footnoteRef/>
      </w:r>
      <w:r w:rsidRPr="002917E2">
        <w:rPr>
          <w:rFonts w:cs="Arial"/>
          <w:sz w:val="18"/>
          <w:szCs w:val="18"/>
        </w:rPr>
        <w:t xml:space="preserve"> </w:t>
      </w:r>
      <w:hyperlink r:id="rId19" w:history="1">
        <w:r w:rsidRPr="002917E2">
          <w:rPr>
            <w:rStyle w:val="Hyperlink"/>
            <w:rFonts w:cs="Arial"/>
            <w:sz w:val="18"/>
            <w:szCs w:val="18"/>
            <w:shd w:val="clear" w:color="auto" w:fill="FFFFFF"/>
          </w:rPr>
          <w:t>2023 Graduate Outcomes Survey -Longitudinal (GOS-L) National Report (Page 18/20).</w:t>
        </w:r>
      </w:hyperlink>
    </w:p>
  </w:footnote>
  <w:footnote w:id="71">
    <w:p w14:paraId="615704AF" w14:textId="6EE47FA6" w:rsidR="00DE7A85" w:rsidRPr="006F0845" w:rsidRDefault="00DE7A85" w:rsidP="00096427">
      <w:pPr>
        <w:pStyle w:val="FootnoteText"/>
        <w:rPr>
          <w:rFonts w:asciiTheme="minorHAnsi" w:hAnsiTheme="minorHAnsi" w:cstheme="minorHAnsi"/>
          <w:sz w:val="18"/>
          <w:szCs w:val="18"/>
        </w:rPr>
      </w:pPr>
      <w:r>
        <w:rPr>
          <w:rStyle w:val="FootnoteReference"/>
        </w:rPr>
        <w:footnoteRef/>
      </w:r>
      <w:r>
        <w:t xml:space="preserve"> </w:t>
      </w:r>
      <w:r w:rsidR="00FC1F33">
        <w:t>‘</w:t>
      </w:r>
      <w:hyperlink r:id="rId20" w:history="1">
        <w:r w:rsidR="00FC1F33" w:rsidRPr="006F0845">
          <w:rPr>
            <w:rStyle w:val="Hyperlink"/>
            <w:rFonts w:asciiTheme="minorHAnsi" w:hAnsiTheme="minorHAnsi" w:cstheme="minorHAnsi"/>
            <w:sz w:val="18"/>
            <w:szCs w:val="18"/>
          </w:rPr>
          <w:t xml:space="preserve">Economic </w:t>
        </w:r>
        <w:r w:rsidR="000F2C87" w:rsidRPr="006F0845">
          <w:rPr>
            <w:rStyle w:val="Hyperlink"/>
            <w:rFonts w:asciiTheme="minorHAnsi" w:hAnsiTheme="minorHAnsi" w:cstheme="minorHAnsi"/>
            <w:sz w:val="18"/>
            <w:szCs w:val="18"/>
          </w:rPr>
          <w:t>impact of the Universities within the Regional Universities Network</w:t>
        </w:r>
      </w:hyperlink>
      <w:r w:rsidR="009A6233">
        <w:rPr>
          <w:rFonts w:asciiTheme="minorHAnsi" w:hAnsiTheme="minorHAnsi" w:cstheme="minorHAnsi"/>
          <w:sz w:val="18"/>
          <w:szCs w:val="18"/>
        </w:rPr>
        <w:t>’</w:t>
      </w:r>
      <w:r w:rsidR="0000594C" w:rsidRPr="006F0845">
        <w:rPr>
          <w:rFonts w:asciiTheme="minorHAnsi" w:hAnsiTheme="minorHAnsi" w:cstheme="minorHAnsi"/>
          <w:sz w:val="18"/>
          <w:szCs w:val="18"/>
        </w:rPr>
        <w:t xml:space="preserve">, </w:t>
      </w:r>
      <w:r w:rsidR="00FE1B1C">
        <w:rPr>
          <w:rFonts w:asciiTheme="minorHAnsi" w:hAnsiTheme="minorHAnsi" w:cstheme="minorHAnsi"/>
          <w:sz w:val="18"/>
          <w:szCs w:val="18"/>
        </w:rPr>
        <w:t xml:space="preserve">nous </w:t>
      </w:r>
      <w:r w:rsidR="0000594C" w:rsidRPr="006F0845">
        <w:rPr>
          <w:rFonts w:asciiTheme="minorHAnsi" w:hAnsiTheme="minorHAnsi" w:cstheme="minorHAnsi"/>
          <w:sz w:val="18"/>
          <w:szCs w:val="18"/>
        </w:rPr>
        <w:t xml:space="preserve">page 10 </w:t>
      </w:r>
    </w:p>
  </w:footnote>
  <w:footnote w:id="72">
    <w:p w14:paraId="636F4630" w14:textId="77777777" w:rsidR="00EF7B12" w:rsidRPr="006F0845" w:rsidRDefault="00EF7B12" w:rsidP="00F025A7">
      <w:pPr>
        <w:pStyle w:val="FootnoteText"/>
        <w:rPr>
          <w:rFonts w:asciiTheme="minorHAnsi" w:hAnsiTheme="minorHAnsi" w:cstheme="minorHAnsi"/>
          <w:sz w:val="18"/>
          <w:szCs w:val="18"/>
        </w:rPr>
      </w:pPr>
      <w:r w:rsidRPr="00985C47">
        <w:rPr>
          <w:rStyle w:val="FootnoteReference"/>
          <w:rFonts w:asciiTheme="minorHAnsi" w:hAnsiTheme="minorHAnsi" w:cstheme="minorHAnsi"/>
          <w:sz w:val="18"/>
          <w:szCs w:val="18"/>
        </w:rPr>
        <w:footnoteRef/>
      </w:r>
      <w:r w:rsidRPr="00985C47">
        <w:rPr>
          <w:rFonts w:asciiTheme="minorHAnsi" w:hAnsiTheme="minorHAnsi" w:cstheme="minorHAnsi"/>
          <w:sz w:val="18"/>
          <w:szCs w:val="18"/>
        </w:rPr>
        <w:t xml:space="preserve"> </w:t>
      </w:r>
      <w:hyperlink r:id="rId21" w:history="1">
        <w:r w:rsidRPr="00985C47">
          <w:rPr>
            <w:rStyle w:val="Hyperlink"/>
            <w:rFonts w:asciiTheme="minorHAnsi" w:hAnsiTheme="minorHAnsi" w:cstheme="minorHAnsi"/>
            <w:sz w:val="18"/>
            <w:szCs w:val="18"/>
          </w:rPr>
          <w:t>Australian Universities Accord Final Report - Department of Education 2024</w:t>
        </w:r>
      </w:hyperlink>
      <w:r w:rsidRPr="00985C47">
        <w:rPr>
          <w:rFonts w:asciiTheme="minorHAnsi" w:hAnsiTheme="minorHAnsi" w:cstheme="minorHAnsi"/>
          <w:sz w:val="18"/>
          <w:szCs w:val="18"/>
        </w:rPr>
        <w:t xml:space="preserve"> (page 265).</w:t>
      </w:r>
    </w:p>
  </w:footnote>
  <w:footnote w:id="73">
    <w:p w14:paraId="15E9D1B6" w14:textId="77777777" w:rsidR="00C05E06" w:rsidRPr="00985C47" w:rsidRDefault="00C05E06" w:rsidP="00F025A7">
      <w:pPr>
        <w:pStyle w:val="FootnoteText"/>
        <w:rPr>
          <w:rFonts w:asciiTheme="minorHAnsi" w:hAnsiTheme="minorHAnsi" w:cstheme="minorHAnsi"/>
          <w:sz w:val="18"/>
          <w:szCs w:val="18"/>
        </w:rPr>
      </w:pPr>
      <w:r w:rsidRPr="00985C47">
        <w:rPr>
          <w:rStyle w:val="FootnoteReference"/>
          <w:rFonts w:asciiTheme="minorHAnsi" w:hAnsiTheme="minorHAnsi" w:cstheme="minorHAnsi"/>
          <w:sz w:val="18"/>
          <w:szCs w:val="18"/>
        </w:rPr>
        <w:footnoteRef/>
      </w:r>
      <w:r w:rsidRPr="00985C47">
        <w:rPr>
          <w:rFonts w:asciiTheme="minorHAnsi" w:hAnsiTheme="minorHAnsi" w:cstheme="minorHAnsi"/>
          <w:sz w:val="18"/>
          <w:szCs w:val="18"/>
        </w:rPr>
        <w:t xml:space="preserve"> </w:t>
      </w:r>
      <w:hyperlink r:id="rId22" w:history="1">
        <w:r w:rsidRPr="00985C47">
          <w:rPr>
            <w:rStyle w:val="Hyperlink"/>
            <w:rFonts w:asciiTheme="minorHAnsi" w:hAnsiTheme="minorHAnsi" w:cstheme="minorHAnsi"/>
            <w:sz w:val="18"/>
            <w:szCs w:val="18"/>
          </w:rPr>
          <w:t>Australian Universities Accord Final Report - Department of Education 2024</w:t>
        </w:r>
      </w:hyperlink>
      <w:r w:rsidRPr="00985C47">
        <w:rPr>
          <w:rFonts w:asciiTheme="minorHAnsi" w:hAnsiTheme="minorHAnsi" w:cstheme="minorHAnsi"/>
          <w:sz w:val="18"/>
          <w:szCs w:val="18"/>
        </w:rPr>
        <w:t xml:space="preserve"> (page 264).</w:t>
      </w:r>
    </w:p>
  </w:footnote>
  <w:footnote w:id="74">
    <w:p w14:paraId="452B3850" w14:textId="77777777" w:rsidR="006F0845" w:rsidRPr="00DC73C6" w:rsidRDefault="006F0845" w:rsidP="006F0845">
      <w:pPr>
        <w:pStyle w:val="FootnoteText"/>
        <w:rPr>
          <w:rFonts w:asciiTheme="minorHAnsi" w:hAnsiTheme="minorHAnsi" w:cstheme="minorHAnsi"/>
          <w:sz w:val="18"/>
          <w:szCs w:val="18"/>
        </w:rPr>
      </w:pPr>
      <w:r w:rsidRPr="00DC73C6">
        <w:rPr>
          <w:rStyle w:val="FootnoteReference"/>
          <w:sz w:val="18"/>
          <w:szCs w:val="18"/>
        </w:rPr>
        <w:footnoteRef/>
      </w:r>
      <w:r w:rsidRPr="00DC73C6">
        <w:rPr>
          <w:sz w:val="18"/>
          <w:szCs w:val="18"/>
        </w:rPr>
        <w:t xml:space="preserve"> </w:t>
      </w:r>
      <w:hyperlink r:id="rId23" w:history="1">
        <w:r w:rsidRPr="00DC73C6">
          <w:rPr>
            <w:rStyle w:val="Hyperlink"/>
            <w:rFonts w:asciiTheme="minorHAnsi" w:hAnsiTheme="minorHAnsi" w:cstheme="minorHAnsi"/>
            <w:sz w:val="18"/>
            <w:szCs w:val="18"/>
          </w:rPr>
          <w:t>Australian Universities Accord Final Report - Department of Education 2024</w:t>
        </w:r>
      </w:hyperlink>
      <w:r w:rsidRPr="00DC73C6">
        <w:rPr>
          <w:rFonts w:asciiTheme="minorHAnsi" w:hAnsiTheme="minorHAnsi" w:cstheme="minorHAnsi"/>
          <w:sz w:val="18"/>
          <w:szCs w:val="18"/>
        </w:rPr>
        <w:t xml:space="preserve"> (page 2).</w:t>
      </w:r>
    </w:p>
  </w:footnote>
  <w:footnote w:id="75">
    <w:p w14:paraId="28BAC898" w14:textId="77777777" w:rsidR="00AD4525" w:rsidRPr="00DC73C6" w:rsidRDefault="00AD4525" w:rsidP="00AD4525">
      <w:pPr>
        <w:pStyle w:val="FootnoteText"/>
        <w:rPr>
          <w:rFonts w:asciiTheme="minorHAnsi" w:hAnsiTheme="minorHAnsi" w:cstheme="minorHAnsi"/>
          <w:sz w:val="18"/>
          <w:szCs w:val="18"/>
        </w:rPr>
      </w:pPr>
      <w:r w:rsidRPr="00DC73C6">
        <w:rPr>
          <w:rStyle w:val="FootnoteReference"/>
          <w:rFonts w:asciiTheme="minorHAnsi" w:hAnsiTheme="minorHAnsi" w:cstheme="minorHAnsi"/>
          <w:sz w:val="18"/>
          <w:szCs w:val="18"/>
        </w:rPr>
        <w:footnoteRef/>
      </w:r>
      <w:r w:rsidRPr="00DC73C6">
        <w:rPr>
          <w:rFonts w:asciiTheme="minorHAnsi" w:hAnsiTheme="minorHAnsi" w:cstheme="minorHAnsi"/>
          <w:sz w:val="18"/>
          <w:szCs w:val="18"/>
        </w:rPr>
        <w:t xml:space="preserve"> </w:t>
      </w:r>
      <w:hyperlink r:id="rId24" w:history="1">
        <w:r w:rsidRPr="00DC73C6">
          <w:rPr>
            <w:rStyle w:val="Hyperlink"/>
            <w:rFonts w:asciiTheme="minorHAnsi" w:hAnsiTheme="minorHAnsi" w:cstheme="minorHAnsi"/>
            <w:sz w:val="18"/>
            <w:szCs w:val="18"/>
          </w:rPr>
          <w:t>Australian Universities Accord Final Report - Department of Education 2024</w:t>
        </w:r>
      </w:hyperlink>
    </w:p>
  </w:footnote>
  <w:footnote w:id="76">
    <w:p w14:paraId="303DE3A2" w14:textId="77777777" w:rsidR="009E2C5C" w:rsidRPr="00DC73C6" w:rsidRDefault="009E2C5C" w:rsidP="009E2C5C">
      <w:pPr>
        <w:pStyle w:val="FootnoteText"/>
        <w:rPr>
          <w:rFonts w:asciiTheme="minorHAnsi" w:hAnsiTheme="minorHAnsi" w:cstheme="minorHAnsi"/>
          <w:sz w:val="18"/>
          <w:szCs w:val="18"/>
        </w:rPr>
      </w:pPr>
      <w:r w:rsidRPr="00DC73C6">
        <w:rPr>
          <w:rStyle w:val="FootnoteReference"/>
          <w:rFonts w:asciiTheme="minorHAnsi" w:hAnsiTheme="minorHAnsi" w:cstheme="minorHAnsi"/>
          <w:sz w:val="18"/>
          <w:szCs w:val="18"/>
        </w:rPr>
        <w:footnoteRef/>
      </w:r>
      <w:r w:rsidRPr="00DC73C6">
        <w:rPr>
          <w:rFonts w:asciiTheme="minorHAnsi" w:hAnsiTheme="minorHAnsi" w:cstheme="minorHAnsi"/>
          <w:sz w:val="18"/>
          <w:szCs w:val="18"/>
        </w:rPr>
        <w:t xml:space="preserve"> </w:t>
      </w:r>
      <w:hyperlink r:id="rId25" w:history="1">
        <w:r w:rsidRPr="00DC73C6">
          <w:rPr>
            <w:rStyle w:val="Hyperlink"/>
            <w:rFonts w:asciiTheme="minorHAnsi" w:hAnsiTheme="minorHAnsi" w:cstheme="minorHAnsi"/>
            <w:sz w:val="18"/>
            <w:szCs w:val="18"/>
            <w:shd w:val="clear" w:color="auto" w:fill="FFFFFF"/>
          </w:rPr>
          <w:t>Commonwealth Prac Payment – Department of Education 2024</w:t>
        </w:r>
      </w:hyperlink>
    </w:p>
  </w:footnote>
  <w:footnote w:id="77">
    <w:p w14:paraId="515295F7" w14:textId="77777777" w:rsidR="009E2C5C" w:rsidRPr="00DC73C6" w:rsidRDefault="009E2C5C" w:rsidP="009E2C5C">
      <w:pPr>
        <w:pStyle w:val="FootnoteText"/>
        <w:rPr>
          <w:rFonts w:asciiTheme="minorHAnsi" w:hAnsiTheme="minorHAnsi" w:cstheme="minorHAnsi"/>
          <w:sz w:val="18"/>
          <w:szCs w:val="18"/>
        </w:rPr>
      </w:pPr>
      <w:r w:rsidRPr="00DC73C6">
        <w:rPr>
          <w:rStyle w:val="FootnoteReference"/>
          <w:rFonts w:asciiTheme="minorHAnsi" w:hAnsiTheme="minorHAnsi" w:cstheme="minorHAnsi"/>
          <w:sz w:val="18"/>
          <w:szCs w:val="18"/>
        </w:rPr>
        <w:footnoteRef/>
      </w:r>
      <w:r w:rsidRPr="00DC73C6">
        <w:rPr>
          <w:rFonts w:asciiTheme="minorHAnsi" w:hAnsiTheme="minorHAnsi" w:cstheme="minorHAnsi"/>
          <w:sz w:val="18"/>
          <w:szCs w:val="18"/>
        </w:rPr>
        <w:t xml:space="preserve"> </w:t>
      </w:r>
      <w:hyperlink r:id="rId26" w:history="1">
        <w:r w:rsidRPr="00DC73C6">
          <w:rPr>
            <w:rStyle w:val="Hyperlink"/>
            <w:rFonts w:asciiTheme="minorHAnsi" w:hAnsiTheme="minorHAnsi" w:cstheme="minorHAnsi"/>
            <w:sz w:val="18"/>
            <w:szCs w:val="18"/>
          </w:rPr>
          <w:t>Australian Universities Accord Final Report - Department of Education 2024</w:t>
        </w:r>
      </w:hyperlink>
      <w:r w:rsidRPr="00DC73C6">
        <w:rPr>
          <w:rFonts w:asciiTheme="minorHAnsi" w:hAnsiTheme="minorHAnsi" w:cstheme="minorHAnsi"/>
          <w:sz w:val="18"/>
          <w:szCs w:val="18"/>
        </w:rPr>
        <w:t xml:space="preserve"> (page6).</w:t>
      </w:r>
    </w:p>
  </w:footnote>
  <w:footnote w:id="78">
    <w:p w14:paraId="6DA00EBA" w14:textId="3D75CB25" w:rsidR="005940F2" w:rsidRPr="00DC73C6" w:rsidRDefault="005940F2" w:rsidP="005940F2">
      <w:pPr>
        <w:rPr>
          <w:rFonts w:asciiTheme="minorHAnsi" w:hAnsiTheme="minorHAnsi" w:cstheme="minorHAnsi"/>
          <w:sz w:val="18"/>
          <w:szCs w:val="18"/>
        </w:rPr>
      </w:pPr>
      <w:r w:rsidRPr="00DC73C6">
        <w:rPr>
          <w:rStyle w:val="FootnoteReference"/>
          <w:rFonts w:asciiTheme="minorHAnsi" w:hAnsiTheme="minorHAnsi" w:cstheme="minorHAnsi"/>
          <w:sz w:val="18"/>
          <w:szCs w:val="18"/>
        </w:rPr>
        <w:footnoteRef/>
      </w:r>
      <w:r w:rsidRPr="00DC73C6">
        <w:rPr>
          <w:rFonts w:asciiTheme="minorHAnsi" w:hAnsiTheme="minorHAnsi" w:cstheme="minorHAnsi"/>
          <w:sz w:val="18"/>
          <w:szCs w:val="18"/>
        </w:rPr>
        <w:t xml:space="preserve"> </w:t>
      </w:r>
      <w:hyperlink r:id="rId27" w:history="1">
        <w:r w:rsidRPr="00DC73C6">
          <w:rPr>
            <w:rStyle w:val="Hyperlink"/>
            <w:rFonts w:asciiTheme="minorHAnsi" w:hAnsiTheme="minorHAnsi" w:cstheme="minorHAnsi"/>
            <w:sz w:val="18"/>
            <w:szCs w:val="18"/>
          </w:rPr>
          <w:t>Australian Universities Accord Final Report - Department of Education 2024</w:t>
        </w:r>
      </w:hyperlink>
    </w:p>
    <w:p w14:paraId="28A3FFD4" w14:textId="799C25BE" w:rsidR="005940F2" w:rsidRDefault="005940F2">
      <w:pPr>
        <w:pStyle w:val="FootnoteText"/>
      </w:pPr>
    </w:p>
  </w:footnote>
  <w:footnote w:id="79">
    <w:p w14:paraId="741CE0B1" w14:textId="77777777" w:rsidR="00754A27" w:rsidRPr="008D00E2" w:rsidRDefault="00754A27" w:rsidP="00754A27">
      <w:pPr>
        <w:pStyle w:val="FootnoteText"/>
        <w:rPr>
          <w:rFonts w:asciiTheme="majorHAnsi" w:hAnsiTheme="majorHAnsi" w:cstheme="majorHAnsi"/>
          <w:sz w:val="18"/>
          <w:szCs w:val="18"/>
        </w:rPr>
      </w:pPr>
      <w:r w:rsidRPr="008D00E2">
        <w:rPr>
          <w:rStyle w:val="FootnoteReference"/>
          <w:rFonts w:asciiTheme="majorHAnsi" w:hAnsiTheme="majorHAnsi" w:cstheme="majorHAnsi"/>
          <w:sz w:val="18"/>
          <w:szCs w:val="18"/>
        </w:rPr>
        <w:footnoteRef/>
      </w:r>
      <w:r w:rsidRPr="008D00E2">
        <w:rPr>
          <w:rFonts w:asciiTheme="majorHAnsi" w:hAnsiTheme="majorHAnsi" w:cstheme="majorHAnsi"/>
          <w:sz w:val="18"/>
          <w:szCs w:val="18"/>
        </w:rPr>
        <w:t xml:space="preserve"> Lamb and Glover (2014) ‘Education disadvantage and regional and rural schools’.</w:t>
      </w:r>
    </w:p>
  </w:footnote>
  <w:footnote w:id="80">
    <w:p w14:paraId="7BD2CFAB" w14:textId="77777777" w:rsidR="00375ECA" w:rsidRPr="004C11C2" w:rsidRDefault="00375ECA" w:rsidP="00375ECA">
      <w:pPr>
        <w:pStyle w:val="FootnoteText"/>
        <w:rPr>
          <w:rFonts w:asciiTheme="minorHAnsi" w:hAnsiTheme="minorHAnsi" w:cstheme="minorHAnsi"/>
          <w:sz w:val="18"/>
          <w:szCs w:val="18"/>
        </w:rPr>
      </w:pPr>
      <w:r w:rsidRPr="000E26DF">
        <w:rPr>
          <w:rStyle w:val="FootnoteReference"/>
          <w:rFonts w:asciiTheme="minorHAnsi" w:hAnsiTheme="minorHAnsi" w:cstheme="minorHAnsi"/>
          <w:sz w:val="18"/>
          <w:szCs w:val="18"/>
        </w:rPr>
        <w:footnoteRef/>
      </w:r>
      <w:r w:rsidRPr="000E26DF">
        <w:rPr>
          <w:rFonts w:asciiTheme="minorHAnsi" w:hAnsiTheme="minorHAnsi" w:cstheme="minorHAnsi"/>
          <w:sz w:val="18"/>
          <w:szCs w:val="18"/>
        </w:rPr>
        <w:t xml:space="preserve"> </w:t>
      </w:r>
      <w:r w:rsidRPr="000E26DF">
        <w:rPr>
          <w:rFonts w:asciiTheme="minorHAnsi" w:eastAsia="Arial" w:hAnsiTheme="minorHAnsi" w:cstheme="minorHAnsi"/>
          <w:sz w:val="18"/>
          <w:szCs w:val="18"/>
        </w:rPr>
        <w:t xml:space="preserve">The New South Wales VET review </w:t>
      </w:r>
      <w:r>
        <w:rPr>
          <w:rFonts w:asciiTheme="minorHAnsi" w:eastAsia="Arial" w:hAnsiTheme="minorHAnsi" w:cstheme="minorHAnsi"/>
          <w:sz w:val="18"/>
          <w:szCs w:val="18"/>
        </w:rPr>
        <w:t>found</w:t>
      </w:r>
      <w:r w:rsidRPr="000E26DF">
        <w:rPr>
          <w:rFonts w:asciiTheme="minorHAnsi" w:eastAsia="Arial" w:hAnsiTheme="minorHAnsi" w:cstheme="minorHAnsi"/>
          <w:sz w:val="18"/>
          <w:szCs w:val="18"/>
        </w:rPr>
        <w:t xml:space="preserve"> the sector is increasingly offering flexible delivery options, but online delivery presents additional challenges associated with digital literacy and digital access, particularly for regional, </w:t>
      </w:r>
      <w:r w:rsidRPr="004C11C2">
        <w:rPr>
          <w:rFonts w:asciiTheme="minorHAnsi" w:eastAsia="Arial" w:hAnsiTheme="minorHAnsi" w:cstheme="minorHAnsi"/>
          <w:sz w:val="18"/>
          <w:szCs w:val="18"/>
        </w:rPr>
        <w:t xml:space="preserve">rural and remote learners, concluding new strategies need to be explored – </w:t>
      </w:r>
      <w:hyperlink r:id="rId28" w:history="1">
        <w:r w:rsidRPr="004C11C2">
          <w:rPr>
            <w:rStyle w:val="Hyperlink"/>
            <w:rFonts w:asciiTheme="minorHAnsi" w:eastAsia="Arial" w:hAnsiTheme="minorHAnsi" w:cstheme="minorHAnsi"/>
            <w:sz w:val="18"/>
            <w:szCs w:val="18"/>
          </w:rPr>
          <w:t>August 2023 Discussion Paper</w:t>
        </w:r>
      </w:hyperlink>
      <w:r w:rsidRPr="004C11C2">
        <w:rPr>
          <w:rFonts w:asciiTheme="minorHAnsi" w:eastAsia="Arial" w:hAnsiTheme="minorHAnsi" w:cstheme="minorHAnsi"/>
          <w:sz w:val="18"/>
          <w:szCs w:val="18"/>
        </w:rPr>
        <w:t xml:space="preserve"> (p7).</w:t>
      </w:r>
    </w:p>
  </w:footnote>
  <w:footnote w:id="81">
    <w:p w14:paraId="5B1F66A1" w14:textId="77777777" w:rsidR="00136CE0" w:rsidRPr="009F37D2" w:rsidRDefault="00136CE0" w:rsidP="00136CE0">
      <w:pPr>
        <w:pStyle w:val="FootnoteText"/>
        <w:rPr>
          <w:rFonts w:asciiTheme="majorHAnsi" w:hAnsiTheme="majorHAnsi" w:cstheme="majorHAnsi"/>
          <w:sz w:val="18"/>
          <w:szCs w:val="18"/>
        </w:rPr>
      </w:pPr>
      <w:r>
        <w:rPr>
          <w:rStyle w:val="FootnoteReference"/>
        </w:rPr>
        <w:footnoteRef/>
      </w:r>
      <w:r>
        <w:t xml:space="preserve"> </w:t>
      </w:r>
      <w:r w:rsidRPr="009F37D2">
        <w:rPr>
          <w:rFonts w:asciiTheme="majorHAnsi" w:hAnsiTheme="majorHAnsi" w:cstheme="majorHAnsi"/>
          <w:sz w:val="18"/>
          <w:szCs w:val="18"/>
        </w:rPr>
        <w:t xml:space="preserve">ABS, </w:t>
      </w:r>
      <w:r w:rsidRPr="00901A26">
        <w:rPr>
          <w:rFonts w:asciiTheme="majorHAnsi" w:hAnsiTheme="majorHAnsi" w:cstheme="majorHAnsi"/>
          <w:i/>
          <w:iCs/>
          <w:sz w:val="18"/>
          <w:szCs w:val="18"/>
        </w:rPr>
        <w:t>Labour Force, Australia, Detailed</w:t>
      </w:r>
      <w:r w:rsidRPr="009F37D2">
        <w:rPr>
          <w:rFonts w:asciiTheme="majorHAnsi" w:hAnsiTheme="majorHAnsi" w:cstheme="majorHAnsi"/>
          <w:sz w:val="18"/>
          <w:szCs w:val="18"/>
        </w:rPr>
        <w:t>, May 2024 (EQ03)</w:t>
      </w:r>
    </w:p>
  </w:footnote>
  <w:footnote w:id="82">
    <w:p w14:paraId="622ECCE9" w14:textId="0F39B3D5" w:rsidR="00AC72BE" w:rsidRPr="0097250E" w:rsidRDefault="00AC72BE" w:rsidP="00AC72BE">
      <w:pPr>
        <w:pStyle w:val="FootnoteText"/>
        <w:rPr>
          <w:rFonts w:asciiTheme="minorHAnsi" w:hAnsiTheme="minorHAnsi" w:cstheme="minorHAnsi"/>
          <w:sz w:val="18"/>
          <w:szCs w:val="18"/>
        </w:rPr>
      </w:pPr>
      <w:r w:rsidRPr="0097250E">
        <w:rPr>
          <w:rStyle w:val="FootnoteReference"/>
          <w:rFonts w:asciiTheme="minorHAnsi" w:hAnsiTheme="minorHAnsi" w:cstheme="minorHAnsi"/>
          <w:sz w:val="18"/>
          <w:szCs w:val="18"/>
        </w:rPr>
        <w:footnoteRef/>
      </w:r>
      <w:r w:rsidRPr="0097250E">
        <w:rPr>
          <w:rFonts w:asciiTheme="minorHAnsi" w:hAnsiTheme="minorHAnsi" w:cstheme="minorHAnsi"/>
          <w:sz w:val="18"/>
          <w:szCs w:val="18"/>
        </w:rPr>
        <w:t xml:space="preserve"> NCVER, </w:t>
      </w:r>
      <w:r w:rsidRPr="00901A26">
        <w:rPr>
          <w:rFonts w:asciiTheme="minorHAnsi" w:hAnsiTheme="minorHAnsi" w:cstheme="minorHAnsi"/>
          <w:i/>
          <w:iCs/>
          <w:sz w:val="18"/>
          <w:szCs w:val="18"/>
        </w:rPr>
        <w:t xml:space="preserve">Total VET </w:t>
      </w:r>
      <w:r w:rsidR="00B01A1C">
        <w:rPr>
          <w:rFonts w:asciiTheme="minorHAnsi" w:hAnsiTheme="minorHAnsi" w:cstheme="minorHAnsi"/>
          <w:i/>
          <w:iCs/>
          <w:sz w:val="18"/>
          <w:szCs w:val="18"/>
        </w:rPr>
        <w:t>S</w:t>
      </w:r>
      <w:r w:rsidRPr="00901A26">
        <w:rPr>
          <w:rFonts w:asciiTheme="minorHAnsi" w:hAnsiTheme="minorHAnsi" w:cstheme="minorHAnsi"/>
          <w:i/>
          <w:iCs/>
          <w:sz w:val="18"/>
          <w:szCs w:val="18"/>
        </w:rPr>
        <w:t xml:space="preserve">tudents and </w:t>
      </w:r>
      <w:r w:rsidR="00B01A1C">
        <w:rPr>
          <w:rFonts w:asciiTheme="minorHAnsi" w:hAnsiTheme="minorHAnsi" w:cstheme="minorHAnsi"/>
          <w:i/>
          <w:iCs/>
          <w:sz w:val="18"/>
          <w:szCs w:val="18"/>
        </w:rPr>
        <w:t>C</w:t>
      </w:r>
      <w:r w:rsidRPr="00901A26">
        <w:rPr>
          <w:rFonts w:asciiTheme="minorHAnsi" w:hAnsiTheme="minorHAnsi" w:cstheme="minorHAnsi"/>
          <w:i/>
          <w:iCs/>
          <w:sz w:val="18"/>
          <w:szCs w:val="18"/>
        </w:rPr>
        <w:t>ourses</w:t>
      </w:r>
      <w:r w:rsidRPr="0097250E">
        <w:rPr>
          <w:rFonts w:asciiTheme="minorHAnsi" w:hAnsiTheme="minorHAnsi" w:cstheme="minorHAnsi"/>
          <w:sz w:val="18"/>
          <w:szCs w:val="18"/>
        </w:rPr>
        <w:t xml:space="preserve">, 2022, </w:t>
      </w:r>
      <w:r w:rsidR="00B01A1C">
        <w:rPr>
          <w:rFonts w:asciiTheme="minorHAnsi" w:hAnsiTheme="minorHAnsi" w:cstheme="minorHAnsi"/>
          <w:sz w:val="18"/>
          <w:szCs w:val="18"/>
        </w:rPr>
        <w:t xml:space="preserve">Program Enrolments, </w:t>
      </w:r>
      <w:r w:rsidRPr="0097250E">
        <w:rPr>
          <w:rFonts w:asciiTheme="minorHAnsi" w:hAnsiTheme="minorHAnsi" w:cstheme="minorHAnsi"/>
          <w:sz w:val="18"/>
          <w:szCs w:val="18"/>
        </w:rPr>
        <w:t>VOCSTATS.</w:t>
      </w:r>
    </w:p>
  </w:footnote>
  <w:footnote w:id="83">
    <w:p w14:paraId="687D1B8F" w14:textId="065DE2AB" w:rsidR="00321752" w:rsidRDefault="00321752" w:rsidP="00321752">
      <w:pPr>
        <w:pStyle w:val="FootnoteText"/>
      </w:pPr>
      <w:r w:rsidRPr="0097250E">
        <w:rPr>
          <w:rStyle w:val="FootnoteReference"/>
          <w:rFonts w:asciiTheme="minorHAnsi" w:hAnsiTheme="minorHAnsi" w:cstheme="minorHAnsi"/>
          <w:sz w:val="18"/>
          <w:szCs w:val="18"/>
        </w:rPr>
        <w:footnoteRef/>
      </w:r>
      <w:r w:rsidRPr="0097250E">
        <w:rPr>
          <w:rFonts w:asciiTheme="minorHAnsi" w:hAnsiTheme="minorHAnsi" w:cstheme="minorHAnsi"/>
          <w:sz w:val="18"/>
          <w:szCs w:val="18"/>
        </w:rPr>
        <w:t xml:space="preserve"> NCVER, </w:t>
      </w:r>
      <w:r w:rsidRPr="00901A26">
        <w:rPr>
          <w:rFonts w:asciiTheme="minorHAnsi" w:hAnsiTheme="minorHAnsi" w:cstheme="minorHAnsi"/>
          <w:i/>
          <w:iCs/>
          <w:sz w:val="18"/>
          <w:szCs w:val="18"/>
        </w:rPr>
        <w:t xml:space="preserve">Total VET </w:t>
      </w:r>
      <w:r w:rsidR="00B01A1C">
        <w:rPr>
          <w:rFonts w:asciiTheme="minorHAnsi" w:hAnsiTheme="minorHAnsi" w:cstheme="minorHAnsi"/>
          <w:i/>
          <w:iCs/>
          <w:sz w:val="18"/>
          <w:szCs w:val="18"/>
        </w:rPr>
        <w:t>S</w:t>
      </w:r>
      <w:r w:rsidRPr="00901A26">
        <w:rPr>
          <w:rFonts w:asciiTheme="minorHAnsi" w:hAnsiTheme="minorHAnsi" w:cstheme="minorHAnsi"/>
          <w:i/>
          <w:iCs/>
          <w:sz w:val="18"/>
          <w:szCs w:val="18"/>
        </w:rPr>
        <w:t xml:space="preserve">tudents and </w:t>
      </w:r>
      <w:r w:rsidR="00B01A1C">
        <w:rPr>
          <w:rFonts w:asciiTheme="minorHAnsi" w:hAnsiTheme="minorHAnsi" w:cstheme="minorHAnsi"/>
          <w:i/>
          <w:iCs/>
          <w:sz w:val="18"/>
          <w:szCs w:val="18"/>
        </w:rPr>
        <w:t>C</w:t>
      </w:r>
      <w:r w:rsidRPr="00901A26">
        <w:rPr>
          <w:rFonts w:asciiTheme="minorHAnsi" w:hAnsiTheme="minorHAnsi" w:cstheme="minorHAnsi"/>
          <w:i/>
          <w:iCs/>
          <w:sz w:val="18"/>
          <w:szCs w:val="18"/>
        </w:rPr>
        <w:t>ourses</w:t>
      </w:r>
      <w:r w:rsidRPr="0097250E">
        <w:rPr>
          <w:rFonts w:asciiTheme="minorHAnsi" w:hAnsiTheme="minorHAnsi" w:cstheme="minorHAnsi"/>
          <w:sz w:val="18"/>
          <w:szCs w:val="18"/>
        </w:rPr>
        <w:t>, 2022,</w:t>
      </w:r>
      <w:r w:rsidR="00B01A1C">
        <w:rPr>
          <w:rFonts w:asciiTheme="minorHAnsi" w:hAnsiTheme="minorHAnsi" w:cstheme="minorHAnsi"/>
          <w:sz w:val="18"/>
          <w:szCs w:val="18"/>
        </w:rPr>
        <w:t xml:space="preserve"> Program Enrolments,</w:t>
      </w:r>
      <w:r w:rsidRPr="0097250E">
        <w:rPr>
          <w:rFonts w:asciiTheme="minorHAnsi" w:hAnsiTheme="minorHAnsi" w:cstheme="minorHAnsi"/>
          <w:sz w:val="18"/>
          <w:szCs w:val="18"/>
        </w:rPr>
        <w:t xml:space="preserve"> VOCSTATS.</w:t>
      </w:r>
    </w:p>
  </w:footnote>
  <w:footnote w:id="84">
    <w:p w14:paraId="7BFDD4CA" w14:textId="237A63A7" w:rsidR="00041496" w:rsidRPr="00041496" w:rsidRDefault="00041496">
      <w:pPr>
        <w:pStyle w:val="FootnoteText"/>
        <w:rPr>
          <w:rFonts w:asciiTheme="majorHAnsi" w:hAnsiTheme="majorHAnsi" w:cstheme="majorHAnsi"/>
          <w:sz w:val="18"/>
          <w:szCs w:val="18"/>
        </w:rPr>
      </w:pPr>
      <w:r w:rsidRPr="00041496">
        <w:rPr>
          <w:rStyle w:val="FootnoteReference"/>
          <w:rFonts w:asciiTheme="majorHAnsi" w:hAnsiTheme="majorHAnsi" w:cstheme="majorHAnsi"/>
          <w:sz w:val="18"/>
          <w:szCs w:val="18"/>
        </w:rPr>
        <w:footnoteRef/>
      </w:r>
      <w:r w:rsidRPr="00041496">
        <w:rPr>
          <w:rFonts w:asciiTheme="majorHAnsi" w:hAnsiTheme="majorHAnsi" w:cstheme="majorHAnsi"/>
          <w:sz w:val="18"/>
          <w:szCs w:val="18"/>
        </w:rPr>
        <w:t xml:space="preserve"> </w:t>
      </w:r>
      <w:hyperlink r:id="rId29" w:history="1">
        <w:r w:rsidR="0046380D" w:rsidRPr="00BA25DC">
          <w:rPr>
            <w:rStyle w:val="Hyperlink"/>
            <w:rFonts w:asciiTheme="majorHAnsi" w:hAnsiTheme="majorHAnsi" w:cstheme="majorHAnsi"/>
            <w:sz w:val="18"/>
            <w:szCs w:val="18"/>
          </w:rPr>
          <w:t>NCVER National S</w:t>
        </w:r>
        <w:r w:rsidR="00BA25DC" w:rsidRPr="00BA25DC">
          <w:rPr>
            <w:rStyle w:val="Hyperlink"/>
            <w:rFonts w:asciiTheme="majorHAnsi" w:hAnsiTheme="majorHAnsi" w:cstheme="majorHAnsi"/>
            <w:sz w:val="18"/>
            <w:szCs w:val="18"/>
          </w:rPr>
          <w:t>tudent Outcomes Survey 2023: data dictionary</w:t>
        </w:r>
      </w:hyperlink>
      <w:r w:rsidR="00D0204B">
        <w:rPr>
          <w:rFonts w:asciiTheme="majorHAnsi" w:hAnsiTheme="majorHAnsi" w:cstheme="majorHAnsi"/>
          <w:sz w:val="18"/>
          <w:szCs w:val="18"/>
        </w:rPr>
        <w:t xml:space="preserve"> </w:t>
      </w:r>
      <w:r w:rsidR="001D7437">
        <w:rPr>
          <w:rFonts w:asciiTheme="majorHAnsi" w:hAnsiTheme="majorHAnsi" w:cstheme="majorHAnsi"/>
          <w:sz w:val="18"/>
          <w:szCs w:val="18"/>
        </w:rPr>
        <w:t>(</w:t>
      </w:r>
      <w:r w:rsidR="00A10606">
        <w:rPr>
          <w:rFonts w:asciiTheme="majorHAnsi" w:hAnsiTheme="majorHAnsi" w:cstheme="majorHAnsi"/>
          <w:sz w:val="18"/>
          <w:szCs w:val="18"/>
        </w:rPr>
        <w:t>page 15</w:t>
      </w:r>
      <w:r w:rsidR="006D4BC8">
        <w:rPr>
          <w:rFonts w:asciiTheme="majorHAnsi" w:hAnsiTheme="majorHAnsi" w:cstheme="majorHAnsi"/>
          <w:sz w:val="18"/>
          <w:szCs w:val="18"/>
        </w:rPr>
        <w:t>2</w:t>
      </w:r>
      <w:r w:rsidR="001D7437">
        <w:rPr>
          <w:rFonts w:asciiTheme="majorHAnsi" w:hAnsiTheme="majorHAnsi" w:cstheme="majorHAnsi"/>
          <w:sz w:val="18"/>
          <w:szCs w:val="18"/>
        </w:rPr>
        <w:t xml:space="preserve">) </w:t>
      </w:r>
      <w:r w:rsidR="00C25A9E">
        <w:rPr>
          <w:rFonts w:asciiTheme="majorHAnsi" w:hAnsiTheme="majorHAnsi" w:cstheme="majorHAnsi"/>
          <w:sz w:val="18"/>
          <w:szCs w:val="18"/>
        </w:rPr>
        <w:t>defined as</w:t>
      </w:r>
      <w:r w:rsidR="00853FCB">
        <w:rPr>
          <w:rFonts w:asciiTheme="majorHAnsi" w:hAnsiTheme="majorHAnsi" w:cstheme="majorHAnsi"/>
          <w:sz w:val="18"/>
          <w:szCs w:val="18"/>
        </w:rPr>
        <w:t>:</w:t>
      </w:r>
      <w:r w:rsidR="00C25A9E">
        <w:rPr>
          <w:rFonts w:asciiTheme="majorHAnsi" w:hAnsiTheme="majorHAnsi" w:cstheme="majorHAnsi"/>
          <w:sz w:val="18"/>
          <w:szCs w:val="18"/>
        </w:rPr>
        <w:t xml:space="preserve"> </w:t>
      </w:r>
      <w:r w:rsidR="00D0204B">
        <w:rPr>
          <w:rFonts w:asciiTheme="majorHAnsi" w:hAnsiTheme="majorHAnsi" w:cstheme="majorHAnsi"/>
          <w:sz w:val="18"/>
          <w:szCs w:val="18"/>
        </w:rPr>
        <w:t>employ</w:t>
      </w:r>
      <w:r w:rsidR="001F3FF5">
        <w:rPr>
          <w:rFonts w:asciiTheme="majorHAnsi" w:hAnsiTheme="majorHAnsi" w:cstheme="majorHAnsi"/>
          <w:sz w:val="18"/>
          <w:szCs w:val="18"/>
        </w:rPr>
        <w:t>ed</w:t>
      </w:r>
      <w:r w:rsidR="00D0204B">
        <w:rPr>
          <w:rFonts w:asciiTheme="majorHAnsi" w:hAnsiTheme="majorHAnsi" w:cstheme="majorHAnsi"/>
          <w:sz w:val="18"/>
          <w:szCs w:val="18"/>
        </w:rPr>
        <w:t xml:space="preserve"> </w:t>
      </w:r>
      <w:r w:rsidR="007B5109">
        <w:rPr>
          <w:rFonts w:asciiTheme="majorHAnsi" w:hAnsiTheme="majorHAnsi" w:cstheme="majorHAnsi"/>
          <w:sz w:val="18"/>
          <w:szCs w:val="18"/>
        </w:rPr>
        <w:t>(</w:t>
      </w:r>
      <w:r w:rsidR="001F3FF5">
        <w:rPr>
          <w:rFonts w:asciiTheme="majorHAnsi" w:hAnsiTheme="majorHAnsi" w:cstheme="majorHAnsi"/>
          <w:sz w:val="18"/>
          <w:szCs w:val="18"/>
        </w:rPr>
        <w:t>if</w:t>
      </w:r>
      <w:r w:rsidR="00AC1D7D">
        <w:rPr>
          <w:rFonts w:asciiTheme="majorHAnsi" w:hAnsiTheme="majorHAnsi" w:cstheme="majorHAnsi"/>
          <w:sz w:val="18"/>
          <w:szCs w:val="18"/>
        </w:rPr>
        <w:t xml:space="preserve"> not employed before training</w:t>
      </w:r>
      <w:r w:rsidR="007B5109">
        <w:rPr>
          <w:rFonts w:asciiTheme="majorHAnsi" w:hAnsiTheme="majorHAnsi" w:cstheme="majorHAnsi"/>
          <w:sz w:val="18"/>
          <w:szCs w:val="18"/>
        </w:rPr>
        <w:t>)</w:t>
      </w:r>
      <w:r w:rsidR="00953BF4">
        <w:rPr>
          <w:rFonts w:asciiTheme="majorHAnsi" w:hAnsiTheme="majorHAnsi" w:cstheme="majorHAnsi"/>
          <w:sz w:val="18"/>
          <w:szCs w:val="18"/>
        </w:rPr>
        <w:t xml:space="preserve"> or </w:t>
      </w:r>
      <w:r w:rsidR="00C53B97">
        <w:rPr>
          <w:rFonts w:asciiTheme="majorHAnsi" w:hAnsiTheme="majorHAnsi" w:cstheme="majorHAnsi"/>
          <w:sz w:val="18"/>
          <w:szCs w:val="18"/>
        </w:rPr>
        <w:t>(</w:t>
      </w:r>
      <w:r w:rsidR="00953BF4">
        <w:rPr>
          <w:rFonts w:asciiTheme="majorHAnsi" w:hAnsiTheme="majorHAnsi" w:cstheme="majorHAnsi"/>
          <w:sz w:val="18"/>
          <w:szCs w:val="18"/>
        </w:rPr>
        <w:t>if employed before training</w:t>
      </w:r>
      <w:r w:rsidR="00C53B97">
        <w:rPr>
          <w:rFonts w:asciiTheme="majorHAnsi" w:hAnsiTheme="majorHAnsi" w:cstheme="majorHAnsi"/>
          <w:sz w:val="18"/>
          <w:szCs w:val="18"/>
        </w:rPr>
        <w:t>)</w:t>
      </w:r>
      <w:r w:rsidR="00953BF4">
        <w:rPr>
          <w:rFonts w:asciiTheme="majorHAnsi" w:hAnsiTheme="majorHAnsi" w:cstheme="majorHAnsi"/>
          <w:sz w:val="18"/>
          <w:szCs w:val="18"/>
        </w:rPr>
        <w:t xml:space="preserve"> a change in</w:t>
      </w:r>
      <w:r w:rsidR="00AC1D7D">
        <w:rPr>
          <w:rFonts w:asciiTheme="majorHAnsi" w:hAnsiTheme="majorHAnsi" w:cstheme="majorHAnsi"/>
          <w:sz w:val="18"/>
          <w:szCs w:val="18"/>
        </w:rPr>
        <w:t xml:space="preserve"> skill level</w:t>
      </w:r>
      <w:r w:rsidR="00953BF4">
        <w:rPr>
          <w:rFonts w:asciiTheme="majorHAnsi" w:hAnsiTheme="majorHAnsi" w:cstheme="majorHAnsi"/>
          <w:sz w:val="18"/>
          <w:szCs w:val="18"/>
        </w:rPr>
        <w:t xml:space="preserve"> or </w:t>
      </w:r>
      <w:r w:rsidR="002D63D0">
        <w:rPr>
          <w:rFonts w:asciiTheme="majorHAnsi" w:hAnsiTheme="majorHAnsi" w:cstheme="majorHAnsi"/>
          <w:sz w:val="18"/>
          <w:szCs w:val="18"/>
        </w:rPr>
        <w:t>job-related</w:t>
      </w:r>
      <w:r w:rsidR="00953BF4">
        <w:rPr>
          <w:rFonts w:asciiTheme="majorHAnsi" w:hAnsiTheme="majorHAnsi" w:cstheme="majorHAnsi"/>
          <w:sz w:val="18"/>
          <w:szCs w:val="18"/>
        </w:rPr>
        <w:t xml:space="preserve"> benefits</w:t>
      </w:r>
      <w:r w:rsidR="00C53B97">
        <w:rPr>
          <w:rFonts w:asciiTheme="majorHAnsi" w:hAnsiTheme="majorHAnsi" w:cstheme="majorHAnsi"/>
          <w:sz w:val="18"/>
          <w:szCs w:val="18"/>
        </w:rPr>
        <w:t>.</w:t>
      </w:r>
    </w:p>
  </w:footnote>
  <w:footnote w:id="85">
    <w:p w14:paraId="5EFA1A1F" w14:textId="77777777" w:rsidR="008815E9" w:rsidRPr="009073E1" w:rsidRDefault="008815E9" w:rsidP="008815E9">
      <w:pPr>
        <w:pStyle w:val="FootnoteText"/>
        <w:rPr>
          <w:rFonts w:asciiTheme="minorHAnsi" w:hAnsiTheme="minorHAnsi" w:cstheme="minorHAnsi"/>
          <w:sz w:val="18"/>
          <w:szCs w:val="18"/>
        </w:rPr>
      </w:pPr>
      <w:r w:rsidRPr="009073E1">
        <w:rPr>
          <w:rStyle w:val="FootnoteReference"/>
          <w:rFonts w:asciiTheme="minorHAnsi" w:hAnsiTheme="minorHAnsi" w:cstheme="minorHAnsi"/>
          <w:sz w:val="18"/>
          <w:szCs w:val="18"/>
        </w:rPr>
        <w:footnoteRef/>
      </w:r>
      <w:r w:rsidRPr="009073E1">
        <w:rPr>
          <w:rFonts w:asciiTheme="minorHAnsi" w:hAnsiTheme="minorHAnsi" w:cstheme="minorHAnsi"/>
          <w:sz w:val="18"/>
          <w:szCs w:val="18"/>
        </w:rPr>
        <w:t xml:space="preserve"> </w:t>
      </w:r>
      <w:hyperlink r:id="rId30" w:anchor="search=%22committees/commrep/27065/0000%22" w:history="1">
        <w:r w:rsidRPr="009073E1">
          <w:rPr>
            <w:rStyle w:val="Hyperlink"/>
            <w:rFonts w:asciiTheme="minorHAnsi" w:hAnsiTheme="minorHAnsi" w:cstheme="minorHAnsi"/>
            <w:sz w:val="18"/>
            <w:szCs w:val="18"/>
          </w:rPr>
          <w:t>Hansard of Inquiry into the Perceptions and Status of VET, Brighton Hearings, 27 July 2023 (page 5).</w:t>
        </w:r>
      </w:hyperlink>
    </w:p>
  </w:footnote>
  <w:footnote w:id="86">
    <w:p w14:paraId="5D727F15" w14:textId="20B6780B" w:rsidR="00A57634" w:rsidRPr="002F5EE8" w:rsidRDefault="00A57634">
      <w:pPr>
        <w:pStyle w:val="FootnoteText"/>
        <w:rPr>
          <w:rFonts w:asciiTheme="minorHAnsi" w:hAnsiTheme="minorHAnsi" w:cstheme="minorHAnsi"/>
          <w:sz w:val="18"/>
          <w:szCs w:val="18"/>
        </w:rPr>
      </w:pPr>
      <w:r w:rsidRPr="002F5EE8">
        <w:rPr>
          <w:rStyle w:val="FootnoteReference"/>
          <w:rFonts w:asciiTheme="minorHAnsi" w:hAnsiTheme="minorHAnsi" w:cstheme="minorHAnsi"/>
          <w:sz w:val="18"/>
          <w:szCs w:val="18"/>
        </w:rPr>
        <w:footnoteRef/>
      </w:r>
      <w:r w:rsidRPr="002F5EE8">
        <w:rPr>
          <w:rFonts w:asciiTheme="minorHAnsi" w:hAnsiTheme="minorHAnsi" w:cstheme="minorHAnsi"/>
          <w:sz w:val="18"/>
          <w:szCs w:val="18"/>
        </w:rPr>
        <w:t xml:space="preserve"> For the purposes </w:t>
      </w:r>
      <w:r w:rsidR="00662E62" w:rsidRPr="002F5EE8">
        <w:rPr>
          <w:rFonts w:asciiTheme="minorHAnsi" w:hAnsiTheme="minorHAnsi" w:cstheme="minorHAnsi"/>
          <w:sz w:val="18"/>
          <w:szCs w:val="18"/>
        </w:rPr>
        <w:t xml:space="preserve">of the National Regional, Rural and Remote Tertiary Education Strategy (Napthine Review), tertiary education was defined as </w:t>
      </w:r>
      <w:r w:rsidR="00640B38">
        <w:rPr>
          <w:rFonts w:asciiTheme="minorHAnsi" w:hAnsiTheme="minorHAnsi" w:cstheme="minorHAnsi"/>
          <w:sz w:val="18"/>
          <w:szCs w:val="18"/>
        </w:rPr>
        <w:t>‘</w:t>
      </w:r>
      <w:r w:rsidR="00662E62" w:rsidRPr="002F5EE8">
        <w:rPr>
          <w:rFonts w:asciiTheme="minorHAnsi" w:hAnsiTheme="minorHAnsi" w:cstheme="minorHAnsi"/>
          <w:sz w:val="18"/>
          <w:szCs w:val="18"/>
        </w:rPr>
        <w:t>both higher education and vocational education and training (VET), focusing on post-secondary education qualifications</w:t>
      </w:r>
      <w:r w:rsidR="00640B38">
        <w:rPr>
          <w:rFonts w:asciiTheme="minorHAnsi" w:hAnsiTheme="minorHAnsi" w:cstheme="minorHAnsi"/>
          <w:sz w:val="18"/>
          <w:szCs w:val="18"/>
        </w:rPr>
        <w:t>’ (page 1)</w:t>
      </w:r>
      <w:r w:rsidR="00662E62" w:rsidRPr="002F5EE8">
        <w:rPr>
          <w:rFonts w:asciiTheme="minorHAnsi" w:hAnsiTheme="minorHAnsi" w:cstheme="minorHAnsi"/>
          <w:sz w:val="18"/>
          <w:szCs w:val="18"/>
        </w:rPr>
        <w:t>.</w:t>
      </w:r>
    </w:p>
  </w:footnote>
  <w:footnote w:id="87">
    <w:p w14:paraId="68266070" w14:textId="77777777" w:rsidR="00AE39F0" w:rsidRDefault="00AE39F0" w:rsidP="00AE39F0">
      <w:pPr>
        <w:pStyle w:val="FootnoteText"/>
      </w:pPr>
      <w:r w:rsidRPr="008B42C7">
        <w:rPr>
          <w:rStyle w:val="FootnoteReference"/>
          <w:rFonts w:asciiTheme="majorHAnsi" w:hAnsiTheme="majorHAnsi" w:cstheme="majorHAnsi"/>
          <w:sz w:val="18"/>
          <w:szCs w:val="18"/>
        </w:rPr>
        <w:footnoteRef/>
      </w:r>
      <w:r>
        <w:t xml:space="preserve"> </w:t>
      </w:r>
      <w:r w:rsidRPr="00121993">
        <w:rPr>
          <w:rFonts w:asciiTheme="minorHAnsi" w:eastAsia="Arial" w:hAnsiTheme="minorHAnsi" w:cstheme="minorHAnsi"/>
          <w:sz w:val="18"/>
          <w:szCs w:val="18"/>
        </w:rPr>
        <w:t xml:space="preserve">Mid North Coast NSW is one of 51 designated </w:t>
      </w:r>
      <w:hyperlink r:id="rId31">
        <w:r w:rsidRPr="00121993">
          <w:rPr>
            <w:rStyle w:val="Hyperlink"/>
            <w:rFonts w:asciiTheme="minorHAnsi" w:eastAsia="Arial" w:hAnsiTheme="minorHAnsi" w:cstheme="minorHAnsi"/>
            <w:color w:val="013D74"/>
            <w:sz w:val="18"/>
            <w:szCs w:val="18"/>
          </w:rPr>
          <w:t>Employment Regions</w:t>
        </w:r>
      </w:hyperlink>
      <w:r w:rsidRPr="00121993">
        <w:rPr>
          <w:rFonts w:asciiTheme="minorHAnsi" w:eastAsia="Arial" w:hAnsiTheme="minorHAnsi" w:cstheme="minorHAnsi"/>
          <w:sz w:val="18"/>
          <w:szCs w:val="18"/>
        </w:rPr>
        <w:t xml:space="preserve"> across Australia used by the Department of Employment and Workplace Relations (DEWR) to manage employment services programs. Throughout this case study, unless otherwise stated, data are for the Coffs Harbour–Grafton SA4 and Mid North Coast SA4 regions combined, which is a good proxy for the Employment Region.</w:t>
      </w:r>
    </w:p>
  </w:footnote>
  <w:footnote w:id="88">
    <w:p w14:paraId="7DE1A8B2" w14:textId="77777777" w:rsidR="00A91189" w:rsidRDefault="00A91189" w:rsidP="00A91189">
      <w:pPr>
        <w:pStyle w:val="FootnoteText"/>
      </w:pPr>
      <w:r>
        <w:rPr>
          <w:rStyle w:val="FootnoteReference"/>
        </w:rPr>
        <w:footnoteRef/>
      </w:r>
      <w:r>
        <w:t xml:space="preserve"> </w:t>
      </w:r>
      <w:hyperlink r:id="rId32">
        <w:r w:rsidRPr="00121993">
          <w:rPr>
            <w:rStyle w:val="Hyperlink"/>
            <w:rFonts w:asciiTheme="minorHAnsi" w:eastAsia="Arial" w:hAnsiTheme="minorHAnsi" w:cstheme="minorHAnsi"/>
            <w:color w:val="013D74"/>
            <w:sz w:val="18"/>
            <w:szCs w:val="18"/>
          </w:rPr>
          <w:t>Local Jobs Plan – Mid North Coast Employment Region, NSW, January 2024</w:t>
        </w:r>
      </w:hyperlink>
    </w:p>
  </w:footnote>
  <w:footnote w:id="89">
    <w:p w14:paraId="5511B8B0" w14:textId="77777777" w:rsidR="00A91189" w:rsidRDefault="00A91189" w:rsidP="00A91189">
      <w:pPr>
        <w:pStyle w:val="FootnoteText"/>
      </w:pPr>
      <w:r>
        <w:rPr>
          <w:rStyle w:val="FootnoteReference"/>
        </w:rPr>
        <w:footnoteRef/>
      </w:r>
      <w:r>
        <w:t xml:space="preserve"> </w:t>
      </w:r>
      <w:hyperlink r:id="rId33">
        <w:r w:rsidRPr="00121993">
          <w:rPr>
            <w:rStyle w:val="Hyperlink"/>
            <w:rFonts w:asciiTheme="minorHAnsi" w:eastAsia="Arial" w:hAnsiTheme="minorHAnsi" w:cstheme="minorHAnsi"/>
            <w:color w:val="013D74"/>
            <w:sz w:val="18"/>
            <w:szCs w:val="18"/>
          </w:rPr>
          <w:t>‘Stark Realities of Mid North Coast Childcare Crisis Laid Bare’</w:t>
        </w:r>
      </w:hyperlink>
      <w:r w:rsidRPr="00121993">
        <w:rPr>
          <w:rFonts w:asciiTheme="minorHAnsi" w:eastAsia="Arial" w:hAnsiTheme="minorHAnsi" w:cstheme="minorHAnsi"/>
          <w:sz w:val="18"/>
          <w:szCs w:val="18"/>
        </w:rPr>
        <w:t xml:space="preserve"> by News of The Area - February 15, 2024</w:t>
      </w:r>
    </w:p>
  </w:footnote>
  <w:footnote w:id="90">
    <w:p w14:paraId="4194A80A" w14:textId="2B7E5F7B" w:rsidR="00CA5D35" w:rsidRPr="00F26C34" w:rsidRDefault="00CA5D35">
      <w:pPr>
        <w:pStyle w:val="FootnoteText"/>
        <w:rPr>
          <w:rFonts w:asciiTheme="minorHAnsi" w:hAnsiTheme="minorHAnsi" w:cstheme="minorHAnsi"/>
          <w:sz w:val="18"/>
          <w:szCs w:val="18"/>
        </w:rPr>
      </w:pPr>
      <w:r w:rsidRPr="00F26C34">
        <w:rPr>
          <w:rStyle w:val="FootnoteReference"/>
          <w:rFonts w:asciiTheme="minorHAnsi" w:hAnsiTheme="minorHAnsi" w:cstheme="minorHAnsi"/>
          <w:sz w:val="18"/>
          <w:szCs w:val="18"/>
        </w:rPr>
        <w:footnoteRef/>
      </w:r>
      <w:r w:rsidRPr="00F26C34">
        <w:rPr>
          <w:rFonts w:asciiTheme="minorHAnsi" w:hAnsiTheme="minorHAnsi" w:cstheme="minorHAnsi"/>
          <w:sz w:val="18"/>
          <w:szCs w:val="18"/>
        </w:rPr>
        <w:t xml:space="preserve"> </w:t>
      </w:r>
      <w:r w:rsidR="00234290" w:rsidRPr="00F26C34">
        <w:rPr>
          <w:rFonts w:asciiTheme="minorHAnsi" w:hAnsiTheme="minorHAnsi" w:cstheme="minorHAnsi"/>
          <w:sz w:val="18"/>
          <w:szCs w:val="18"/>
        </w:rPr>
        <w:t>ABS</w:t>
      </w:r>
      <w:r w:rsidR="00AE0685" w:rsidRPr="00F26C34">
        <w:rPr>
          <w:rFonts w:asciiTheme="minorHAnsi" w:hAnsiTheme="minorHAnsi" w:cstheme="minorHAnsi"/>
          <w:sz w:val="18"/>
          <w:szCs w:val="18"/>
        </w:rPr>
        <w:t xml:space="preserve"> Net internal and overseas migration estimates by age, by SA2 and above (ASGS Edition 3), 2021-22</w:t>
      </w:r>
    </w:p>
  </w:footnote>
  <w:footnote w:id="91">
    <w:p w14:paraId="72F24D57" w14:textId="77777777" w:rsidR="00A91189" w:rsidRDefault="00A91189" w:rsidP="00A91189">
      <w:pPr>
        <w:pStyle w:val="FootnoteText"/>
      </w:pPr>
      <w:r>
        <w:rPr>
          <w:rStyle w:val="FootnoteReference"/>
        </w:rPr>
        <w:footnoteRef/>
      </w:r>
      <w:r>
        <w:t xml:space="preserve"> </w:t>
      </w:r>
      <w:r w:rsidRPr="00121993">
        <w:rPr>
          <w:rFonts w:asciiTheme="minorHAnsi" w:eastAsia="Arial" w:hAnsiTheme="minorHAnsi" w:cstheme="minorHAnsi"/>
          <w:sz w:val="18"/>
          <w:szCs w:val="18"/>
        </w:rPr>
        <w:t xml:space="preserve">ABS, </w:t>
      </w:r>
      <w:r w:rsidRPr="001E6F2A">
        <w:rPr>
          <w:rFonts w:asciiTheme="minorHAnsi" w:eastAsia="Arial" w:hAnsiTheme="minorHAnsi" w:cstheme="minorHAnsi"/>
          <w:i/>
          <w:iCs/>
          <w:sz w:val="18"/>
          <w:szCs w:val="18"/>
        </w:rPr>
        <w:t>Counts of Australian Businesses (CABEE) including Entries and Exits</w:t>
      </w:r>
      <w:r w:rsidRPr="00121993">
        <w:rPr>
          <w:rFonts w:asciiTheme="minorHAnsi" w:eastAsia="Arial" w:hAnsiTheme="minorHAnsi" w:cstheme="minorHAnsi"/>
          <w:sz w:val="18"/>
          <w:szCs w:val="18"/>
        </w:rPr>
        <w:t>, June 2019 to June 2023.</w:t>
      </w:r>
    </w:p>
  </w:footnote>
  <w:footnote w:id="92">
    <w:p w14:paraId="548E020F" w14:textId="77777777" w:rsidR="00A91189" w:rsidRPr="0045004B" w:rsidRDefault="00A91189" w:rsidP="00A91189">
      <w:pPr>
        <w:rPr>
          <w:rFonts w:asciiTheme="minorHAnsi" w:hAnsiTheme="minorHAnsi" w:cstheme="minorHAnsi"/>
        </w:rPr>
      </w:pPr>
      <w:r w:rsidRPr="00FB2D2E">
        <w:rPr>
          <w:rStyle w:val="FootnoteReference"/>
          <w:rFonts w:asciiTheme="minorHAnsi" w:hAnsiTheme="minorHAnsi" w:cstheme="minorHAnsi"/>
        </w:rPr>
        <w:footnoteRef/>
      </w:r>
      <w:r>
        <w:t xml:space="preserve"> </w:t>
      </w:r>
      <w:r w:rsidRPr="00121993">
        <w:rPr>
          <w:rFonts w:asciiTheme="minorHAnsi" w:eastAsia="Arial" w:hAnsiTheme="minorHAnsi" w:cstheme="minorHAnsi"/>
          <w:sz w:val="18"/>
          <w:szCs w:val="18"/>
        </w:rPr>
        <w:t>Regional Development Australia, Mid North Coast Employment Region: Released 24 April 2024.</w:t>
      </w:r>
    </w:p>
  </w:footnote>
  <w:footnote w:id="93">
    <w:p w14:paraId="66F1D23D" w14:textId="77777777" w:rsidR="00A91189" w:rsidRDefault="00A91189" w:rsidP="00A91189">
      <w:pPr>
        <w:pStyle w:val="FootnoteText"/>
      </w:pPr>
      <w:r>
        <w:rPr>
          <w:rStyle w:val="FootnoteReference"/>
        </w:rPr>
        <w:footnoteRef/>
      </w:r>
      <w:r>
        <w:t xml:space="preserve"> </w:t>
      </w:r>
      <w:hyperlink r:id="rId34">
        <w:r w:rsidRPr="00121993">
          <w:rPr>
            <w:rStyle w:val="Hyperlink"/>
            <w:rFonts w:asciiTheme="minorHAnsi" w:eastAsia="Arial" w:hAnsiTheme="minorHAnsi" w:cstheme="minorHAnsi"/>
            <w:color w:val="013D74"/>
            <w:sz w:val="18"/>
            <w:szCs w:val="18"/>
          </w:rPr>
          <w:t>Recruitment trends and employers’ needs” Regional Snapshot update, Mid North Coast, February 2024</w:t>
        </w:r>
      </w:hyperlink>
    </w:p>
  </w:footnote>
  <w:footnote w:id="94">
    <w:p w14:paraId="661B515D" w14:textId="77777777" w:rsidR="00A91189" w:rsidRDefault="00A91189" w:rsidP="00A91189">
      <w:pPr>
        <w:pStyle w:val="FootnoteText"/>
      </w:pPr>
      <w:r>
        <w:rPr>
          <w:rStyle w:val="FootnoteReference"/>
        </w:rPr>
        <w:footnoteRef/>
      </w:r>
      <w:r>
        <w:t xml:space="preserve"> </w:t>
      </w:r>
      <w:r w:rsidRPr="00121993">
        <w:rPr>
          <w:rFonts w:asciiTheme="minorHAnsi" w:eastAsia="Arial" w:hAnsiTheme="minorHAnsi" w:cstheme="minorHAnsi"/>
          <w:sz w:val="18"/>
          <w:szCs w:val="18"/>
        </w:rPr>
        <w:t>JSA Skills Priority List 2023</w:t>
      </w:r>
    </w:p>
  </w:footnote>
  <w:footnote w:id="95">
    <w:p w14:paraId="410D4982" w14:textId="77777777" w:rsidR="00A91189" w:rsidRDefault="00A91189" w:rsidP="00A91189">
      <w:pPr>
        <w:pStyle w:val="FootnoteText"/>
      </w:pPr>
      <w:r>
        <w:rPr>
          <w:rStyle w:val="FootnoteReference"/>
        </w:rPr>
        <w:footnoteRef/>
      </w:r>
      <w:r>
        <w:t xml:space="preserve"> </w:t>
      </w:r>
      <w:hyperlink r:id="rId35">
        <w:r w:rsidRPr="00121993">
          <w:rPr>
            <w:rStyle w:val="Hyperlink"/>
            <w:rFonts w:asciiTheme="minorHAnsi" w:eastAsia="Arial" w:hAnsiTheme="minorHAnsi" w:cstheme="minorHAnsi"/>
            <w:color w:val="013D74"/>
            <w:sz w:val="18"/>
            <w:szCs w:val="18"/>
          </w:rPr>
          <w:t>Australian Universities Accord Final Report - Department of Education 2024</w:t>
        </w:r>
      </w:hyperlink>
      <w:r w:rsidRPr="00121993">
        <w:rPr>
          <w:rFonts w:asciiTheme="minorHAnsi" w:eastAsia="Arial" w:hAnsiTheme="minorHAnsi" w:cstheme="minorHAnsi"/>
          <w:sz w:val="18"/>
          <w:szCs w:val="18"/>
        </w:rPr>
        <w:t xml:space="preserve"> (page 264).</w:t>
      </w:r>
    </w:p>
  </w:footnote>
  <w:footnote w:id="96">
    <w:p w14:paraId="35C9C935" w14:textId="1075EB2B" w:rsidR="00A91189" w:rsidRDefault="00A91189" w:rsidP="00A91189">
      <w:pPr>
        <w:pStyle w:val="FootnoteText"/>
      </w:pPr>
      <w:r>
        <w:rPr>
          <w:rStyle w:val="FootnoteReference"/>
        </w:rPr>
        <w:footnoteRef/>
      </w:r>
      <w:r>
        <w:t xml:space="preserve"> </w:t>
      </w:r>
      <w:hyperlink r:id="rId36">
        <w:r w:rsidR="00B02EF5">
          <w:rPr>
            <w:rStyle w:val="Hyperlink"/>
            <w:rFonts w:asciiTheme="minorHAnsi" w:eastAsia="Arial" w:hAnsiTheme="minorHAnsi" w:cstheme="minorHAnsi"/>
            <w:color w:val="013D74"/>
            <w:sz w:val="18"/>
            <w:szCs w:val="18"/>
          </w:rPr>
          <w:t>JSA Jobs and Skills Atlas</w:t>
        </w:r>
      </w:hyperlink>
    </w:p>
  </w:footnote>
  <w:footnote w:id="97">
    <w:p w14:paraId="1938CCF3" w14:textId="77777777" w:rsidR="00A91189" w:rsidRPr="003D3BF3" w:rsidRDefault="00A91189" w:rsidP="00164EE6">
      <w:pPr>
        <w:rPr>
          <w:rFonts w:asciiTheme="minorHAnsi" w:hAnsiTheme="minorHAnsi" w:cstheme="minorHAnsi"/>
        </w:rPr>
      </w:pPr>
      <w:r w:rsidRPr="00804574">
        <w:rPr>
          <w:rStyle w:val="FootnoteReference"/>
          <w:rFonts w:asciiTheme="minorHAnsi" w:hAnsiTheme="minorHAnsi" w:cstheme="minorHAnsi"/>
        </w:rPr>
        <w:footnoteRef/>
      </w:r>
      <w:r>
        <w:t xml:space="preserve"> </w:t>
      </w:r>
      <w:r w:rsidRPr="00121993">
        <w:rPr>
          <w:rFonts w:asciiTheme="minorHAnsi" w:eastAsia="Arial" w:hAnsiTheme="minorHAnsi" w:cstheme="minorHAnsi"/>
          <w:sz w:val="18"/>
          <w:szCs w:val="18"/>
        </w:rPr>
        <w:t>The SA3 regions of Coffs Harbour, Clarence Valley, Great Lakes, Kempsey-Nambucca, Lord Howe Island, Port Macquarie and Taree-Gloucester are automatically classified as DPAs due to being non-metropolitan areas.</w:t>
      </w:r>
    </w:p>
  </w:footnote>
  <w:footnote w:id="98">
    <w:p w14:paraId="331B3FD3" w14:textId="26B38A8D" w:rsidR="00A91189" w:rsidRDefault="00A91189" w:rsidP="00A91189">
      <w:pPr>
        <w:pStyle w:val="FootnoteText"/>
      </w:pPr>
      <w:r>
        <w:rPr>
          <w:rStyle w:val="FootnoteReference"/>
        </w:rPr>
        <w:footnoteRef/>
      </w:r>
      <w:r>
        <w:t xml:space="preserve"> </w:t>
      </w:r>
      <w:r w:rsidRPr="00121993">
        <w:rPr>
          <w:rFonts w:asciiTheme="minorHAnsi" w:eastAsia="Arial" w:hAnsiTheme="minorHAnsi" w:cstheme="minorHAnsi"/>
          <w:sz w:val="18"/>
          <w:szCs w:val="18"/>
        </w:rPr>
        <w:t>ABS Census of Population and Housing 2021</w:t>
      </w:r>
      <w:r w:rsidR="00164EE6">
        <w:rPr>
          <w:rFonts w:asciiTheme="minorHAnsi" w:eastAsia="Arial" w:hAnsiTheme="minorHAnsi" w:cstheme="minorHAnsi"/>
          <w:sz w:val="18"/>
          <w:szCs w:val="18"/>
        </w:rPr>
        <w:t>.</w:t>
      </w:r>
    </w:p>
  </w:footnote>
  <w:footnote w:id="99">
    <w:p w14:paraId="376C4850" w14:textId="77777777" w:rsidR="00A91189" w:rsidRDefault="00A91189" w:rsidP="00A91189">
      <w:pPr>
        <w:pStyle w:val="FootnoteText"/>
      </w:pPr>
      <w:r>
        <w:rPr>
          <w:rStyle w:val="FootnoteReference"/>
        </w:rPr>
        <w:footnoteRef/>
      </w:r>
      <w:r>
        <w:t xml:space="preserve"> </w:t>
      </w:r>
      <w:r w:rsidRPr="00121993">
        <w:rPr>
          <w:rFonts w:asciiTheme="minorHAnsi" w:eastAsia="Arial" w:hAnsiTheme="minorHAnsi" w:cstheme="minorHAnsi"/>
          <w:sz w:val="18"/>
          <w:szCs w:val="18"/>
        </w:rPr>
        <w:t xml:space="preserve">Identified strategies include increased use of telehealth and virtual care and supervision models and a reduced long-term reliance on international medical graduates. </w:t>
      </w:r>
      <w:hyperlink r:id="rId37">
        <w:r w:rsidRPr="00EC6C63">
          <w:rPr>
            <w:rStyle w:val="Hyperlink"/>
            <w:rFonts w:asciiTheme="minorHAnsi" w:eastAsia="Arial" w:hAnsiTheme="minorHAnsi" w:cstheme="minorHAnsi"/>
            <w:color w:val="013D74"/>
            <w:sz w:val="18"/>
            <w:szCs w:val="18"/>
          </w:rPr>
          <w:t>Australian Government Department of Health, National Medical Workforce Strategy 2021-2031</w:t>
        </w:r>
      </w:hyperlink>
      <w:r w:rsidRPr="00EC6C63">
        <w:rPr>
          <w:rFonts w:asciiTheme="minorHAnsi" w:eastAsia="Arial" w:hAnsiTheme="minorHAnsi" w:cstheme="minorHAnsi"/>
          <w:sz w:val="18"/>
          <w:szCs w:val="18"/>
        </w:rPr>
        <w:t>, p 29</w:t>
      </w:r>
      <w:r w:rsidRPr="00121993">
        <w:rPr>
          <w:rFonts w:asciiTheme="minorHAnsi" w:eastAsia="Arial" w:hAnsiTheme="minorHAnsi" w:cstheme="minorHAnsi"/>
          <w:sz w:val="18"/>
          <w:szCs w:val="18"/>
        </w:rPr>
        <w:t xml:space="preserve">  </w:t>
      </w:r>
    </w:p>
  </w:footnote>
  <w:footnote w:id="100">
    <w:p w14:paraId="4C0C84CB" w14:textId="77777777" w:rsidR="00A91189" w:rsidRDefault="00A91189" w:rsidP="00A91189">
      <w:pPr>
        <w:pStyle w:val="FootnoteText"/>
      </w:pPr>
      <w:r>
        <w:rPr>
          <w:rStyle w:val="FootnoteReference"/>
        </w:rPr>
        <w:footnoteRef/>
      </w:r>
      <w:r>
        <w:t xml:space="preserve"> </w:t>
      </w:r>
      <w:hyperlink r:id="rId38">
        <w:r w:rsidRPr="00121993">
          <w:rPr>
            <w:rStyle w:val="Hyperlink"/>
            <w:rFonts w:asciiTheme="minorHAnsi" w:eastAsia="Arial" w:hAnsiTheme="minorHAnsi" w:cstheme="minorHAnsi"/>
            <w:color w:val="013D74"/>
            <w:sz w:val="18"/>
            <w:szCs w:val="18"/>
          </w:rPr>
          <w:t>www.tafensw.ed.au/locations</w:t>
        </w:r>
      </w:hyperlink>
    </w:p>
  </w:footnote>
  <w:footnote w:id="101">
    <w:p w14:paraId="174F4128" w14:textId="77777777" w:rsidR="00A91189" w:rsidRDefault="00A91189" w:rsidP="00A91189">
      <w:pPr>
        <w:pStyle w:val="FootnoteText"/>
      </w:pPr>
      <w:r>
        <w:rPr>
          <w:rStyle w:val="FootnoteReference"/>
        </w:rPr>
        <w:footnoteRef/>
      </w:r>
      <w:r>
        <w:t xml:space="preserve"> </w:t>
      </w:r>
      <w:hyperlink r:id="rId39">
        <w:r w:rsidRPr="00121993">
          <w:rPr>
            <w:rStyle w:val="Hyperlink"/>
            <w:rFonts w:asciiTheme="minorHAnsi" w:eastAsia="Arial" w:hAnsiTheme="minorHAnsi" w:cstheme="minorHAnsi"/>
            <w:color w:val="013D74"/>
            <w:sz w:val="18"/>
            <w:szCs w:val="18"/>
          </w:rPr>
          <w:t>training.gov.au</w:t>
        </w:r>
      </w:hyperlink>
      <w:r w:rsidRPr="00121993">
        <w:rPr>
          <w:rFonts w:asciiTheme="minorHAnsi" w:eastAsia="Arial" w:hAnsiTheme="minorHAnsi" w:cstheme="minorHAnsi"/>
          <w:sz w:val="18"/>
          <w:szCs w:val="18"/>
        </w:rPr>
        <w:t xml:space="preserve"> and </w:t>
      </w:r>
      <w:hyperlink r:id="rId40">
        <w:r w:rsidRPr="00121993">
          <w:rPr>
            <w:rStyle w:val="Hyperlink"/>
            <w:rFonts w:asciiTheme="minorHAnsi" w:eastAsia="Arial" w:hAnsiTheme="minorHAnsi" w:cstheme="minorHAnsi"/>
            <w:color w:val="013D74"/>
            <w:sz w:val="18"/>
            <w:szCs w:val="18"/>
          </w:rPr>
          <w:t>Regional Development Australia Mid North Coast Strategic Regional Plan 2023-2033</w:t>
        </w:r>
      </w:hyperlink>
    </w:p>
  </w:footnote>
  <w:footnote w:id="102">
    <w:p w14:paraId="073E489C" w14:textId="77777777" w:rsidR="00A91189" w:rsidRPr="00971CB8" w:rsidRDefault="00A91189" w:rsidP="00A91189">
      <w:pPr>
        <w:pStyle w:val="FootnoteText"/>
        <w:rPr>
          <w:sz w:val="18"/>
          <w:szCs w:val="18"/>
        </w:rPr>
      </w:pPr>
      <w:r w:rsidRPr="0067115D">
        <w:rPr>
          <w:rStyle w:val="FootnoteReference"/>
          <w:rFonts w:cs="Arial"/>
        </w:rPr>
        <w:footnoteRef/>
      </w:r>
      <w:r w:rsidRPr="00971CB8">
        <w:rPr>
          <w:rFonts w:cs="Arial"/>
          <w:sz w:val="18"/>
          <w:szCs w:val="18"/>
        </w:rPr>
        <w:t xml:space="preserve"> </w:t>
      </w:r>
      <w:r w:rsidRPr="00971CB8">
        <w:rPr>
          <w:rFonts w:asciiTheme="minorHAnsi" w:hAnsiTheme="minorHAnsi" w:cstheme="minorHAnsi"/>
          <w:sz w:val="18"/>
          <w:szCs w:val="18"/>
        </w:rPr>
        <w:t>A Regional University Study Hub is a facility regional students can use to study tertiary courses locally delivered by distance from any Australian institution. Hubs provide infrastructure such as study spaces, video conferencing and computers with high-speed internet access, as well as administrative, academic and students support services.</w:t>
      </w:r>
    </w:p>
  </w:footnote>
  <w:footnote w:id="103">
    <w:p w14:paraId="3362A46E" w14:textId="77777777" w:rsidR="00A91189" w:rsidRDefault="00A91189" w:rsidP="00A91189">
      <w:pPr>
        <w:pStyle w:val="FootnoteText"/>
      </w:pPr>
      <w:r w:rsidRPr="00F66AAC">
        <w:rPr>
          <w:rStyle w:val="FootnoteReference"/>
          <w:rFonts w:cs="Arial"/>
        </w:rPr>
        <w:footnoteRef/>
      </w:r>
      <w:r>
        <w:t xml:space="preserve"> </w:t>
      </w:r>
      <w:hyperlink r:id="rId41">
        <w:r w:rsidRPr="00FA6B94">
          <w:rPr>
            <w:rStyle w:val="Hyperlink"/>
            <w:rFonts w:asciiTheme="minorHAnsi" w:eastAsia="Arial" w:hAnsiTheme="minorHAnsi" w:cstheme="minorHAnsi"/>
            <w:color w:val="013D74"/>
            <w:sz w:val="18"/>
            <w:szCs w:val="18"/>
          </w:rPr>
          <w:t>Australian Universities Accord Final Report - Department of Education 2024</w:t>
        </w:r>
      </w:hyperlink>
      <w:r w:rsidRPr="00FA6B94">
        <w:rPr>
          <w:rFonts w:asciiTheme="minorHAnsi" w:eastAsia="Arial" w:hAnsiTheme="minorHAnsi" w:cstheme="minorHAnsi"/>
          <w:sz w:val="18"/>
          <w:szCs w:val="18"/>
        </w:rPr>
        <w:t xml:space="preserve"> (page 82).</w:t>
      </w:r>
    </w:p>
  </w:footnote>
  <w:footnote w:id="104">
    <w:p w14:paraId="6A4AD26C" w14:textId="77777777" w:rsidR="00A91189" w:rsidRDefault="00A91189" w:rsidP="00A91189">
      <w:pPr>
        <w:pStyle w:val="FootnoteText"/>
      </w:pPr>
      <w:r w:rsidRPr="00CD17D5">
        <w:rPr>
          <w:rStyle w:val="FootnoteReference"/>
          <w:rFonts w:cs="Arial"/>
        </w:rPr>
        <w:footnoteRef/>
      </w:r>
      <w:r>
        <w:t xml:space="preserve"> </w:t>
      </w:r>
      <w:hyperlink r:id="rId42">
        <w:r w:rsidRPr="0007511E">
          <w:rPr>
            <w:rStyle w:val="Hyperlink"/>
            <w:rFonts w:asciiTheme="minorHAnsi" w:eastAsia="Arial" w:hAnsiTheme="minorHAnsi" w:cstheme="minorHAnsi"/>
            <w:color w:val="013D74"/>
            <w:sz w:val="18"/>
            <w:szCs w:val="18"/>
          </w:rPr>
          <w:t>Australian Universities Accord Final Report - Department of Education 2024</w:t>
        </w:r>
      </w:hyperlink>
      <w:r w:rsidRPr="0007511E">
        <w:rPr>
          <w:rFonts w:asciiTheme="minorHAnsi" w:eastAsia="Arial" w:hAnsiTheme="minorHAnsi" w:cstheme="minorHAnsi"/>
          <w:sz w:val="18"/>
          <w:szCs w:val="18"/>
        </w:rPr>
        <w:t xml:space="preserve"> (page 265).</w:t>
      </w:r>
    </w:p>
  </w:footnote>
  <w:footnote w:id="105">
    <w:p w14:paraId="5377577E" w14:textId="77777777" w:rsidR="00A91189" w:rsidRPr="00CD17D5" w:rsidRDefault="00A91189" w:rsidP="00A91189">
      <w:pPr>
        <w:rPr>
          <w:rFonts w:asciiTheme="minorHAnsi" w:hAnsiTheme="minorHAnsi" w:cstheme="minorHAnsi"/>
        </w:rPr>
      </w:pPr>
      <w:r w:rsidRPr="00CD17D5">
        <w:rPr>
          <w:rStyle w:val="FootnoteReference"/>
          <w:rFonts w:cs="Arial"/>
          <w:sz w:val="20"/>
          <w:szCs w:val="20"/>
        </w:rPr>
        <w:footnoteRef/>
      </w:r>
      <w:r>
        <w:t xml:space="preserve"> </w:t>
      </w:r>
      <w:hyperlink r:id="rId43">
        <w:r w:rsidRPr="0007511E">
          <w:rPr>
            <w:rStyle w:val="Hyperlink"/>
            <w:rFonts w:asciiTheme="minorHAnsi" w:eastAsia="Arial" w:hAnsiTheme="minorHAnsi" w:cstheme="minorHAnsi"/>
            <w:color w:val="013D74"/>
            <w:sz w:val="18"/>
            <w:szCs w:val="18"/>
          </w:rPr>
          <w:t>Charles Sturt University – Port Macquarie – Undergraduate courses</w:t>
        </w:r>
      </w:hyperlink>
    </w:p>
  </w:footnote>
  <w:footnote w:id="106">
    <w:p w14:paraId="246469F2" w14:textId="77777777" w:rsidR="00A91189" w:rsidRPr="00CD17D5" w:rsidRDefault="00A91189" w:rsidP="00A91189">
      <w:pPr>
        <w:pStyle w:val="FootnoteText"/>
        <w:rPr>
          <w:rFonts w:cs="Arial"/>
        </w:rPr>
      </w:pPr>
      <w:r w:rsidRPr="00CD17D5">
        <w:rPr>
          <w:rStyle w:val="FootnoteReference"/>
          <w:rFonts w:cs="Arial"/>
        </w:rPr>
        <w:footnoteRef/>
      </w:r>
      <w:r w:rsidRPr="00CD17D5">
        <w:rPr>
          <w:rFonts w:cs="Arial"/>
        </w:rPr>
        <w:t xml:space="preserve"> </w:t>
      </w:r>
      <w:hyperlink r:id="rId44">
        <w:r w:rsidRPr="0007511E">
          <w:rPr>
            <w:rStyle w:val="Hyperlink"/>
            <w:rFonts w:asciiTheme="minorHAnsi" w:eastAsia="Arial" w:hAnsiTheme="minorHAnsi" w:cstheme="minorHAnsi"/>
            <w:color w:val="013D74"/>
            <w:sz w:val="18"/>
            <w:szCs w:val="18"/>
          </w:rPr>
          <w:t>Southern Cross University – Coffs Harbour - Undergraduate courses</w:t>
        </w:r>
      </w:hyperlink>
    </w:p>
  </w:footnote>
  <w:footnote w:id="107">
    <w:p w14:paraId="4FA82EEF" w14:textId="77777777" w:rsidR="00A91189" w:rsidRPr="00366CBF" w:rsidRDefault="00A91189" w:rsidP="00A91189">
      <w:pPr>
        <w:rPr>
          <w:rFonts w:asciiTheme="minorHAnsi" w:hAnsiTheme="minorHAnsi" w:cstheme="minorHAnsi"/>
        </w:rPr>
      </w:pPr>
      <w:r w:rsidRPr="00A70DF8">
        <w:rPr>
          <w:rStyle w:val="FootnoteReference"/>
          <w:rFonts w:cs="Arial"/>
          <w:sz w:val="20"/>
          <w:szCs w:val="20"/>
        </w:rPr>
        <w:footnoteRef/>
      </w:r>
      <w:r>
        <w:t xml:space="preserve"> </w:t>
      </w:r>
      <w:hyperlink r:id="rId45">
        <w:r w:rsidRPr="00FA6B94">
          <w:rPr>
            <w:rStyle w:val="Hyperlink"/>
            <w:rFonts w:asciiTheme="minorHAnsi" w:eastAsia="Arial" w:hAnsiTheme="minorHAnsi" w:cstheme="minorHAnsi"/>
            <w:color w:val="013D74"/>
            <w:sz w:val="18"/>
            <w:szCs w:val="18"/>
          </w:rPr>
          <w:t>Australian Universities Accord Final Report - Department of Education 2024</w:t>
        </w:r>
      </w:hyperlink>
      <w:r w:rsidRPr="00FA6B94">
        <w:rPr>
          <w:rFonts w:asciiTheme="minorHAnsi" w:eastAsia="Arial" w:hAnsiTheme="minorHAnsi" w:cstheme="minorHAnsi"/>
          <w:sz w:val="18"/>
          <w:szCs w:val="18"/>
        </w:rPr>
        <w:t xml:space="preserve"> (page 232-233).</w:t>
      </w:r>
    </w:p>
  </w:footnote>
  <w:footnote w:id="108">
    <w:p w14:paraId="021D68FC" w14:textId="77777777" w:rsidR="00A91189" w:rsidRDefault="00A91189" w:rsidP="00A91189">
      <w:pPr>
        <w:pStyle w:val="FootnoteText"/>
      </w:pPr>
      <w:r w:rsidRPr="00A70DF8">
        <w:rPr>
          <w:rStyle w:val="FootnoteReference"/>
          <w:rFonts w:cs="Arial"/>
        </w:rPr>
        <w:footnoteRef/>
      </w:r>
      <w:r w:rsidRPr="00A70DF8">
        <w:rPr>
          <w:rFonts w:cs="Arial"/>
        </w:rPr>
        <w:t xml:space="preserve"> </w:t>
      </w:r>
      <w:hyperlink r:id="rId46">
        <w:r w:rsidRPr="00FA6B94">
          <w:rPr>
            <w:rStyle w:val="Hyperlink"/>
            <w:rFonts w:asciiTheme="minorHAnsi" w:eastAsia="Arial" w:hAnsiTheme="minorHAnsi" w:cstheme="minorHAnsi"/>
            <w:color w:val="013D74"/>
            <w:sz w:val="18"/>
            <w:szCs w:val="18"/>
          </w:rPr>
          <w:t>Australian Universities Accord Final Report - Department of Education 2024</w:t>
        </w:r>
      </w:hyperlink>
      <w:r w:rsidRPr="00FA6B94">
        <w:rPr>
          <w:rFonts w:asciiTheme="minorHAnsi" w:eastAsia="Arial" w:hAnsiTheme="minorHAnsi" w:cstheme="minorHAnsi"/>
          <w:sz w:val="18"/>
          <w:szCs w:val="18"/>
        </w:rPr>
        <w:t xml:space="preserve"> (page 15).</w:t>
      </w:r>
    </w:p>
  </w:footnote>
  <w:footnote w:id="109">
    <w:p w14:paraId="777EE060" w14:textId="77777777" w:rsidR="00981A2F" w:rsidRPr="00A4123D" w:rsidRDefault="00981A2F" w:rsidP="00981A2F">
      <w:pPr>
        <w:pStyle w:val="FootnoteText"/>
        <w:rPr>
          <w:rFonts w:asciiTheme="minorHAnsi" w:hAnsiTheme="minorHAnsi" w:cstheme="minorHAnsi"/>
        </w:rPr>
      </w:pPr>
      <w:r w:rsidRPr="00A4123D">
        <w:rPr>
          <w:rStyle w:val="FootnoteReference"/>
          <w:rFonts w:asciiTheme="minorHAnsi" w:hAnsiTheme="minorHAnsi" w:cstheme="minorHAnsi"/>
        </w:rPr>
        <w:footnoteRef/>
      </w:r>
      <w:r w:rsidRPr="00A4123D">
        <w:rPr>
          <w:rFonts w:asciiTheme="minorHAnsi" w:hAnsiTheme="minorHAnsi" w:cstheme="minorHAnsi"/>
        </w:rPr>
        <w:t xml:space="preserve"> </w:t>
      </w:r>
      <w:r w:rsidRPr="00AA359D">
        <w:rPr>
          <w:rFonts w:asciiTheme="minorHAnsi" w:hAnsiTheme="minorHAnsi" w:cstheme="minorHAnsi"/>
          <w:sz w:val="18"/>
          <w:szCs w:val="18"/>
        </w:rPr>
        <w:t>Australian Statistical Geography Standard (ASGS) Edition 3, July 2021- June 2026</w:t>
      </w:r>
    </w:p>
  </w:footnote>
  <w:footnote w:id="110">
    <w:p w14:paraId="24176376" w14:textId="3E99C13C" w:rsidR="00F511FB" w:rsidRDefault="00F511FB">
      <w:pPr>
        <w:pStyle w:val="FootnoteText"/>
      </w:pPr>
      <w:r>
        <w:rPr>
          <w:rStyle w:val="FootnoteReference"/>
        </w:rPr>
        <w:footnoteRef/>
      </w:r>
      <w:r>
        <w:t xml:space="preserve"> </w:t>
      </w:r>
      <w:r w:rsidRPr="00F511FB">
        <w:rPr>
          <w:rFonts w:cs="Arial"/>
          <w:sz w:val="18"/>
          <w:szCs w:val="18"/>
        </w:rPr>
        <w:t>Access to services is measured using the</w:t>
      </w:r>
      <w:r w:rsidRPr="00F511FB">
        <w:rPr>
          <w:rFonts w:cs="Arial"/>
          <w:color w:val="000000"/>
          <w:sz w:val="18"/>
          <w:szCs w:val="18"/>
          <w:shd w:val="clear" w:color="auto" w:fill="FFFFFF"/>
        </w:rPr>
        <w:t> </w:t>
      </w:r>
      <w:hyperlink r:id="rId47" w:history="1">
        <w:r w:rsidRPr="00F511FB">
          <w:rPr>
            <w:rStyle w:val="Hyperlink"/>
            <w:rFonts w:cs="Arial"/>
            <w:color w:val="326297"/>
            <w:sz w:val="18"/>
            <w:szCs w:val="18"/>
            <w:shd w:val="clear" w:color="auto" w:fill="FFFFFF"/>
          </w:rPr>
          <w:t>Accessibility/Remoteness Index of Australia Plus (ARIA+)</w:t>
        </w:r>
      </w:hyperlink>
      <w:r w:rsidRPr="00F511FB">
        <w:rPr>
          <w:rFonts w:cs="Arial"/>
          <w:color w:val="000000"/>
          <w:sz w:val="18"/>
          <w:szCs w:val="18"/>
          <w:shd w:val="clear" w:color="auto" w:fill="FFFFFF"/>
        </w:rPr>
        <w:t xml:space="preserve">, </w:t>
      </w:r>
      <w:r w:rsidRPr="00F511FB">
        <w:rPr>
          <w:rFonts w:cs="Arial"/>
          <w:sz w:val="18"/>
          <w:szCs w:val="18"/>
        </w:rPr>
        <w:t>produced by the Australian Centre for Housing Research at the University of Adelaide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A712252" w14:textId="77777777" w:rsidTr="576AB269">
      <w:trPr>
        <w:trHeight w:val="300"/>
      </w:trPr>
      <w:tc>
        <w:tcPr>
          <w:tcW w:w="3005" w:type="dxa"/>
        </w:tcPr>
        <w:p w14:paraId="4D4D91D2" w14:textId="6A42D6FB" w:rsidR="576AB269" w:rsidRDefault="576AB269" w:rsidP="576AB269">
          <w:pPr>
            <w:pStyle w:val="Header"/>
            <w:ind w:left="-115"/>
          </w:pPr>
        </w:p>
      </w:tc>
      <w:tc>
        <w:tcPr>
          <w:tcW w:w="3005" w:type="dxa"/>
        </w:tcPr>
        <w:p w14:paraId="51609BDA" w14:textId="0A0C651B" w:rsidR="576AB269" w:rsidRDefault="576AB269" w:rsidP="576AB269">
          <w:pPr>
            <w:pStyle w:val="Header"/>
            <w:jc w:val="center"/>
          </w:pPr>
        </w:p>
      </w:tc>
      <w:tc>
        <w:tcPr>
          <w:tcW w:w="3005" w:type="dxa"/>
        </w:tcPr>
        <w:p w14:paraId="1E653625" w14:textId="30193F51" w:rsidR="576AB269" w:rsidRDefault="576AB269" w:rsidP="576AB269">
          <w:pPr>
            <w:pStyle w:val="Header"/>
            <w:ind w:right="-115"/>
            <w:jc w:val="right"/>
          </w:pPr>
        </w:p>
      </w:tc>
    </w:tr>
  </w:tbl>
  <w:p w14:paraId="3730D40E" w14:textId="73EE4A90" w:rsidR="576AB269" w:rsidRDefault="576AB269" w:rsidP="576AB2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3D6C8A" w14:paraId="6D676502" w14:textId="77777777">
      <w:trPr>
        <w:trHeight w:val="300"/>
      </w:trPr>
      <w:tc>
        <w:tcPr>
          <w:tcW w:w="3005" w:type="dxa"/>
        </w:tcPr>
        <w:p w14:paraId="5D20D804" w14:textId="77777777" w:rsidR="003D6C8A" w:rsidRDefault="003D6C8A">
          <w:pPr>
            <w:pStyle w:val="Header"/>
            <w:ind w:left="-115"/>
          </w:pPr>
        </w:p>
      </w:tc>
      <w:tc>
        <w:tcPr>
          <w:tcW w:w="3005" w:type="dxa"/>
        </w:tcPr>
        <w:p w14:paraId="500C0897" w14:textId="77777777" w:rsidR="003D6C8A" w:rsidRDefault="003D6C8A" w:rsidP="00526D25">
          <w:pPr>
            <w:pStyle w:val="Header"/>
            <w:jc w:val="center"/>
          </w:pPr>
        </w:p>
      </w:tc>
      <w:tc>
        <w:tcPr>
          <w:tcW w:w="3005" w:type="dxa"/>
        </w:tcPr>
        <w:p w14:paraId="78B25B59" w14:textId="77777777" w:rsidR="003D6C8A" w:rsidRDefault="003D6C8A" w:rsidP="00526D25">
          <w:pPr>
            <w:pStyle w:val="Header"/>
            <w:ind w:right="-115"/>
            <w:jc w:val="right"/>
          </w:pPr>
        </w:p>
      </w:tc>
    </w:tr>
  </w:tbl>
  <w:p w14:paraId="329AEB59" w14:textId="241F746C" w:rsidR="003D6C8A" w:rsidRDefault="003D6C8A" w:rsidP="00526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3D6C8A" w14:paraId="4F34ACB1" w14:textId="77777777">
      <w:trPr>
        <w:trHeight w:val="300"/>
      </w:trPr>
      <w:tc>
        <w:tcPr>
          <w:tcW w:w="3005" w:type="dxa"/>
        </w:tcPr>
        <w:p w14:paraId="455CEDBA" w14:textId="77777777" w:rsidR="003D6C8A" w:rsidRDefault="003D6C8A">
          <w:pPr>
            <w:pStyle w:val="Header"/>
            <w:ind w:left="-115"/>
          </w:pPr>
        </w:p>
      </w:tc>
      <w:tc>
        <w:tcPr>
          <w:tcW w:w="3005" w:type="dxa"/>
        </w:tcPr>
        <w:p w14:paraId="1918D901" w14:textId="77777777" w:rsidR="003D6C8A" w:rsidRDefault="003D6C8A" w:rsidP="003770F4">
          <w:pPr>
            <w:pStyle w:val="Header"/>
            <w:jc w:val="center"/>
          </w:pPr>
        </w:p>
      </w:tc>
      <w:tc>
        <w:tcPr>
          <w:tcW w:w="3005" w:type="dxa"/>
        </w:tcPr>
        <w:p w14:paraId="6949CC6F" w14:textId="77777777" w:rsidR="003D6C8A" w:rsidRDefault="003D6C8A" w:rsidP="003770F4">
          <w:pPr>
            <w:pStyle w:val="Header"/>
            <w:ind w:right="-115"/>
            <w:jc w:val="right"/>
          </w:pPr>
        </w:p>
      </w:tc>
    </w:tr>
  </w:tbl>
  <w:p w14:paraId="32D1F17F" w14:textId="65C21E89" w:rsidR="003D6C8A" w:rsidRDefault="003D6C8A" w:rsidP="003770F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79F9A" w14:textId="631A5CA9" w:rsidR="00966D48" w:rsidRDefault="00966D4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7D53ECD" w14:textId="77777777" w:rsidTr="576AB269">
      <w:trPr>
        <w:trHeight w:val="300"/>
      </w:trPr>
      <w:tc>
        <w:tcPr>
          <w:tcW w:w="3005" w:type="dxa"/>
        </w:tcPr>
        <w:p w14:paraId="461FE6D5" w14:textId="076F802E" w:rsidR="576AB269" w:rsidRDefault="576AB269" w:rsidP="576AB269">
          <w:pPr>
            <w:pStyle w:val="Header"/>
            <w:ind w:left="-115"/>
          </w:pPr>
        </w:p>
      </w:tc>
      <w:tc>
        <w:tcPr>
          <w:tcW w:w="3005" w:type="dxa"/>
        </w:tcPr>
        <w:p w14:paraId="6DC3180F" w14:textId="5C42AEB9" w:rsidR="576AB269" w:rsidRDefault="576AB269" w:rsidP="00526D25">
          <w:pPr>
            <w:pStyle w:val="Header"/>
            <w:jc w:val="center"/>
          </w:pPr>
        </w:p>
      </w:tc>
      <w:tc>
        <w:tcPr>
          <w:tcW w:w="3005" w:type="dxa"/>
        </w:tcPr>
        <w:p w14:paraId="6ABE341D" w14:textId="3D021FE0" w:rsidR="576AB269" w:rsidRDefault="576AB269" w:rsidP="00526D25">
          <w:pPr>
            <w:pStyle w:val="Header"/>
            <w:ind w:right="-115"/>
            <w:jc w:val="right"/>
          </w:pPr>
        </w:p>
      </w:tc>
    </w:tr>
  </w:tbl>
  <w:p w14:paraId="6B853316" w14:textId="0561B902" w:rsidR="576AB269" w:rsidRDefault="576AB269" w:rsidP="00526D2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00526D25">
          <w:pPr>
            <w:pStyle w:val="Header"/>
            <w:jc w:val="center"/>
          </w:pPr>
        </w:p>
      </w:tc>
      <w:tc>
        <w:tcPr>
          <w:tcW w:w="3005" w:type="dxa"/>
        </w:tcPr>
        <w:p w14:paraId="3298DFA3" w14:textId="0F46A30B" w:rsidR="576AB269" w:rsidRDefault="576AB269" w:rsidP="00526D25">
          <w:pPr>
            <w:pStyle w:val="Header"/>
            <w:ind w:right="-115"/>
            <w:jc w:val="right"/>
          </w:pPr>
        </w:p>
      </w:tc>
    </w:tr>
  </w:tbl>
  <w:p w14:paraId="6EDC3CA4" w14:textId="11032DA3" w:rsidR="576AB269" w:rsidRDefault="576AB269" w:rsidP="00526D2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E10B6" w14:textId="41FA8AA0" w:rsidR="00966D48" w:rsidRDefault="00966D4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C3A8F" w14:textId="43A4EFBF" w:rsidR="00966D48" w:rsidRDefault="00966D48" w:rsidP="00136FCE">
    <w:pPr>
      <w:pStyle w:val="Header"/>
      <w:ind w:left="34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17D4E" w14:textId="298E4123" w:rsidR="00966D48" w:rsidRDefault="00966D48" w:rsidP="00B82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76AB269" w14:paraId="06EBD6A4" w14:textId="77777777" w:rsidTr="576AB269">
      <w:trPr>
        <w:trHeight w:val="300"/>
      </w:trPr>
      <w:tc>
        <w:tcPr>
          <w:tcW w:w="3005" w:type="dxa"/>
        </w:tcPr>
        <w:p w14:paraId="6FA94443" w14:textId="074FC6DD" w:rsidR="576AB269" w:rsidRDefault="576AB269" w:rsidP="576AB269">
          <w:pPr>
            <w:pStyle w:val="Header"/>
            <w:ind w:left="-115"/>
          </w:pPr>
        </w:p>
      </w:tc>
      <w:tc>
        <w:tcPr>
          <w:tcW w:w="3005" w:type="dxa"/>
        </w:tcPr>
        <w:p w14:paraId="30F5AC60" w14:textId="2B5DCB08" w:rsidR="576AB269" w:rsidRDefault="576AB269" w:rsidP="576AB269">
          <w:pPr>
            <w:pStyle w:val="Header"/>
            <w:jc w:val="center"/>
          </w:pPr>
        </w:p>
      </w:tc>
      <w:tc>
        <w:tcPr>
          <w:tcW w:w="3005" w:type="dxa"/>
        </w:tcPr>
        <w:p w14:paraId="2EAF1768" w14:textId="027CFF36" w:rsidR="576AB269" w:rsidRDefault="576AB269" w:rsidP="576AB269">
          <w:pPr>
            <w:pStyle w:val="Header"/>
            <w:ind w:right="-115"/>
            <w:jc w:val="right"/>
          </w:pPr>
        </w:p>
      </w:tc>
    </w:tr>
  </w:tbl>
  <w:p w14:paraId="0532DD90" w14:textId="2531703A" w:rsidR="576AB269" w:rsidRDefault="576AB269" w:rsidP="003461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72B31" w14:textId="74AB2C4C" w:rsidR="00966D48" w:rsidRDefault="00966D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C9084F" w14:paraId="7AACE9F9" w14:textId="77777777">
      <w:trPr>
        <w:trHeight w:val="300"/>
      </w:trPr>
      <w:tc>
        <w:tcPr>
          <w:tcW w:w="3005" w:type="dxa"/>
        </w:tcPr>
        <w:p w14:paraId="0E0D4FD1" w14:textId="77777777" w:rsidR="00C9084F" w:rsidRDefault="00C9084F">
          <w:pPr>
            <w:pStyle w:val="Header"/>
            <w:ind w:left="-115"/>
          </w:pPr>
        </w:p>
      </w:tc>
      <w:tc>
        <w:tcPr>
          <w:tcW w:w="3005" w:type="dxa"/>
        </w:tcPr>
        <w:p w14:paraId="2FBBD03B" w14:textId="77777777" w:rsidR="00C9084F" w:rsidRDefault="00C9084F" w:rsidP="00526D25">
          <w:pPr>
            <w:pStyle w:val="Header"/>
            <w:jc w:val="center"/>
          </w:pPr>
        </w:p>
      </w:tc>
      <w:tc>
        <w:tcPr>
          <w:tcW w:w="3005" w:type="dxa"/>
        </w:tcPr>
        <w:p w14:paraId="53302FF7" w14:textId="77777777" w:rsidR="00C9084F" w:rsidRDefault="00C9084F" w:rsidP="00526D25">
          <w:pPr>
            <w:pStyle w:val="Header"/>
            <w:ind w:right="-115"/>
            <w:jc w:val="right"/>
          </w:pPr>
        </w:p>
      </w:tc>
    </w:tr>
  </w:tbl>
  <w:p w14:paraId="5698EE17" w14:textId="65CF4788" w:rsidR="00C9084F" w:rsidRDefault="00C9084F" w:rsidP="00526D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C9084F" w14:paraId="3C26C7A6" w14:textId="77777777">
      <w:trPr>
        <w:trHeight w:val="300"/>
      </w:trPr>
      <w:tc>
        <w:tcPr>
          <w:tcW w:w="3005" w:type="dxa"/>
        </w:tcPr>
        <w:p w14:paraId="55A02C59" w14:textId="77777777" w:rsidR="00C9084F" w:rsidRDefault="00C9084F">
          <w:pPr>
            <w:pStyle w:val="Header"/>
            <w:ind w:left="-115"/>
          </w:pPr>
        </w:p>
      </w:tc>
      <w:tc>
        <w:tcPr>
          <w:tcW w:w="3005" w:type="dxa"/>
        </w:tcPr>
        <w:p w14:paraId="7CD23F33" w14:textId="77777777" w:rsidR="00C9084F" w:rsidRDefault="00C9084F" w:rsidP="00526D25">
          <w:pPr>
            <w:pStyle w:val="Header"/>
            <w:jc w:val="center"/>
          </w:pPr>
        </w:p>
      </w:tc>
      <w:tc>
        <w:tcPr>
          <w:tcW w:w="3005" w:type="dxa"/>
        </w:tcPr>
        <w:p w14:paraId="28CF84CF" w14:textId="77777777" w:rsidR="00C9084F" w:rsidRDefault="00C9084F" w:rsidP="00526D25">
          <w:pPr>
            <w:pStyle w:val="Header"/>
            <w:ind w:right="-115"/>
            <w:jc w:val="right"/>
          </w:pPr>
        </w:p>
      </w:tc>
    </w:tr>
  </w:tbl>
  <w:p w14:paraId="36C60BF7" w14:textId="5BF82A36" w:rsidR="00C9084F" w:rsidRDefault="00C9084F" w:rsidP="00526D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6320B" w14:textId="77777777" w:rsidR="00EC5177" w:rsidRDefault="00D73E8B">
    <w:pPr>
      <w:pStyle w:val="Header"/>
    </w:pPr>
    <w:r>
      <w:rPr>
        <w:noProof/>
      </w:rPr>
      <w:pict w14:anchorId="4C329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2" type="#_x0000_t136" style="position:absolute;margin-left:0;margin-top:0;width:565.55pt;height:70.65pt;rotation:315;z-index:-251658239;mso-position-horizontal:center;mso-position-horizontal-relative:margin;mso-position-vertical:center;mso-position-vertical-relative:margin" o:allowincell="f" fillcolor="silver" stroked="f">
          <v:fill opacity=".5"/>
          <v:textpath style="font-family:&quot;Arial&quot;;font-size:1pt" string="Consultation 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C5177" w14:paraId="1F4B6667" w14:textId="77777777">
      <w:trPr>
        <w:trHeight w:val="300"/>
      </w:trPr>
      <w:tc>
        <w:tcPr>
          <w:tcW w:w="3005" w:type="dxa"/>
        </w:tcPr>
        <w:p w14:paraId="222532B0" w14:textId="77777777" w:rsidR="00EC5177" w:rsidRDefault="00EC5177">
          <w:pPr>
            <w:pStyle w:val="Header"/>
            <w:ind w:left="-115"/>
          </w:pPr>
        </w:p>
      </w:tc>
      <w:tc>
        <w:tcPr>
          <w:tcW w:w="3005" w:type="dxa"/>
        </w:tcPr>
        <w:p w14:paraId="08166188" w14:textId="77777777" w:rsidR="00EC5177" w:rsidRDefault="00EC5177" w:rsidP="00526D25">
          <w:pPr>
            <w:pStyle w:val="Header"/>
            <w:jc w:val="center"/>
          </w:pPr>
        </w:p>
      </w:tc>
      <w:tc>
        <w:tcPr>
          <w:tcW w:w="3005" w:type="dxa"/>
        </w:tcPr>
        <w:p w14:paraId="5DA85ED8" w14:textId="77777777" w:rsidR="00EC5177" w:rsidRDefault="00EC5177" w:rsidP="00526D25">
          <w:pPr>
            <w:pStyle w:val="Header"/>
            <w:ind w:right="-115"/>
            <w:jc w:val="right"/>
          </w:pPr>
        </w:p>
      </w:tc>
    </w:tr>
  </w:tbl>
  <w:p w14:paraId="2AA44068" w14:textId="77777777" w:rsidR="00EC5177" w:rsidRDefault="00D73E8B" w:rsidP="00526D25">
    <w:pPr>
      <w:pStyle w:val="Header"/>
    </w:pPr>
    <w:r>
      <w:rPr>
        <w:noProof/>
      </w:rPr>
      <w:pict w14:anchorId="4BE43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3" type="#_x0000_t136" style="position:absolute;margin-left:0;margin-top:0;width:565.55pt;height:70.65pt;rotation:315;z-index:-251658238;mso-position-horizontal:center;mso-position-horizontal-relative:margin;mso-position-vertical:center;mso-position-vertical-relative:margin" o:allowincell="f" fillcolor="silver" stroked="f">
          <v:fill opacity=".5"/>
          <v:textpath style="font-family:&quot;Arial&quot;;font-size:1pt" string="Consultation 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0EC5177" w14:paraId="569B7EA4" w14:textId="77777777">
      <w:trPr>
        <w:trHeight w:val="300"/>
      </w:trPr>
      <w:tc>
        <w:tcPr>
          <w:tcW w:w="3005" w:type="dxa"/>
        </w:tcPr>
        <w:p w14:paraId="27A2A10B" w14:textId="77777777" w:rsidR="00EC5177" w:rsidRDefault="00EC5177">
          <w:pPr>
            <w:pStyle w:val="Header"/>
            <w:ind w:left="-115"/>
          </w:pPr>
        </w:p>
      </w:tc>
      <w:tc>
        <w:tcPr>
          <w:tcW w:w="3005" w:type="dxa"/>
        </w:tcPr>
        <w:p w14:paraId="2508F20C" w14:textId="77777777" w:rsidR="00EC5177" w:rsidRDefault="00EC5177">
          <w:pPr>
            <w:pStyle w:val="Header"/>
            <w:jc w:val="center"/>
          </w:pPr>
        </w:p>
      </w:tc>
      <w:tc>
        <w:tcPr>
          <w:tcW w:w="3005" w:type="dxa"/>
        </w:tcPr>
        <w:p w14:paraId="633A8209" w14:textId="77777777" w:rsidR="00EC5177" w:rsidRDefault="00EC5177">
          <w:pPr>
            <w:pStyle w:val="Header"/>
            <w:ind w:right="-115"/>
            <w:jc w:val="right"/>
          </w:pPr>
        </w:p>
      </w:tc>
    </w:tr>
  </w:tbl>
  <w:p w14:paraId="26563E95" w14:textId="77777777" w:rsidR="00EC5177" w:rsidRDefault="00D73E8B">
    <w:pPr>
      <w:pStyle w:val="Header"/>
    </w:pPr>
    <w:r>
      <w:rPr>
        <w:noProof/>
      </w:rPr>
      <w:pict w14:anchorId="0C4C00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margin-left:0;margin-top:0;width:565.55pt;height:70.65pt;rotation:315;z-index:-251658240;mso-position-horizontal:center;mso-position-horizontal-relative:margin;mso-position-vertical:center;mso-position-vertical-relative:margin" o:allowincell="f" fillcolor="silver" stroked="f">
          <v:fill opacity=".5"/>
          <v:textpath style="font-family:&quot;Arial&quot;;font-size:1pt" string="Consultation 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30FA" w14:textId="3D489240" w:rsidR="00966D48" w:rsidRDefault="00966D4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8SfQDty" int2:invalidationBookmarkName="" int2:hashCode="hPnRm2HuZsf69b" int2:id="YYhVLKm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2436C49"/>
    <w:multiLevelType w:val="hybridMultilevel"/>
    <w:tmpl w:val="CE5C20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7CD73E8"/>
    <w:multiLevelType w:val="multilevel"/>
    <w:tmpl w:val="B63C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661CE7"/>
    <w:multiLevelType w:val="hybridMultilevel"/>
    <w:tmpl w:val="EF7C2EE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4D315B3"/>
    <w:multiLevelType w:val="hybridMultilevel"/>
    <w:tmpl w:val="58562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242BB8"/>
    <w:multiLevelType w:val="hybridMultilevel"/>
    <w:tmpl w:val="B784D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4" w15:restartNumberingAfterBreak="0">
    <w:nsid w:val="23AC3D75"/>
    <w:multiLevelType w:val="multilevel"/>
    <w:tmpl w:val="29A4E26C"/>
    <w:lvl w:ilvl="0">
      <w:start w:val="1"/>
      <w:numFmt w:val="decimal"/>
      <w:lvlText w:val="%1."/>
      <w:lvlJc w:val="left"/>
      <w:pPr>
        <w:ind w:left="340" w:hanging="340"/>
      </w:pPr>
      <w:rPr>
        <w:rFonts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
      <w:lvlJc w:val="left"/>
      <w:pPr>
        <w:ind w:left="1020" w:hanging="340"/>
      </w:pPr>
      <w:rPr>
        <w:rFonts w:ascii="Times New Roman" w:hAnsi="Times New Roman" w:cs="Times New Roman" w:hint="default"/>
        <w:color w:val="auto"/>
      </w:rPr>
    </w:lvl>
    <w:lvl w:ilvl="3">
      <w:start w:val="1"/>
      <w:numFmt w:val="bullet"/>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5"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627981"/>
    <w:multiLevelType w:val="hybridMultilevel"/>
    <w:tmpl w:val="21FADD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8D4CB4"/>
    <w:multiLevelType w:val="multilevel"/>
    <w:tmpl w:val="AA76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8332A8"/>
    <w:multiLevelType w:val="hybridMultilevel"/>
    <w:tmpl w:val="4B52E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8A0A4C"/>
    <w:multiLevelType w:val="hybridMultilevel"/>
    <w:tmpl w:val="C6DC7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47246184">
    <w:abstractNumId w:val="13"/>
  </w:num>
  <w:num w:numId="2" w16cid:durableId="627399684">
    <w:abstractNumId w:val="7"/>
  </w:num>
  <w:num w:numId="3" w16cid:durableId="996347789">
    <w:abstractNumId w:val="20"/>
  </w:num>
  <w:num w:numId="4" w16cid:durableId="987704029">
    <w:abstractNumId w:val="10"/>
  </w:num>
  <w:num w:numId="5" w16cid:durableId="1804498288">
    <w:abstractNumId w:val="19"/>
  </w:num>
  <w:num w:numId="6" w16cid:durableId="590358857">
    <w:abstractNumId w:val="6"/>
  </w:num>
  <w:num w:numId="7" w16cid:durableId="1795975305">
    <w:abstractNumId w:val="16"/>
  </w:num>
  <w:num w:numId="8" w16cid:durableId="1885561102">
    <w:abstractNumId w:val="11"/>
  </w:num>
  <w:num w:numId="9" w16cid:durableId="2143962489">
    <w:abstractNumId w:val="21"/>
  </w:num>
  <w:num w:numId="10" w16cid:durableId="1337269666">
    <w:abstractNumId w:val="24"/>
  </w:num>
  <w:num w:numId="11" w16cid:durableId="1668050683">
    <w:abstractNumId w:val="18"/>
  </w:num>
  <w:num w:numId="12" w16cid:durableId="1683042470">
    <w:abstractNumId w:val="8"/>
  </w:num>
  <w:num w:numId="13" w16cid:durableId="133523604">
    <w:abstractNumId w:val="22"/>
  </w:num>
  <w:num w:numId="14" w16cid:durableId="1994024302">
    <w:abstractNumId w:val="23"/>
  </w:num>
  <w:num w:numId="15" w16cid:durableId="1358852113">
    <w:abstractNumId w:val="17"/>
  </w:num>
  <w:num w:numId="16" w16cid:durableId="1985233239">
    <w:abstractNumId w:val="4"/>
  </w:num>
  <w:num w:numId="17" w16cid:durableId="2105372984">
    <w:abstractNumId w:val="5"/>
  </w:num>
  <w:num w:numId="18" w16cid:durableId="935869809">
    <w:abstractNumId w:val="3"/>
  </w:num>
  <w:num w:numId="19" w16cid:durableId="1109662273">
    <w:abstractNumId w:val="2"/>
  </w:num>
  <w:num w:numId="20" w16cid:durableId="2049716342">
    <w:abstractNumId w:val="1"/>
  </w:num>
  <w:num w:numId="21" w16cid:durableId="1578317811">
    <w:abstractNumId w:val="0"/>
  </w:num>
  <w:num w:numId="22" w16cid:durableId="1127550344">
    <w:abstractNumId w:val="15"/>
  </w:num>
  <w:num w:numId="23" w16cid:durableId="406730085">
    <w:abstractNumId w:val="12"/>
  </w:num>
  <w:num w:numId="24" w16cid:durableId="2043705535">
    <w:abstractNumId w:val="14"/>
  </w:num>
  <w:num w:numId="25" w16cid:durableId="86398060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00B0"/>
    <w:rsid w:val="000001C7"/>
    <w:rsid w:val="00000263"/>
    <w:rsid w:val="00000711"/>
    <w:rsid w:val="00000761"/>
    <w:rsid w:val="0000081A"/>
    <w:rsid w:val="00000D90"/>
    <w:rsid w:val="00000E15"/>
    <w:rsid w:val="00000F41"/>
    <w:rsid w:val="00000FCF"/>
    <w:rsid w:val="00001416"/>
    <w:rsid w:val="00001708"/>
    <w:rsid w:val="00001A37"/>
    <w:rsid w:val="00001A84"/>
    <w:rsid w:val="00001B10"/>
    <w:rsid w:val="00001E48"/>
    <w:rsid w:val="00001FC5"/>
    <w:rsid w:val="00002158"/>
    <w:rsid w:val="000021C6"/>
    <w:rsid w:val="000023BF"/>
    <w:rsid w:val="000023CA"/>
    <w:rsid w:val="000026CC"/>
    <w:rsid w:val="000027B5"/>
    <w:rsid w:val="0000285D"/>
    <w:rsid w:val="00002A8F"/>
    <w:rsid w:val="00002FBD"/>
    <w:rsid w:val="0000321A"/>
    <w:rsid w:val="000036F3"/>
    <w:rsid w:val="00003A3E"/>
    <w:rsid w:val="00003BAA"/>
    <w:rsid w:val="00003E8E"/>
    <w:rsid w:val="00003F30"/>
    <w:rsid w:val="00003FF1"/>
    <w:rsid w:val="000040B4"/>
    <w:rsid w:val="000046BB"/>
    <w:rsid w:val="00004DB5"/>
    <w:rsid w:val="00004E3E"/>
    <w:rsid w:val="0000500D"/>
    <w:rsid w:val="000051B1"/>
    <w:rsid w:val="0000529C"/>
    <w:rsid w:val="00005415"/>
    <w:rsid w:val="00005515"/>
    <w:rsid w:val="00005567"/>
    <w:rsid w:val="000055C4"/>
    <w:rsid w:val="000055DF"/>
    <w:rsid w:val="000056C2"/>
    <w:rsid w:val="000056D5"/>
    <w:rsid w:val="00005847"/>
    <w:rsid w:val="0000594C"/>
    <w:rsid w:val="00005A88"/>
    <w:rsid w:val="00005BEC"/>
    <w:rsid w:val="00005D78"/>
    <w:rsid w:val="00005E57"/>
    <w:rsid w:val="00005EAF"/>
    <w:rsid w:val="00006068"/>
    <w:rsid w:val="00006286"/>
    <w:rsid w:val="00006458"/>
    <w:rsid w:val="0000685F"/>
    <w:rsid w:val="00006922"/>
    <w:rsid w:val="00006B7A"/>
    <w:rsid w:val="00006B9C"/>
    <w:rsid w:val="00006DF8"/>
    <w:rsid w:val="00006FBE"/>
    <w:rsid w:val="00007068"/>
    <w:rsid w:val="0000711E"/>
    <w:rsid w:val="00007173"/>
    <w:rsid w:val="000072C3"/>
    <w:rsid w:val="000072F9"/>
    <w:rsid w:val="00007358"/>
    <w:rsid w:val="000073DF"/>
    <w:rsid w:val="000074E6"/>
    <w:rsid w:val="0000756F"/>
    <w:rsid w:val="0000759A"/>
    <w:rsid w:val="0000787C"/>
    <w:rsid w:val="000078C2"/>
    <w:rsid w:val="00007900"/>
    <w:rsid w:val="00007AD6"/>
    <w:rsid w:val="00007D07"/>
    <w:rsid w:val="00007D1C"/>
    <w:rsid w:val="000100F5"/>
    <w:rsid w:val="0001022B"/>
    <w:rsid w:val="00010340"/>
    <w:rsid w:val="00010A2B"/>
    <w:rsid w:val="00010B52"/>
    <w:rsid w:val="00010B5F"/>
    <w:rsid w:val="00010D78"/>
    <w:rsid w:val="00010E73"/>
    <w:rsid w:val="00010F9A"/>
    <w:rsid w:val="00010FD0"/>
    <w:rsid w:val="0001147E"/>
    <w:rsid w:val="0001174A"/>
    <w:rsid w:val="00011925"/>
    <w:rsid w:val="00011935"/>
    <w:rsid w:val="00011942"/>
    <w:rsid w:val="00011AD3"/>
    <w:rsid w:val="00011C34"/>
    <w:rsid w:val="00011DEC"/>
    <w:rsid w:val="00011ED9"/>
    <w:rsid w:val="0001238C"/>
    <w:rsid w:val="000124D1"/>
    <w:rsid w:val="000124ED"/>
    <w:rsid w:val="00012541"/>
    <w:rsid w:val="000126A0"/>
    <w:rsid w:val="00012725"/>
    <w:rsid w:val="000127C4"/>
    <w:rsid w:val="00012A9C"/>
    <w:rsid w:val="00012AF1"/>
    <w:rsid w:val="00012DF4"/>
    <w:rsid w:val="0001311F"/>
    <w:rsid w:val="0001320F"/>
    <w:rsid w:val="000133AA"/>
    <w:rsid w:val="000134EE"/>
    <w:rsid w:val="000137ED"/>
    <w:rsid w:val="0001383B"/>
    <w:rsid w:val="000139BB"/>
    <w:rsid w:val="00013E0D"/>
    <w:rsid w:val="00013FBE"/>
    <w:rsid w:val="00014047"/>
    <w:rsid w:val="00014084"/>
    <w:rsid w:val="0001416A"/>
    <w:rsid w:val="000141FE"/>
    <w:rsid w:val="00014273"/>
    <w:rsid w:val="0001465E"/>
    <w:rsid w:val="00014688"/>
    <w:rsid w:val="000146A8"/>
    <w:rsid w:val="000147C6"/>
    <w:rsid w:val="000148D2"/>
    <w:rsid w:val="00014938"/>
    <w:rsid w:val="000149C1"/>
    <w:rsid w:val="00014B79"/>
    <w:rsid w:val="00014CF6"/>
    <w:rsid w:val="00014E02"/>
    <w:rsid w:val="00014E48"/>
    <w:rsid w:val="00014E92"/>
    <w:rsid w:val="00014EAF"/>
    <w:rsid w:val="000152E3"/>
    <w:rsid w:val="000156FF"/>
    <w:rsid w:val="00015893"/>
    <w:rsid w:val="000159F6"/>
    <w:rsid w:val="00015AAC"/>
    <w:rsid w:val="00015B36"/>
    <w:rsid w:val="00015DF4"/>
    <w:rsid w:val="00015EAC"/>
    <w:rsid w:val="00015F28"/>
    <w:rsid w:val="00015F34"/>
    <w:rsid w:val="000163EA"/>
    <w:rsid w:val="000164D0"/>
    <w:rsid w:val="0001677E"/>
    <w:rsid w:val="000168F1"/>
    <w:rsid w:val="0001699E"/>
    <w:rsid w:val="00016D1E"/>
    <w:rsid w:val="00016D3A"/>
    <w:rsid w:val="00016E29"/>
    <w:rsid w:val="00016EB3"/>
    <w:rsid w:val="00016FF3"/>
    <w:rsid w:val="0001710C"/>
    <w:rsid w:val="0001729C"/>
    <w:rsid w:val="000172E3"/>
    <w:rsid w:val="00017395"/>
    <w:rsid w:val="00017795"/>
    <w:rsid w:val="00017CDD"/>
    <w:rsid w:val="00017CF2"/>
    <w:rsid w:val="00017D69"/>
    <w:rsid w:val="00017DA5"/>
    <w:rsid w:val="00017F5F"/>
    <w:rsid w:val="00017F87"/>
    <w:rsid w:val="00020137"/>
    <w:rsid w:val="0002019D"/>
    <w:rsid w:val="000201AD"/>
    <w:rsid w:val="000201B2"/>
    <w:rsid w:val="000203E3"/>
    <w:rsid w:val="00020A83"/>
    <w:rsid w:val="00020B18"/>
    <w:rsid w:val="00021184"/>
    <w:rsid w:val="00021389"/>
    <w:rsid w:val="000216A6"/>
    <w:rsid w:val="0002170E"/>
    <w:rsid w:val="00021769"/>
    <w:rsid w:val="00021BF0"/>
    <w:rsid w:val="00021C7D"/>
    <w:rsid w:val="00021CEF"/>
    <w:rsid w:val="00021FA9"/>
    <w:rsid w:val="0002208B"/>
    <w:rsid w:val="00022136"/>
    <w:rsid w:val="0002214E"/>
    <w:rsid w:val="000222E4"/>
    <w:rsid w:val="00022737"/>
    <w:rsid w:val="000228C4"/>
    <w:rsid w:val="00022C13"/>
    <w:rsid w:val="0002301E"/>
    <w:rsid w:val="000230A6"/>
    <w:rsid w:val="00023453"/>
    <w:rsid w:val="00023A9F"/>
    <w:rsid w:val="00023EFD"/>
    <w:rsid w:val="000241AE"/>
    <w:rsid w:val="000244B5"/>
    <w:rsid w:val="0002453A"/>
    <w:rsid w:val="000248F6"/>
    <w:rsid w:val="00024A80"/>
    <w:rsid w:val="00024AAF"/>
    <w:rsid w:val="00024ACF"/>
    <w:rsid w:val="00024E5E"/>
    <w:rsid w:val="00024E94"/>
    <w:rsid w:val="00025012"/>
    <w:rsid w:val="00025175"/>
    <w:rsid w:val="00025262"/>
    <w:rsid w:val="000252A2"/>
    <w:rsid w:val="00025384"/>
    <w:rsid w:val="00025466"/>
    <w:rsid w:val="0002582B"/>
    <w:rsid w:val="000259B5"/>
    <w:rsid w:val="00025AF3"/>
    <w:rsid w:val="00025BD0"/>
    <w:rsid w:val="00025BD5"/>
    <w:rsid w:val="00025F9C"/>
    <w:rsid w:val="00026099"/>
    <w:rsid w:val="00026111"/>
    <w:rsid w:val="000261A3"/>
    <w:rsid w:val="00026241"/>
    <w:rsid w:val="000262B5"/>
    <w:rsid w:val="00026398"/>
    <w:rsid w:val="00026481"/>
    <w:rsid w:val="000264A3"/>
    <w:rsid w:val="000264EB"/>
    <w:rsid w:val="0002658D"/>
    <w:rsid w:val="00026651"/>
    <w:rsid w:val="000266C3"/>
    <w:rsid w:val="000267E8"/>
    <w:rsid w:val="00026B83"/>
    <w:rsid w:val="00026BA5"/>
    <w:rsid w:val="00026D18"/>
    <w:rsid w:val="00026D19"/>
    <w:rsid w:val="00026E42"/>
    <w:rsid w:val="00026E9A"/>
    <w:rsid w:val="00026EAF"/>
    <w:rsid w:val="00026F04"/>
    <w:rsid w:val="00027069"/>
    <w:rsid w:val="00027238"/>
    <w:rsid w:val="0002725A"/>
    <w:rsid w:val="00027261"/>
    <w:rsid w:val="000272E2"/>
    <w:rsid w:val="00027501"/>
    <w:rsid w:val="00027519"/>
    <w:rsid w:val="000275AE"/>
    <w:rsid w:val="0002766D"/>
    <w:rsid w:val="000276CB"/>
    <w:rsid w:val="00027A30"/>
    <w:rsid w:val="00027A90"/>
    <w:rsid w:val="00027B14"/>
    <w:rsid w:val="00027C49"/>
    <w:rsid w:val="00027C84"/>
    <w:rsid w:val="00027DDB"/>
    <w:rsid w:val="0003006E"/>
    <w:rsid w:val="0003008B"/>
    <w:rsid w:val="00030187"/>
    <w:rsid w:val="0003018C"/>
    <w:rsid w:val="000304D9"/>
    <w:rsid w:val="00030666"/>
    <w:rsid w:val="0003085A"/>
    <w:rsid w:val="000309D2"/>
    <w:rsid w:val="00030A04"/>
    <w:rsid w:val="00030BB1"/>
    <w:rsid w:val="00030C13"/>
    <w:rsid w:val="00030D7F"/>
    <w:rsid w:val="00030DA5"/>
    <w:rsid w:val="00031035"/>
    <w:rsid w:val="000314CF"/>
    <w:rsid w:val="000317FC"/>
    <w:rsid w:val="0003186D"/>
    <w:rsid w:val="000318FC"/>
    <w:rsid w:val="00031C5F"/>
    <w:rsid w:val="00031D61"/>
    <w:rsid w:val="00031F9D"/>
    <w:rsid w:val="000320DF"/>
    <w:rsid w:val="0003222A"/>
    <w:rsid w:val="000322E0"/>
    <w:rsid w:val="00032575"/>
    <w:rsid w:val="000325A6"/>
    <w:rsid w:val="000325C9"/>
    <w:rsid w:val="00032609"/>
    <w:rsid w:val="000328A6"/>
    <w:rsid w:val="00032A48"/>
    <w:rsid w:val="00032C8D"/>
    <w:rsid w:val="00032CBD"/>
    <w:rsid w:val="00032E0A"/>
    <w:rsid w:val="00032FEB"/>
    <w:rsid w:val="0003316F"/>
    <w:rsid w:val="000337ED"/>
    <w:rsid w:val="000339EE"/>
    <w:rsid w:val="00033ACC"/>
    <w:rsid w:val="00033B29"/>
    <w:rsid w:val="00033B49"/>
    <w:rsid w:val="00033F8E"/>
    <w:rsid w:val="0003400D"/>
    <w:rsid w:val="00034220"/>
    <w:rsid w:val="000344FC"/>
    <w:rsid w:val="00034533"/>
    <w:rsid w:val="000347F1"/>
    <w:rsid w:val="00034801"/>
    <w:rsid w:val="0003485B"/>
    <w:rsid w:val="00034B7C"/>
    <w:rsid w:val="00034DF5"/>
    <w:rsid w:val="00034E71"/>
    <w:rsid w:val="00034F8A"/>
    <w:rsid w:val="00034FB1"/>
    <w:rsid w:val="0003522C"/>
    <w:rsid w:val="0003545C"/>
    <w:rsid w:val="00035AA2"/>
    <w:rsid w:val="00035ABE"/>
    <w:rsid w:val="00035B31"/>
    <w:rsid w:val="00035E45"/>
    <w:rsid w:val="00035E46"/>
    <w:rsid w:val="000363AE"/>
    <w:rsid w:val="000366C8"/>
    <w:rsid w:val="000366F6"/>
    <w:rsid w:val="00036889"/>
    <w:rsid w:val="000369BC"/>
    <w:rsid w:val="00036ABD"/>
    <w:rsid w:val="00036B27"/>
    <w:rsid w:val="00036D72"/>
    <w:rsid w:val="00036E6E"/>
    <w:rsid w:val="000372CB"/>
    <w:rsid w:val="00037398"/>
    <w:rsid w:val="000373BD"/>
    <w:rsid w:val="000373CD"/>
    <w:rsid w:val="00037520"/>
    <w:rsid w:val="000377B2"/>
    <w:rsid w:val="00037846"/>
    <w:rsid w:val="00037948"/>
    <w:rsid w:val="000379E6"/>
    <w:rsid w:val="00037A10"/>
    <w:rsid w:val="00037AA3"/>
    <w:rsid w:val="00037B93"/>
    <w:rsid w:val="00037CCF"/>
    <w:rsid w:val="00037E83"/>
    <w:rsid w:val="00037EB2"/>
    <w:rsid w:val="00037EB9"/>
    <w:rsid w:val="00037EE4"/>
    <w:rsid w:val="00040028"/>
    <w:rsid w:val="00040296"/>
    <w:rsid w:val="000403B3"/>
    <w:rsid w:val="000404CE"/>
    <w:rsid w:val="000405B6"/>
    <w:rsid w:val="00040670"/>
    <w:rsid w:val="0004068A"/>
    <w:rsid w:val="000406BB"/>
    <w:rsid w:val="00040A17"/>
    <w:rsid w:val="00040B64"/>
    <w:rsid w:val="00040EAF"/>
    <w:rsid w:val="0004100D"/>
    <w:rsid w:val="00041073"/>
    <w:rsid w:val="00041370"/>
    <w:rsid w:val="000413E4"/>
    <w:rsid w:val="00041496"/>
    <w:rsid w:val="0004160A"/>
    <w:rsid w:val="0004173B"/>
    <w:rsid w:val="00041762"/>
    <w:rsid w:val="000419B8"/>
    <w:rsid w:val="00041B0F"/>
    <w:rsid w:val="00041D87"/>
    <w:rsid w:val="000420A3"/>
    <w:rsid w:val="0004223E"/>
    <w:rsid w:val="00042286"/>
    <w:rsid w:val="000425BF"/>
    <w:rsid w:val="00042611"/>
    <w:rsid w:val="00042654"/>
    <w:rsid w:val="000428D7"/>
    <w:rsid w:val="0004298E"/>
    <w:rsid w:val="00042997"/>
    <w:rsid w:val="00042AA5"/>
    <w:rsid w:val="00042ADE"/>
    <w:rsid w:val="00042B94"/>
    <w:rsid w:val="00042C38"/>
    <w:rsid w:val="00042D16"/>
    <w:rsid w:val="00042D77"/>
    <w:rsid w:val="00042EE6"/>
    <w:rsid w:val="00042F24"/>
    <w:rsid w:val="00043074"/>
    <w:rsid w:val="000430D6"/>
    <w:rsid w:val="00043305"/>
    <w:rsid w:val="00043564"/>
    <w:rsid w:val="000435AD"/>
    <w:rsid w:val="000439EE"/>
    <w:rsid w:val="00043A52"/>
    <w:rsid w:val="00043BAF"/>
    <w:rsid w:val="00043F36"/>
    <w:rsid w:val="0004430D"/>
    <w:rsid w:val="0004433C"/>
    <w:rsid w:val="000444D5"/>
    <w:rsid w:val="00044596"/>
    <w:rsid w:val="000449AC"/>
    <w:rsid w:val="00044C7C"/>
    <w:rsid w:val="00044DB6"/>
    <w:rsid w:val="00044EE6"/>
    <w:rsid w:val="00044F52"/>
    <w:rsid w:val="00044F6E"/>
    <w:rsid w:val="00044F90"/>
    <w:rsid w:val="0004537C"/>
    <w:rsid w:val="0004554A"/>
    <w:rsid w:val="00045622"/>
    <w:rsid w:val="00045CA5"/>
    <w:rsid w:val="00045F35"/>
    <w:rsid w:val="000460AB"/>
    <w:rsid w:val="00046298"/>
    <w:rsid w:val="00046442"/>
    <w:rsid w:val="00046496"/>
    <w:rsid w:val="000464AF"/>
    <w:rsid w:val="00046914"/>
    <w:rsid w:val="0004699A"/>
    <w:rsid w:val="00046B26"/>
    <w:rsid w:val="00046C3F"/>
    <w:rsid w:val="00046D37"/>
    <w:rsid w:val="000475C1"/>
    <w:rsid w:val="000476AF"/>
    <w:rsid w:val="0004782B"/>
    <w:rsid w:val="00047B5B"/>
    <w:rsid w:val="00047C2C"/>
    <w:rsid w:val="00047DA2"/>
    <w:rsid w:val="0005037F"/>
    <w:rsid w:val="000503A9"/>
    <w:rsid w:val="000508FE"/>
    <w:rsid w:val="00050917"/>
    <w:rsid w:val="000509D3"/>
    <w:rsid w:val="00050A82"/>
    <w:rsid w:val="00050BA5"/>
    <w:rsid w:val="00050F10"/>
    <w:rsid w:val="00051639"/>
    <w:rsid w:val="00051680"/>
    <w:rsid w:val="0005173A"/>
    <w:rsid w:val="0005179B"/>
    <w:rsid w:val="000517CB"/>
    <w:rsid w:val="00051863"/>
    <w:rsid w:val="00051BA1"/>
    <w:rsid w:val="00051CBE"/>
    <w:rsid w:val="00052263"/>
    <w:rsid w:val="000522B0"/>
    <w:rsid w:val="000522D8"/>
    <w:rsid w:val="000523CE"/>
    <w:rsid w:val="000523F5"/>
    <w:rsid w:val="00052491"/>
    <w:rsid w:val="000524DC"/>
    <w:rsid w:val="00052A66"/>
    <w:rsid w:val="00052B6C"/>
    <w:rsid w:val="00052C92"/>
    <w:rsid w:val="00052F98"/>
    <w:rsid w:val="00053227"/>
    <w:rsid w:val="00053241"/>
    <w:rsid w:val="000532D3"/>
    <w:rsid w:val="0005364C"/>
    <w:rsid w:val="000537B6"/>
    <w:rsid w:val="00053AB7"/>
    <w:rsid w:val="00053AFB"/>
    <w:rsid w:val="00053B4B"/>
    <w:rsid w:val="00053CD1"/>
    <w:rsid w:val="00053CE3"/>
    <w:rsid w:val="00053D83"/>
    <w:rsid w:val="00054138"/>
    <w:rsid w:val="00054405"/>
    <w:rsid w:val="0005461B"/>
    <w:rsid w:val="000546A4"/>
    <w:rsid w:val="000546AD"/>
    <w:rsid w:val="000546CA"/>
    <w:rsid w:val="000547E7"/>
    <w:rsid w:val="00054A98"/>
    <w:rsid w:val="00054BCA"/>
    <w:rsid w:val="00054BE4"/>
    <w:rsid w:val="00054C9A"/>
    <w:rsid w:val="00054F0B"/>
    <w:rsid w:val="00054FB3"/>
    <w:rsid w:val="00054FFB"/>
    <w:rsid w:val="0005518A"/>
    <w:rsid w:val="000551F3"/>
    <w:rsid w:val="00055518"/>
    <w:rsid w:val="00055565"/>
    <w:rsid w:val="000557E8"/>
    <w:rsid w:val="00055AA4"/>
    <w:rsid w:val="00055B1F"/>
    <w:rsid w:val="00055B62"/>
    <w:rsid w:val="00055B6C"/>
    <w:rsid w:val="00055BFA"/>
    <w:rsid w:val="00055D98"/>
    <w:rsid w:val="000561E2"/>
    <w:rsid w:val="000562D7"/>
    <w:rsid w:val="000563AA"/>
    <w:rsid w:val="000565EA"/>
    <w:rsid w:val="000566B9"/>
    <w:rsid w:val="0005673C"/>
    <w:rsid w:val="00056A7C"/>
    <w:rsid w:val="00056C9E"/>
    <w:rsid w:val="00056E69"/>
    <w:rsid w:val="00056EF0"/>
    <w:rsid w:val="00056F41"/>
    <w:rsid w:val="00057105"/>
    <w:rsid w:val="00057208"/>
    <w:rsid w:val="000572BD"/>
    <w:rsid w:val="000572D0"/>
    <w:rsid w:val="00057324"/>
    <w:rsid w:val="00057346"/>
    <w:rsid w:val="000573C6"/>
    <w:rsid w:val="0005745E"/>
    <w:rsid w:val="000575AD"/>
    <w:rsid w:val="000576A4"/>
    <w:rsid w:val="0005784B"/>
    <w:rsid w:val="00057930"/>
    <w:rsid w:val="00057A7C"/>
    <w:rsid w:val="00057ADD"/>
    <w:rsid w:val="00057BF4"/>
    <w:rsid w:val="00057C6C"/>
    <w:rsid w:val="00057CAF"/>
    <w:rsid w:val="00057DA0"/>
    <w:rsid w:val="00057DFE"/>
    <w:rsid w:val="00057F33"/>
    <w:rsid w:val="00057F59"/>
    <w:rsid w:val="00057F80"/>
    <w:rsid w:val="0006001D"/>
    <w:rsid w:val="00060193"/>
    <w:rsid w:val="000603D4"/>
    <w:rsid w:val="000605F8"/>
    <w:rsid w:val="00060685"/>
    <w:rsid w:val="000606E4"/>
    <w:rsid w:val="000607E4"/>
    <w:rsid w:val="0006095F"/>
    <w:rsid w:val="00061046"/>
    <w:rsid w:val="00061104"/>
    <w:rsid w:val="0006135C"/>
    <w:rsid w:val="00061472"/>
    <w:rsid w:val="00061638"/>
    <w:rsid w:val="00061715"/>
    <w:rsid w:val="00061E25"/>
    <w:rsid w:val="00061F74"/>
    <w:rsid w:val="000620A7"/>
    <w:rsid w:val="00062391"/>
    <w:rsid w:val="000625DA"/>
    <w:rsid w:val="000626C9"/>
    <w:rsid w:val="000627A4"/>
    <w:rsid w:val="00062A29"/>
    <w:rsid w:val="00062AEF"/>
    <w:rsid w:val="00062D52"/>
    <w:rsid w:val="00062DD7"/>
    <w:rsid w:val="00062F4B"/>
    <w:rsid w:val="00063116"/>
    <w:rsid w:val="00063214"/>
    <w:rsid w:val="000632CE"/>
    <w:rsid w:val="000632D3"/>
    <w:rsid w:val="0006332A"/>
    <w:rsid w:val="000634A2"/>
    <w:rsid w:val="000635F7"/>
    <w:rsid w:val="0006365D"/>
    <w:rsid w:val="00063740"/>
    <w:rsid w:val="000638B4"/>
    <w:rsid w:val="00063A17"/>
    <w:rsid w:val="00063AC0"/>
    <w:rsid w:val="0006405F"/>
    <w:rsid w:val="00064301"/>
    <w:rsid w:val="00064312"/>
    <w:rsid w:val="000644E2"/>
    <w:rsid w:val="00064537"/>
    <w:rsid w:val="00064658"/>
    <w:rsid w:val="000648AD"/>
    <w:rsid w:val="000648F2"/>
    <w:rsid w:val="0006492B"/>
    <w:rsid w:val="00064963"/>
    <w:rsid w:val="00064AED"/>
    <w:rsid w:val="00064B83"/>
    <w:rsid w:val="00064E07"/>
    <w:rsid w:val="00064E36"/>
    <w:rsid w:val="00065175"/>
    <w:rsid w:val="000651D9"/>
    <w:rsid w:val="00065371"/>
    <w:rsid w:val="0006540F"/>
    <w:rsid w:val="000655AB"/>
    <w:rsid w:val="0006575E"/>
    <w:rsid w:val="0006596F"/>
    <w:rsid w:val="00065A22"/>
    <w:rsid w:val="00065D7E"/>
    <w:rsid w:val="00065D8E"/>
    <w:rsid w:val="00065DC2"/>
    <w:rsid w:val="00065E22"/>
    <w:rsid w:val="00065F25"/>
    <w:rsid w:val="00066083"/>
    <w:rsid w:val="00066162"/>
    <w:rsid w:val="0006668E"/>
    <w:rsid w:val="00066988"/>
    <w:rsid w:val="00066DA5"/>
    <w:rsid w:val="00066DC6"/>
    <w:rsid w:val="00066E0E"/>
    <w:rsid w:val="00066F17"/>
    <w:rsid w:val="0006700D"/>
    <w:rsid w:val="0006705C"/>
    <w:rsid w:val="0006724A"/>
    <w:rsid w:val="000672CE"/>
    <w:rsid w:val="00067300"/>
    <w:rsid w:val="00067336"/>
    <w:rsid w:val="000673FA"/>
    <w:rsid w:val="00067BCD"/>
    <w:rsid w:val="00067C92"/>
    <w:rsid w:val="00067D9B"/>
    <w:rsid w:val="00067EC3"/>
    <w:rsid w:val="00070091"/>
    <w:rsid w:val="000701F2"/>
    <w:rsid w:val="000707C7"/>
    <w:rsid w:val="000707FE"/>
    <w:rsid w:val="0007082E"/>
    <w:rsid w:val="00070870"/>
    <w:rsid w:val="000709CE"/>
    <w:rsid w:val="00070A9A"/>
    <w:rsid w:val="00070B8E"/>
    <w:rsid w:val="00070BEA"/>
    <w:rsid w:val="00070D23"/>
    <w:rsid w:val="00070E12"/>
    <w:rsid w:val="00071060"/>
    <w:rsid w:val="00071134"/>
    <w:rsid w:val="00071157"/>
    <w:rsid w:val="00071173"/>
    <w:rsid w:val="00071317"/>
    <w:rsid w:val="000713CD"/>
    <w:rsid w:val="0007142D"/>
    <w:rsid w:val="00071666"/>
    <w:rsid w:val="000718DD"/>
    <w:rsid w:val="00071B19"/>
    <w:rsid w:val="00071B96"/>
    <w:rsid w:val="00071CF4"/>
    <w:rsid w:val="00071F43"/>
    <w:rsid w:val="00072041"/>
    <w:rsid w:val="00072047"/>
    <w:rsid w:val="000721B1"/>
    <w:rsid w:val="0007221B"/>
    <w:rsid w:val="00072326"/>
    <w:rsid w:val="0007258E"/>
    <w:rsid w:val="00072789"/>
    <w:rsid w:val="00072821"/>
    <w:rsid w:val="00072932"/>
    <w:rsid w:val="00072B27"/>
    <w:rsid w:val="00072B6A"/>
    <w:rsid w:val="00072BAC"/>
    <w:rsid w:val="00072D04"/>
    <w:rsid w:val="00072E72"/>
    <w:rsid w:val="0007310C"/>
    <w:rsid w:val="00073155"/>
    <w:rsid w:val="000733CC"/>
    <w:rsid w:val="000735A2"/>
    <w:rsid w:val="000735DF"/>
    <w:rsid w:val="00073AA1"/>
    <w:rsid w:val="00073BF2"/>
    <w:rsid w:val="00073C21"/>
    <w:rsid w:val="00073DBF"/>
    <w:rsid w:val="0007405F"/>
    <w:rsid w:val="000740FA"/>
    <w:rsid w:val="00074288"/>
    <w:rsid w:val="0007428C"/>
    <w:rsid w:val="000746C5"/>
    <w:rsid w:val="00074A30"/>
    <w:rsid w:val="00074C98"/>
    <w:rsid w:val="00074D3E"/>
    <w:rsid w:val="00074DBB"/>
    <w:rsid w:val="00075040"/>
    <w:rsid w:val="00075064"/>
    <w:rsid w:val="0007516C"/>
    <w:rsid w:val="0007518D"/>
    <w:rsid w:val="00075217"/>
    <w:rsid w:val="00075312"/>
    <w:rsid w:val="0007593E"/>
    <w:rsid w:val="00075AF1"/>
    <w:rsid w:val="00075C9F"/>
    <w:rsid w:val="00075EDB"/>
    <w:rsid w:val="00075FB8"/>
    <w:rsid w:val="00075FC2"/>
    <w:rsid w:val="00076125"/>
    <w:rsid w:val="0007631C"/>
    <w:rsid w:val="00076565"/>
    <w:rsid w:val="000765B5"/>
    <w:rsid w:val="000765CA"/>
    <w:rsid w:val="000765D4"/>
    <w:rsid w:val="00076857"/>
    <w:rsid w:val="00076986"/>
    <w:rsid w:val="00076CAF"/>
    <w:rsid w:val="0007707C"/>
    <w:rsid w:val="000770A1"/>
    <w:rsid w:val="00077125"/>
    <w:rsid w:val="0007747D"/>
    <w:rsid w:val="000775B2"/>
    <w:rsid w:val="000775B3"/>
    <w:rsid w:val="000775D3"/>
    <w:rsid w:val="00077650"/>
    <w:rsid w:val="000777BF"/>
    <w:rsid w:val="000777CF"/>
    <w:rsid w:val="0007795E"/>
    <w:rsid w:val="00077A3A"/>
    <w:rsid w:val="00077A8D"/>
    <w:rsid w:val="00077A95"/>
    <w:rsid w:val="00077AB8"/>
    <w:rsid w:val="00077AF2"/>
    <w:rsid w:val="00077C47"/>
    <w:rsid w:val="00077DE2"/>
    <w:rsid w:val="00077F30"/>
    <w:rsid w:val="00077FB8"/>
    <w:rsid w:val="00080244"/>
    <w:rsid w:val="000802CB"/>
    <w:rsid w:val="00080816"/>
    <w:rsid w:val="0008087F"/>
    <w:rsid w:val="000808A8"/>
    <w:rsid w:val="00080A84"/>
    <w:rsid w:val="00080B54"/>
    <w:rsid w:val="00080DD4"/>
    <w:rsid w:val="000812CE"/>
    <w:rsid w:val="000816D3"/>
    <w:rsid w:val="000816F7"/>
    <w:rsid w:val="0008183F"/>
    <w:rsid w:val="00081AF4"/>
    <w:rsid w:val="00081CA9"/>
    <w:rsid w:val="00081E8B"/>
    <w:rsid w:val="00081E90"/>
    <w:rsid w:val="00081FAE"/>
    <w:rsid w:val="000820D4"/>
    <w:rsid w:val="00082158"/>
    <w:rsid w:val="00082178"/>
    <w:rsid w:val="0008220B"/>
    <w:rsid w:val="0008222B"/>
    <w:rsid w:val="00082544"/>
    <w:rsid w:val="00082DAB"/>
    <w:rsid w:val="00082EEF"/>
    <w:rsid w:val="00082FEF"/>
    <w:rsid w:val="00083232"/>
    <w:rsid w:val="000833B9"/>
    <w:rsid w:val="000833FC"/>
    <w:rsid w:val="0008345E"/>
    <w:rsid w:val="000834C1"/>
    <w:rsid w:val="0008395D"/>
    <w:rsid w:val="00083CB3"/>
    <w:rsid w:val="00083ED6"/>
    <w:rsid w:val="00084255"/>
    <w:rsid w:val="0008425D"/>
    <w:rsid w:val="00084416"/>
    <w:rsid w:val="00084487"/>
    <w:rsid w:val="00084619"/>
    <w:rsid w:val="00084703"/>
    <w:rsid w:val="0008488C"/>
    <w:rsid w:val="0008494E"/>
    <w:rsid w:val="000849C3"/>
    <w:rsid w:val="00084A25"/>
    <w:rsid w:val="00084B9B"/>
    <w:rsid w:val="00084C1E"/>
    <w:rsid w:val="00084F21"/>
    <w:rsid w:val="00084F3B"/>
    <w:rsid w:val="00085026"/>
    <w:rsid w:val="0008536A"/>
    <w:rsid w:val="000855E8"/>
    <w:rsid w:val="00085653"/>
    <w:rsid w:val="000856BD"/>
    <w:rsid w:val="00085B7E"/>
    <w:rsid w:val="00085C78"/>
    <w:rsid w:val="0008607C"/>
    <w:rsid w:val="00086247"/>
    <w:rsid w:val="00086282"/>
    <w:rsid w:val="0008629D"/>
    <w:rsid w:val="0008698C"/>
    <w:rsid w:val="00086A31"/>
    <w:rsid w:val="00086A38"/>
    <w:rsid w:val="00086A3F"/>
    <w:rsid w:val="00086D3D"/>
    <w:rsid w:val="00086D9D"/>
    <w:rsid w:val="00086E1F"/>
    <w:rsid w:val="00086E26"/>
    <w:rsid w:val="00086F35"/>
    <w:rsid w:val="0008715E"/>
    <w:rsid w:val="000872BD"/>
    <w:rsid w:val="000877E6"/>
    <w:rsid w:val="000879F2"/>
    <w:rsid w:val="00087A42"/>
    <w:rsid w:val="00087B29"/>
    <w:rsid w:val="00087F8A"/>
    <w:rsid w:val="000900C0"/>
    <w:rsid w:val="000900C4"/>
    <w:rsid w:val="000905B2"/>
    <w:rsid w:val="000905B6"/>
    <w:rsid w:val="000907C3"/>
    <w:rsid w:val="000909E1"/>
    <w:rsid w:val="00090A0B"/>
    <w:rsid w:val="00090A23"/>
    <w:rsid w:val="00090AEA"/>
    <w:rsid w:val="00090B66"/>
    <w:rsid w:val="00090CB4"/>
    <w:rsid w:val="00090D0C"/>
    <w:rsid w:val="00090DA2"/>
    <w:rsid w:val="00090EF2"/>
    <w:rsid w:val="00090F9C"/>
    <w:rsid w:val="00090FCE"/>
    <w:rsid w:val="0009121F"/>
    <w:rsid w:val="00091326"/>
    <w:rsid w:val="00091928"/>
    <w:rsid w:val="00091A03"/>
    <w:rsid w:val="00091A0A"/>
    <w:rsid w:val="00091B4F"/>
    <w:rsid w:val="00091C37"/>
    <w:rsid w:val="00091C91"/>
    <w:rsid w:val="00091E2B"/>
    <w:rsid w:val="0009201A"/>
    <w:rsid w:val="000920C8"/>
    <w:rsid w:val="00092227"/>
    <w:rsid w:val="000923A8"/>
    <w:rsid w:val="00092575"/>
    <w:rsid w:val="000925F9"/>
    <w:rsid w:val="0009286B"/>
    <w:rsid w:val="0009290E"/>
    <w:rsid w:val="00092A9D"/>
    <w:rsid w:val="00092EBA"/>
    <w:rsid w:val="00092FF1"/>
    <w:rsid w:val="000930E8"/>
    <w:rsid w:val="00093210"/>
    <w:rsid w:val="000932A3"/>
    <w:rsid w:val="000933C0"/>
    <w:rsid w:val="000934FE"/>
    <w:rsid w:val="0009382D"/>
    <w:rsid w:val="00093A6B"/>
    <w:rsid w:val="00093B52"/>
    <w:rsid w:val="00093B7C"/>
    <w:rsid w:val="00093BB1"/>
    <w:rsid w:val="00093C2D"/>
    <w:rsid w:val="00093EEC"/>
    <w:rsid w:val="000942FD"/>
    <w:rsid w:val="00094494"/>
    <w:rsid w:val="00094515"/>
    <w:rsid w:val="00094530"/>
    <w:rsid w:val="000945B2"/>
    <w:rsid w:val="0009464D"/>
    <w:rsid w:val="00094738"/>
    <w:rsid w:val="00094860"/>
    <w:rsid w:val="000949E5"/>
    <w:rsid w:val="00094AF0"/>
    <w:rsid w:val="00094CA4"/>
    <w:rsid w:val="00095337"/>
    <w:rsid w:val="00095539"/>
    <w:rsid w:val="000955B8"/>
    <w:rsid w:val="00095692"/>
    <w:rsid w:val="000956DD"/>
    <w:rsid w:val="0009588A"/>
    <w:rsid w:val="000959F6"/>
    <w:rsid w:val="000959FC"/>
    <w:rsid w:val="00095B5B"/>
    <w:rsid w:val="00095C8A"/>
    <w:rsid w:val="00095E11"/>
    <w:rsid w:val="00095E2D"/>
    <w:rsid w:val="000961D4"/>
    <w:rsid w:val="000962EE"/>
    <w:rsid w:val="00096345"/>
    <w:rsid w:val="00096427"/>
    <w:rsid w:val="000968DD"/>
    <w:rsid w:val="000969CB"/>
    <w:rsid w:val="00096AF7"/>
    <w:rsid w:val="00096C95"/>
    <w:rsid w:val="00096DCF"/>
    <w:rsid w:val="000978B9"/>
    <w:rsid w:val="000978FB"/>
    <w:rsid w:val="00097979"/>
    <w:rsid w:val="00097CB8"/>
    <w:rsid w:val="00097D34"/>
    <w:rsid w:val="00097E9B"/>
    <w:rsid w:val="00097F65"/>
    <w:rsid w:val="00097FED"/>
    <w:rsid w:val="000A0163"/>
    <w:rsid w:val="000A03A9"/>
    <w:rsid w:val="000A03E7"/>
    <w:rsid w:val="000A05AE"/>
    <w:rsid w:val="000A08E8"/>
    <w:rsid w:val="000A096C"/>
    <w:rsid w:val="000A09C3"/>
    <w:rsid w:val="000A0EA6"/>
    <w:rsid w:val="000A11AE"/>
    <w:rsid w:val="000A11F6"/>
    <w:rsid w:val="000A13C5"/>
    <w:rsid w:val="000A145A"/>
    <w:rsid w:val="000A16CF"/>
    <w:rsid w:val="000A17A7"/>
    <w:rsid w:val="000A1A3C"/>
    <w:rsid w:val="000A1BD0"/>
    <w:rsid w:val="000A1DAF"/>
    <w:rsid w:val="000A1E16"/>
    <w:rsid w:val="000A227D"/>
    <w:rsid w:val="000A258B"/>
    <w:rsid w:val="000A2616"/>
    <w:rsid w:val="000A265C"/>
    <w:rsid w:val="000A29C3"/>
    <w:rsid w:val="000A2C9B"/>
    <w:rsid w:val="000A2F66"/>
    <w:rsid w:val="000A318E"/>
    <w:rsid w:val="000A3733"/>
    <w:rsid w:val="000A389C"/>
    <w:rsid w:val="000A38F5"/>
    <w:rsid w:val="000A3BA0"/>
    <w:rsid w:val="000A3C4E"/>
    <w:rsid w:val="000A3D7E"/>
    <w:rsid w:val="000A3DD8"/>
    <w:rsid w:val="000A3EA5"/>
    <w:rsid w:val="000A3F00"/>
    <w:rsid w:val="000A3F8B"/>
    <w:rsid w:val="000A4008"/>
    <w:rsid w:val="000A414F"/>
    <w:rsid w:val="000A41F6"/>
    <w:rsid w:val="000A42F5"/>
    <w:rsid w:val="000A43B2"/>
    <w:rsid w:val="000A43DB"/>
    <w:rsid w:val="000A4529"/>
    <w:rsid w:val="000A46A3"/>
    <w:rsid w:val="000A46FF"/>
    <w:rsid w:val="000A4925"/>
    <w:rsid w:val="000A4B8B"/>
    <w:rsid w:val="000A4B96"/>
    <w:rsid w:val="000A4C88"/>
    <w:rsid w:val="000A4DF9"/>
    <w:rsid w:val="000A4E5E"/>
    <w:rsid w:val="000A4F64"/>
    <w:rsid w:val="000A537D"/>
    <w:rsid w:val="000A5572"/>
    <w:rsid w:val="000A5627"/>
    <w:rsid w:val="000A57BA"/>
    <w:rsid w:val="000A5A86"/>
    <w:rsid w:val="000A5BB1"/>
    <w:rsid w:val="000A5C86"/>
    <w:rsid w:val="000A5CF3"/>
    <w:rsid w:val="000A5F77"/>
    <w:rsid w:val="000A63E6"/>
    <w:rsid w:val="000A66CE"/>
    <w:rsid w:val="000A6A09"/>
    <w:rsid w:val="000A6CFA"/>
    <w:rsid w:val="000A6D76"/>
    <w:rsid w:val="000A71A4"/>
    <w:rsid w:val="000A71A6"/>
    <w:rsid w:val="000A749E"/>
    <w:rsid w:val="000A793D"/>
    <w:rsid w:val="000A794F"/>
    <w:rsid w:val="000A79DD"/>
    <w:rsid w:val="000A7C8D"/>
    <w:rsid w:val="000A7F0D"/>
    <w:rsid w:val="000A7F1E"/>
    <w:rsid w:val="000A7F4E"/>
    <w:rsid w:val="000B0037"/>
    <w:rsid w:val="000B00A2"/>
    <w:rsid w:val="000B031E"/>
    <w:rsid w:val="000B039A"/>
    <w:rsid w:val="000B04CE"/>
    <w:rsid w:val="000B0634"/>
    <w:rsid w:val="000B0973"/>
    <w:rsid w:val="000B0D18"/>
    <w:rsid w:val="000B1033"/>
    <w:rsid w:val="000B108E"/>
    <w:rsid w:val="000B10BD"/>
    <w:rsid w:val="000B1149"/>
    <w:rsid w:val="000B132C"/>
    <w:rsid w:val="000B13AF"/>
    <w:rsid w:val="000B145B"/>
    <w:rsid w:val="000B1546"/>
    <w:rsid w:val="000B16E9"/>
    <w:rsid w:val="000B19AF"/>
    <w:rsid w:val="000B1A21"/>
    <w:rsid w:val="000B1C32"/>
    <w:rsid w:val="000B1CCF"/>
    <w:rsid w:val="000B1FD8"/>
    <w:rsid w:val="000B209B"/>
    <w:rsid w:val="000B2206"/>
    <w:rsid w:val="000B22D4"/>
    <w:rsid w:val="000B2349"/>
    <w:rsid w:val="000B24CC"/>
    <w:rsid w:val="000B2500"/>
    <w:rsid w:val="000B275D"/>
    <w:rsid w:val="000B27B2"/>
    <w:rsid w:val="000B298E"/>
    <w:rsid w:val="000B2A0E"/>
    <w:rsid w:val="000B2A6F"/>
    <w:rsid w:val="000B2AB1"/>
    <w:rsid w:val="000B2AD8"/>
    <w:rsid w:val="000B2B3B"/>
    <w:rsid w:val="000B2D7F"/>
    <w:rsid w:val="000B2E2C"/>
    <w:rsid w:val="000B2FFC"/>
    <w:rsid w:val="000B334F"/>
    <w:rsid w:val="000B35CD"/>
    <w:rsid w:val="000B35F3"/>
    <w:rsid w:val="000B36F8"/>
    <w:rsid w:val="000B3830"/>
    <w:rsid w:val="000B3AD7"/>
    <w:rsid w:val="000B3BAD"/>
    <w:rsid w:val="000B3C15"/>
    <w:rsid w:val="000B3C62"/>
    <w:rsid w:val="000B3CA6"/>
    <w:rsid w:val="000B3FD6"/>
    <w:rsid w:val="000B404E"/>
    <w:rsid w:val="000B414F"/>
    <w:rsid w:val="000B41E8"/>
    <w:rsid w:val="000B434B"/>
    <w:rsid w:val="000B449A"/>
    <w:rsid w:val="000B4713"/>
    <w:rsid w:val="000B4749"/>
    <w:rsid w:val="000B492B"/>
    <w:rsid w:val="000B49A8"/>
    <w:rsid w:val="000B49DD"/>
    <w:rsid w:val="000B4B52"/>
    <w:rsid w:val="000B4B79"/>
    <w:rsid w:val="000B4ED7"/>
    <w:rsid w:val="000B4F43"/>
    <w:rsid w:val="000B5304"/>
    <w:rsid w:val="000B5312"/>
    <w:rsid w:val="000B5444"/>
    <w:rsid w:val="000B55D8"/>
    <w:rsid w:val="000B5631"/>
    <w:rsid w:val="000B5AF0"/>
    <w:rsid w:val="000B5BFE"/>
    <w:rsid w:val="000B6075"/>
    <w:rsid w:val="000B6203"/>
    <w:rsid w:val="000B62AD"/>
    <w:rsid w:val="000B62D4"/>
    <w:rsid w:val="000B6324"/>
    <w:rsid w:val="000B6537"/>
    <w:rsid w:val="000B6772"/>
    <w:rsid w:val="000B68C9"/>
    <w:rsid w:val="000B6A0B"/>
    <w:rsid w:val="000B6A20"/>
    <w:rsid w:val="000B6D57"/>
    <w:rsid w:val="000B6D8F"/>
    <w:rsid w:val="000B6E9F"/>
    <w:rsid w:val="000B6F35"/>
    <w:rsid w:val="000B7108"/>
    <w:rsid w:val="000B710B"/>
    <w:rsid w:val="000B71D1"/>
    <w:rsid w:val="000B74C8"/>
    <w:rsid w:val="000B751F"/>
    <w:rsid w:val="000B75C1"/>
    <w:rsid w:val="000B76B5"/>
    <w:rsid w:val="000B7A0C"/>
    <w:rsid w:val="000B7AC6"/>
    <w:rsid w:val="000B7B3F"/>
    <w:rsid w:val="000B7C0D"/>
    <w:rsid w:val="000B7D9B"/>
    <w:rsid w:val="000B7D9E"/>
    <w:rsid w:val="000C018D"/>
    <w:rsid w:val="000C02AE"/>
    <w:rsid w:val="000C0362"/>
    <w:rsid w:val="000C03DA"/>
    <w:rsid w:val="000C0526"/>
    <w:rsid w:val="000C0538"/>
    <w:rsid w:val="000C05E6"/>
    <w:rsid w:val="000C0729"/>
    <w:rsid w:val="000C08C5"/>
    <w:rsid w:val="000C0918"/>
    <w:rsid w:val="000C0A6F"/>
    <w:rsid w:val="000C0B82"/>
    <w:rsid w:val="000C0B9C"/>
    <w:rsid w:val="000C0BA2"/>
    <w:rsid w:val="000C0BFF"/>
    <w:rsid w:val="000C0C17"/>
    <w:rsid w:val="000C0C37"/>
    <w:rsid w:val="000C0C56"/>
    <w:rsid w:val="000C0C98"/>
    <w:rsid w:val="000C0D9C"/>
    <w:rsid w:val="000C10CD"/>
    <w:rsid w:val="000C10DC"/>
    <w:rsid w:val="000C1177"/>
    <w:rsid w:val="000C11B3"/>
    <w:rsid w:val="000C1210"/>
    <w:rsid w:val="000C123B"/>
    <w:rsid w:val="000C1346"/>
    <w:rsid w:val="000C141B"/>
    <w:rsid w:val="000C1512"/>
    <w:rsid w:val="000C1817"/>
    <w:rsid w:val="000C1BD7"/>
    <w:rsid w:val="000C1BE7"/>
    <w:rsid w:val="000C1D33"/>
    <w:rsid w:val="000C1D59"/>
    <w:rsid w:val="000C1D76"/>
    <w:rsid w:val="000C1E28"/>
    <w:rsid w:val="000C1F2B"/>
    <w:rsid w:val="000C20E6"/>
    <w:rsid w:val="000C21CD"/>
    <w:rsid w:val="000C2517"/>
    <w:rsid w:val="000C2520"/>
    <w:rsid w:val="000C2549"/>
    <w:rsid w:val="000C254B"/>
    <w:rsid w:val="000C27E8"/>
    <w:rsid w:val="000C28A7"/>
    <w:rsid w:val="000C2C52"/>
    <w:rsid w:val="000C2D12"/>
    <w:rsid w:val="000C2DB1"/>
    <w:rsid w:val="000C3232"/>
    <w:rsid w:val="000C3303"/>
    <w:rsid w:val="000C33FF"/>
    <w:rsid w:val="000C36AE"/>
    <w:rsid w:val="000C3A5B"/>
    <w:rsid w:val="000C3A84"/>
    <w:rsid w:val="000C3AB3"/>
    <w:rsid w:val="000C3C77"/>
    <w:rsid w:val="000C3CCF"/>
    <w:rsid w:val="000C3ED5"/>
    <w:rsid w:val="000C3F0C"/>
    <w:rsid w:val="000C41D3"/>
    <w:rsid w:val="000C4287"/>
    <w:rsid w:val="000C42CD"/>
    <w:rsid w:val="000C42EE"/>
    <w:rsid w:val="000C4472"/>
    <w:rsid w:val="000C449A"/>
    <w:rsid w:val="000C4670"/>
    <w:rsid w:val="000C4725"/>
    <w:rsid w:val="000C48C1"/>
    <w:rsid w:val="000C4AAF"/>
    <w:rsid w:val="000C4E8B"/>
    <w:rsid w:val="000C4FF1"/>
    <w:rsid w:val="000C5064"/>
    <w:rsid w:val="000C5292"/>
    <w:rsid w:val="000C5393"/>
    <w:rsid w:val="000C547F"/>
    <w:rsid w:val="000C5494"/>
    <w:rsid w:val="000C564E"/>
    <w:rsid w:val="000C5D53"/>
    <w:rsid w:val="000C6144"/>
    <w:rsid w:val="000C65A7"/>
    <w:rsid w:val="000C6655"/>
    <w:rsid w:val="000C67AA"/>
    <w:rsid w:val="000C68CD"/>
    <w:rsid w:val="000C6D0F"/>
    <w:rsid w:val="000C6D20"/>
    <w:rsid w:val="000C6EF0"/>
    <w:rsid w:val="000C6F17"/>
    <w:rsid w:val="000C6F93"/>
    <w:rsid w:val="000C6FF7"/>
    <w:rsid w:val="000C7346"/>
    <w:rsid w:val="000C75FE"/>
    <w:rsid w:val="000C7765"/>
    <w:rsid w:val="000C7829"/>
    <w:rsid w:val="000C78D7"/>
    <w:rsid w:val="000C7973"/>
    <w:rsid w:val="000C7A2C"/>
    <w:rsid w:val="000C7A5D"/>
    <w:rsid w:val="000C7D18"/>
    <w:rsid w:val="000C7D5D"/>
    <w:rsid w:val="000C7D87"/>
    <w:rsid w:val="000C7E9E"/>
    <w:rsid w:val="000C7FA0"/>
    <w:rsid w:val="000D044A"/>
    <w:rsid w:val="000D050E"/>
    <w:rsid w:val="000D06B6"/>
    <w:rsid w:val="000D08A5"/>
    <w:rsid w:val="000D08AE"/>
    <w:rsid w:val="000D0A4A"/>
    <w:rsid w:val="000D0A4B"/>
    <w:rsid w:val="000D0B4D"/>
    <w:rsid w:val="000D0BBB"/>
    <w:rsid w:val="000D0C88"/>
    <w:rsid w:val="000D0C91"/>
    <w:rsid w:val="000D0DB6"/>
    <w:rsid w:val="000D0E02"/>
    <w:rsid w:val="000D0F17"/>
    <w:rsid w:val="000D11FB"/>
    <w:rsid w:val="000D11FE"/>
    <w:rsid w:val="000D128F"/>
    <w:rsid w:val="000D1471"/>
    <w:rsid w:val="000D14AB"/>
    <w:rsid w:val="000D14BF"/>
    <w:rsid w:val="000D1714"/>
    <w:rsid w:val="000D1B8A"/>
    <w:rsid w:val="000D1CAF"/>
    <w:rsid w:val="000D1CD8"/>
    <w:rsid w:val="000D1D3F"/>
    <w:rsid w:val="000D236C"/>
    <w:rsid w:val="000D278B"/>
    <w:rsid w:val="000D28F5"/>
    <w:rsid w:val="000D29E2"/>
    <w:rsid w:val="000D2C07"/>
    <w:rsid w:val="000D2DB7"/>
    <w:rsid w:val="000D2ECA"/>
    <w:rsid w:val="000D2FC0"/>
    <w:rsid w:val="000D303E"/>
    <w:rsid w:val="000D30E3"/>
    <w:rsid w:val="000D32D8"/>
    <w:rsid w:val="000D32EA"/>
    <w:rsid w:val="000D33EF"/>
    <w:rsid w:val="000D33F2"/>
    <w:rsid w:val="000D3409"/>
    <w:rsid w:val="000D37AD"/>
    <w:rsid w:val="000D399F"/>
    <w:rsid w:val="000D40A5"/>
    <w:rsid w:val="000D4135"/>
    <w:rsid w:val="000D4257"/>
    <w:rsid w:val="000D4517"/>
    <w:rsid w:val="000D47C7"/>
    <w:rsid w:val="000D4BF9"/>
    <w:rsid w:val="000D4E06"/>
    <w:rsid w:val="000D4ED9"/>
    <w:rsid w:val="000D4FCF"/>
    <w:rsid w:val="000D503C"/>
    <w:rsid w:val="000D511B"/>
    <w:rsid w:val="000D530D"/>
    <w:rsid w:val="000D537F"/>
    <w:rsid w:val="000D5544"/>
    <w:rsid w:val="000D562D"/>
    <w:rsid w:val="000D5821"/>
    <w:rsid w:val="000D5997"/>
    <w:rsid w:val="000D5FCE"/>
    <w:rsid w:val="000D6053"/>
    <w:rsid w:val="000D63D9"/>
    <w:rsid w:val="000D645C"/>
    <w:rsid w:val="000D6541"/>
    <w:rsid w:val="000D6745"/>
    <w:rsid w:val="000D68C8"/>
    <w:rsid w:val="000D68CC"/>
    <w:rsid w:val="000D6C0F"/>
    <w:rsid w:val="000D6FC9"/>
    <w:rsid w:val="000D7373"/>
    <w:rsid w:val="000D7388"/>
    <w:rsid w:val="000D74D0"/>
    <w:rsid w:val="000D75A8"/>
    <w:rsid w:val="000D7713"/>
    <w:rsid w:val="000D7B1F"/>
    <w:rsid w:val="000D7DC0"/>
    <w:rsid w:val="000E0026"/>
    <w:rsid w:val="000E04C5"/>
    <w:rsid w:val="000E07CE"/>
    <w:rsid w:val="000E07E0"/>
    <w:rsid w:val="000E0AAC"/>
    <w:rsid w:val="000E0F8A"/>
    <w:rsid w:val="000E11F2"/>
    <w:rsid w:val="000E14E5"/>
    <w:rsid w:val="000E1586"/>
    <w:rsid w:val="000E1861"/>
    <w:rsid w:val="000E1DBA"/>
    <w:rsid w:val="000E1E62"/>
    <w:rsid w:val="000E1F9A"/>
    <w:rsid w:val="000E1FBD"/>
    <w:rsid w:val="000E2257"/>
    <w:rsid w:val="000E22F7"/>
    <w:rsid w:val="000E22FF"/>
    <w:rsid w:val="000E236A"/>
    <w:rsid w:val="000E250C"/>
    <w:rsid w:val="000E284C"/>
    <w:rsid w:val="000E2AC5"/>
    <w:rsid w:val="000E2B6D"/>
    <w:rsid w:val="000E2BE8"/>
    <w:rsid w:val="000E2D2D"/>
    <w:rsid w:val="000E3213"/>
    <w:rsid w:val="000E32DC"/>
    <w:rsid w:val="000E3429"/>
    <w:rsid w:val="000E3597"/>
    <w:rsid w:val="000E38BA"/>
    <w:rsid w:val="000E38D4"/>
    <w:rsid w:val="000E3987"/>
    <w:rsid w:val="000E3A45"/>
    <w:rsid w:val="000E3D0F"/>
    <w:rsid w:val="000E3F90"/>
    <w:rsid w:val="000E410E"/>
    <w:rsid w:val="000E412A"/>
    <w:rsid w:val="000E4303"/>
    <w:rsid w:val="000E4353"/>
    <w:rsid w:val="000E43D2"/>
    <w:rsid w:val="000E45BB"/>
    <w:rsid w:val="000E45DF"/>
    <w:rsid w:val="000E4CBB"/>
    <w:rsid w:val="000E4DBC"/>
    <w:rsid w:val="000E4DC1"/>
    <w:rsid w:val="000E4EDC"/>
    <w:rsid w:val="000E514D"/>
    <w:rsid w:val="000E52F0"/>
    <w:rsid w:val="000E599D"/>
    <w:rsid w:val="000E5A61"/>
    <w:rsid w:val="000E5B6C"/>
    <w:rsid w:val="000E5C40"/>
    <w:rsid w:val="000E604B"/>
    <w:rsid w:val="000E6080"/>
    <w:rsid w:val="000E6273"/>
    <w:rsid w:val="000E63BC"/>
    <w:rsid w:val="000E6804"/>
    <w:rsid w:val="000E681B"/>
    <w:rsid w:val="000E6964"/>
    <w:rsid w:val="000E698F"/>
    <w:rsid w:val="000E69CD"/>
    <w:rsid w:val="000E6A11"/>
    <w:rsid w:val="000E6AB7"/>
    <w:rsid w:val="000E6B13"/>
    <w:rsid w:val="000E6ECA"/>
    <w:rsid w:val="000E6ED5"/>
    <w:rsid w:val="000E6F4D"/>
    <w:rsid w:val="000E7042"/>
    <w:rsid w:val="000E7055"/>
    <w:rsid w:val="000E730F"/>
    <w:rsid w:val="000E7310"/>
    <w:rsid w:val="000E7360"/>
    <w:rsid w:val="000E75D9"/>
    <w:rsid w:val="000E768C"/>
    <w:rsid w:val="000E79AF"/>
    <w:rsid w:val="000E7A24"/>
    <w:rsid w:val="000E7B6D"/>
    <w:rsid w:val="000E7BF3"/>
    <w:rsid w:val="000E7D06"/>
    <w:rsid w:val="000E7E0F"/>
    <w:rsid w:val="000F0031"/>
    <w:rsid w:val="000F0308"/>
    <w:rsid w:val="000F03ED"/>
    <w:rsid w:val="000F0589"/>
    <w:rsid w:val="000F05A1"/>
    <w:rsid w:val="000F0906"/>
    <w:rsid w:val="000F0A04"/>
    <w:rsid w:val="000F0A0A"/>
    <w:rsid w:val="000F0A4A"/>
    <w:rsid w:val="000F0A55"/>
    <w:rsid w:val="000F0E7B"/>
    <w:rsid w:val="000F142F"/>
    <w:rsid w:val="000F151C"/>
    <w:rsid w:val="000F1805"/>
    <w:rsid w:val="000F1B90"/>
    <w:rsid w:val="000F1D66"/>
    <w:rsid w:val="000F1DAA"/>
    <w:rsid w:val="000F1E2C"/>
    <w:rsid w:val="000F21BE"/>
    <w:rsid w:val="000F21C5"/>
    <w:rsid w:val="000F25C6"/>
    <w:rsid w:val="000F26A4"/>
    <w:rsid w:val="000F29DF"/>
    <w:rsid w:val="000F2A06"/>
    <w:rsid w:val="000F2C87"/>
    <w:rsid w:val="000F2F04"/>
    <w:rsid w:val="000F2F3B"/>
    <w:rsid w:val="000F2FD3"/>
    <w:rsid w:val="000F3028"/>
    <w:rsid w:val="000F3068"/>
    <w:rsid w:val="000F3088"/>
    <w:rsid w:val="000F30B0"/>
    <w:rsid w:val="000F324A"/>
    <w:rsid w:val="000F324C"/>
    <w:rsid w:val="000F357C"/>
    <w:rsid w:val="000F35A0"/>
    <w:rsid w:val="000F395B"/>
    <w:rsid w:val="000F398B"/>
    <w:rsid w:val="000F3C97"/>
    <w:rsid w:val="000F4313"/>
    <w:rsid w:val="000F45C3"/>
    <w:rsid w:val="000F47E1"/>
    <w:rsid w:val="000F49A4"/>
    <w:rsid w:val="000F4BAE"/>
    <w:rsid w:val="000F4CB9"/>
    <w:rsid w:val="000F4CFE"/>
    <w:rsid w:val="000F4E73"/>
    <w:rsid w:val="000F51E2"/>
    <w:rsid w:val="000F5252"/>
    <w:rsid w:val="000F5324"/>
    <w:rsid w:val="000F53EA"/>
    <w:rsid w:val="000F55CB"/>
    <w:rsid w:val="000F57EC"/>
    <w:rsid w:val="000F57F6"/>
    <w:rsid w:val="000F57FC"/>
    <w:rsid w:val="000F5803"/>
    <w:rsid w:val="000F5B97"/>
    <w:rsid w:val="000F5D99"/>
    <w:rsid w:val="000F6044"/>
    <w:rsid w:val="000F616E"/>
    <w:rsid w:val="000F634F"/>
    <w:rsid w:val="000F67E5"/>
    <w:rsid w:val="000F67F5"/>
    <w:rsid w:val="000F68EC"/>
    <w:rsid w:val="000F6A1C"/>
    <w:rsid w:val="000F6A20"/>
    <w:rsid w:val="000F6C21"/>
    <w:rsid w:val="000F6E51"/>
    <w:rsid w:val="000F6E8A"/>
    <w:rsid w:val="000F6F5A"/>
    <w:rsid w:val="000F70A0"/>
    <w:rsid w:val="000F70ED"/>
    <w:rsid w:val="000F72CB"/>
    <w:rsid w:val="000F7415"/>
    <w:rsid w:val="000F775D"/>
    <w:rsid w:val="000F775E"/>
    <w:rsid w:val="000F78F7"/>
    <w:rsid w:val="000F7B0B"/>
    <w:rsid w:val="000F7DA9"/>
    <w:rsid w:val="000F7DE0"/>
    <w:rsid w:val="000F7E0B"/>
    <w:rsid w:val="000F7FD2"/>
    <w:rsid w:val="001002DD"/>
    <w:rsid w:val="00100320"/>
    <w:rsid w:val="0010040A"/>
    <w:rsid w:val="00100499"/>
    <w:rsid w:val="00100B1A"/>
    <w:rsid w:val="00100B79"/>
    <w:rsid w:val="00100B7C"/>
    <w:rsid w:val="00100EE7"/>
    <w:rsid w:val="00100FBC"/>
    <w:rsid w:val="001012DD"/>
    <w:rsid w:val="001013BA"/>
    <w:rsid w:val="0010141C"/>
    <w:rsid w:val="001014C9"/>
    <w:rsid w:val="00101638"/>
    <w:rsid w:val="001017EF"/>
    <w:rsid w:val="00101837"/>
    <w:rsid w:val="0010190B"/>
    <w:rsid w:val="00101C79"/>
    <w:rsid w:val="00101FBF"/>
    <w:rsid w:val="00101FC8"/>
    <w:rsid w:val="001020D6"/>
    <w:rsid w:val="001022C7"/>
    <w:rsid w:val="001023ED"/>
    <w:rsid w:val="00102515"/>
    <w:rsid w:val="00102697"/>
    <w:rsid w:val="00102766"/>
    <w:rsid w:val="00102A78"/>
    <w:rsid w:val="00102A99"/>
    <w:rsid w:val="00102C76"/>
    <w:rsid w:val="00102DB5"/>
    <w:rsid w:val="00102E4C"/>
    <w:rsid w:val="00102EE2"/>
    <w:rsid w:val="00103025"/>
    <w:rsid w:val="00103093"/>
    <w:rsid w:val="0010309A"/>
    <w:rsid w:val="001030E6"/>
    <w:rsid w:val="00103221"/>
    <w:rsid w:val="001032F9"/>
    <w:rsid w:val="0010394C"/>
    <w:rsid w:val="00103D75"/>
    <w:rsid w:val="00103FD1"/>
    <w:rsid w:val="00103FDF"/>
    <w:rsid w:val="001040F9"/>
    <w:rsid w:val="001046EC"/>
    <w:rsid w:val="00104A9A"/>
    <w:rsid w:val="00104C21"/>
    <w:rsid w:val="00104CAF"/>
    <w:rsid w:val="00104D15"/>
    <w:rsid w:val="00104E12"/>
    <w:rsid w:val="00104E77"/>
    <w:rsid w:val="00104FB3"/>
    <w:rsid w:val="00105061"/>
    <w:rsid w:val="00105098"/>
    <w:rsid w:val="001050D5"/>
    <w:rsid w:val="0010524D"/>
    <w:rsid w:val="001052E6"/>
    <w:rsid w:val="001052F7"/>
    <w:rsid w:val="0010535A"/>
    <w:rsid w:val="0010535E"/>
    <w:rsid w:val="00105648"/>
    <w:rsid w:val="0010564E"/>
    <w:rsid w:val="0010580E"/>
    <w:rsid w:val="001058BD"/>
    <w:rsid w:val="00105F60"/>
    <w:rsid w:val="0010606A"/>
    <w:rsid w:val="0010608C"/>
    <w:rsid w:val="001060A0"/>
    <w:rsid w:val="001061AB"/>
    <w:rsid w:val="001063B9"/>
    <w:rsid w:val="0010642A"/>
    <w:rsid w:val="00106914"/>
    <w:rsid w:val="00106AAF"/>
    <w:rsid w:val="00106B53"/>
    <w:rsid w:val="00106B91"/>
    <w:rsid w:val="00106DD4"/>
    <w:rsid w:val="00106DF2"/>
    <w:rsid w:val="00106F12"/>
    <w:rsid w:val="00106F5F"/>
    <w:rsid w:val="00107105"/>
    <w:rsid w:val="00107192"/>
    <w:rsid w:val="001072E4"/>
    <w:rsid w:val="00107339"/>
    <w:rsid w:val="00107450"/>
    <w:rsid w:val="0010755F"/>
    <w:rsid w:val="00107593"/>
    <w:rsid w:val="0010765B"/>
    <w:rsid w:val="001076A2"/>
    <w:rsid w:val="00107A7D"/>
    <w:rsid w:val="00107AC7"/>
    <w:rsid w:val="00107D1F"/>
    <w:rsid w:val="00107ED8"/>
    <w:rsid w:val="00107F87"/>
    <w:rsid w:val="0010FCB8"/>
    <w:rsid w:val="0011008A"/>
    <w:rsid w:val="00110347"/>
    <w:rsid w:val="00110412"/>
    <w:rsid w:val="00110481"/>
    <w:rsid w:val="00110512"/>
    <w:rsid w:val="0011051C"/>
    <w:rsid w:val="001106DD"/>
    <w:rsid w:val="00110823"/>
    <w:rsid w:val="00110C68"/>
    <w:rsid w:val="00110CA3"/>
    <w:rsid w:val="00110D14"/>
    <w:rsid w:val="00110D37"/>
    <w:rsid w:val="00110E0C"/>
    <w:rsid w:val="001110AA"/>
    <w:rsid w:val="00111173"/>
    <w:rsid w:val="001112AE"/>
    <w:rsid w:val="001114C2"/>
    <w:rsid w:val="001117B2"/>
    <w:rsid w:val="001119AE"/>
    <w:rsid w:val="00111BBD"/>
    <w:rsid w:val="00111CA1"/>
    <w:rsid w:val="00111CC4"/>
    <w:rsid w:val="00111D80"/>
    <w:rsid w:val="00111E4B"/>
    <w:rsid w:val="00112152"/>
    <w:rsid w:val="0011217A"/>
    <w:rsid w:val="00112182"/>
    <w:rsid w:val="0011249A"/>
    <w:rsid w:val="0011254B"/>
    <w:rsid w:val="00112587"/>
    <w:rsid w:val="00112905"/>
    <w:rsid w:val="0011297E"/>
    <w:rsid w:val="00112A67"/>
    <w:rsid w:val="00112CA5"/>
    <w:rsid w:val="00112E68"/>
    <w:rsid w:val="00112E72"/>
    <w:rsid w:val="00112FE2"/>
    <w:rsid w:val="00113220"/>
    <w:rsid w:val="001134ED"/>
    <w:rsid w:val="0011351C"/>
    <w:rsid w:val="0011351E"/>
    <w:rsid w:val="0011364F"/>
    <w:rsid w:val="001137D5"/>
    <w:rsid w:val="0011389E"/>
    <w:rsid w:val="00113C38"/>
    <w:rsid w:val="00113E24"/>
    <w:rsid w:val="00113E6B"/>
    <w:rsid w:val="00113F29"/>
    <w:rsid w:val="001141C6"/>
    <w:rsid w:val="00114309"/>
    <w:rsid w:val="0011451D"/>
    <w:rsid w:val="0011459E"/>
    <w:rsid w:val="001146C0"/>
    <w:rsid w:val="00114A83"/>
    <w:rsid w:val="00114BC3"/>
    <w:rsid w:val="00114D69"/>
    <w:rsid w:val="00114EAC"/>
    <w:rsid w:val="00114FA5"/>
    <w:rsid w:val="00115064"/>
    <w:rsid w:val="00115A50"/>
    <w:rsid w:val="00115A77"/>
    <w:rsid w:val="00115AD0"/>
    <w:rsid w:val="00115B0E"/>
    <w:rsid w:val="00115B5B"/>
    <w:rsid w:val="00115CE9"/>
    <w:rsid w:val="00115D7D"/>
    <w:rsid w:val="001160CB"/>
    <w:rsid w:val="001167C3"/>
    <w:rsid w:val="001167FC"/>
    <w:rsid w:val="00116C0D"/>
    <w:rsid w:val="00116C4E"/>
    <w:rsid w:val="00116CCE"/>
    <w:rsid w:val="00116D09"/>
    <w:rsid w:val="00116E12"/>
    <w:rsid w:val="00116F7D"/>
    <w:rsid w:val="00116FBF"/>
    <w:rsid w:val="0011716E"/>
    <w:rsid w:val="001171AB"/>
    <w:rsid w:val="0011748C"/>
    <w:rsid w:val="001174C6"/>
    <w:rsid w:val="001174F3"/>
    <w:rsid w:val="001174F7"/>
    <w:rsid w:val="00117606"/>
    <w:rsid w:val="0011766F"/>
    <w:rsid w:val="0011792D"/>
    <w:rsid w:val="00117F31"/>
    <w:rsid w:val="0012009E"/>
    <w:rsid w:val="00120461"/>
    <w:rsid w:val="00120521"/>
    <w:rsid w:val="001207E9"/>
    <w:rsid w:val="001208B9"/>
    <w:rsid w:val="001208E2"/>
    <w:rsid w:val="00120B44"/>
    <w:rsid w:val="00120B57"/>
    <w:rsid w:val="00120C3B"/>
    <w:rsid w:val="001213E5"/>
    <w:rsid w:val="00121528"/>
    <w:rsid w:val="00121725"/>
    <w:rsid w:val="001218BC"/>
    <w:rsid w:val="00121993"/>
    <w:rsid w:val="00121A1B"/>
    <w:rsid w:val="00121B7E"/>
    <w:rsid w:val="00121D19"/>
    <w:rsid w:val="00121ECD"/>
    <w:rsid w:val="00121F62"/>
    <w:rsid w:val="0012213F"/>
    <w:rsid w:val="001221EF"/>
    <w:rsid w:val="00122681"/>
    <w:rsid w:val="001226D6"/>
    <w:rsid w:val="001228C0"/>
    <w:rsid w:val="00122A58"/>
    <w:rsid w:val="00122DBD"/>
    <w:rsid w:val="00122DCD"/>
    <w:rsid w:val="00122E55"/>
    <w:rsid w:val="00122F2D"/>
    <w:rsid w:val="00122F5B"/>
    <w:rsid w:val="00123087"/>
    <w:rsid w:val="001230AD"/>
    <w:rsid w:val="001234B0"/>
    <w:rsid w:val="001235DE"/>
    <w:rsid w:val="0012398F"/>
    <w:rsid w:val="001239C3"/>
    <w:rsid w:val="00123A28"/>
    <w:rsid w:val="00123AA0"/>
    <w:rsid w:val="00123B0F"/>
    <w:rsid w:val="00123C47"/>
    <w:rsid w:val="00123C85"/>
    <w:rsid w:val="00123C9E"/>
    <w:rsid w:val="00123DFA"/>
    <w:rsid w:val="0012426E"/>
    <w:rsid w:val="0012431B"/>
    <w:rsid w:val="00124744"/>
    <w:rsid w:val="00124818"/>
    <w:rsid w:val="00124851"/>
    <w:rsid w:val="001248F2"/>
    <w:rsid w:val="00124A69"/>
    <w:rsid w:val="00124BBF"/>
    <w:rsid w:val="00124CF8"/>
    <w:rsid w:val="00124D9E"/>
    <w:rsid w:val="00124DAF"/>
    <w:rsid w:val="00125056"/>
    <w:rsid w:val="001250B6"/>
    <w:rsid w:val="00125C36"/>
    <w:rsid w:val="00125E2C"/>
    <w:rsid w:val="00125F43"/>
    <w:rsid w:val="0012622C"/>
    <w:rsid w:val="00126397"/>
    <w:rsid w:val="001263EE"/>
    <w:rsid w:val="001265B2"/>
    <w:rsid w:val="001265C7"/>
    <w:rsid w:val="00126734"/>
    <w:rsid w:val="00126739"/>
    <w:rsid w:val="00126968"/>
    <w:rsid w:val="00126978"/>
    <w:rsid w:val="00126A88"/>
    <w:rsid w:val="00126EEC"/>
    <w:rsid w:val="00126F6A"/>
    <w:rsid w:val="0012732C"/>
    <w:rsid w:val="00127425"/>
    <w:rsid w:val="0012769B"/>
    <w:rsid w:val="00127AC2"/>
    <w:rsid w:val="00127FB0"/>
    <w:rsid w:val="00130530"/>
    <w:rsid w:val="0013066D"/>
    <w:rsid w:val="001306D6"/>
    <w:rsid w:val="0013077F"/>
    <w:rsid w:val="001307DA"/>
    <w:rsid w:val="00130918"/>
    <w:rsid w:val="0013099D"/>
    <w:rsid w:val="001309AE"/>
    <w:rsid w:val="00130AB1"/>
    <w:rsid w:val="00130C3A"/>
    <w:rsid w:val="00130C60"/>
    <w:rsid w:val="00130D7A"/>
    <w:rsid w:val="00131046"/>
    <w:rsid w:val="001311ED"/>
    <w:rsid w:val="001313A4"/>
    <w:rsid w:val="00131672"/>
    <w:rsid w:val="0013196E"/>
    <w:rsid w:val="00131A4C"/>
    <w:rsid w:val="00131B10"/>
    <w:rsid w:val="00131B2F"/>
    <w:rsid w:val="00131D6F"/>
    <w:rsid w:val="00131E30"/>
    <w:rsid w:val="00131E99"/>
    <w:rsid w:val="00131FB6"/>
    <w:rsid w:val="0013208E"/>
    <w:rsid w:val="0013221A"/>
    <w:rsid w:val="001322EE"/>
    <w:rsid w:val="0013247A"/>
    <w:rsid w:val="001324BF"/>
    <w:rsid w:val="00132699"/>
    <w:rsid w:val="001326DC"/>
    <w:rsid w:val="001326F7"/>
    <w:rsid w:val="001327BE"/>
    <w:rsid w:val="0013285D"/>
    <w:rsid w:val="001329ED"/>
    <w:rsid w:val="00132B8F"/>
    <w:rsid w:val="00132C37"/>
    <w:rsid w:val="00132FF7"/>
    <w:rsid w:val="00133033"/>
    <w:rsid w:val="0013315B"/>
    <w:rsid w:val="00133391"/>
    <w:rsid w:val="001333EA"/>
    <w:rsid w:val="001336EE"/>
    <w:rsid w:val="00133925"/>
    <w:rsid w:val="00133AE6"/>
    <w:rsid w:val="00133C5D"/>
    <w:rsid w:val="00133D53"/>
    <w:rsid w:val="00133EB5"/>
    <w:rsid w:val="00133ECF"/>
    <w:rsid w:val="00133F68"/>
    <w:rsid w:val="00134132"/>
    <w:rsid w:val="001346DB"/>
    <w:rsid w:val="0013487C"/>
    <w:rsid w:val="00134AD3"/>
    <w:rsid w:val="00134CC3"/>
    <w:rsid w:val="00134F73"/>
    <w:rsid w:val="00135321"/>
    <w:rsid w:val="00135373"/>
    <w:rsid w:val="00135401"/>
    <w:rsid w:val="001355CF"/>
    <w:rsid w:val="001356B2"/>
    <w:rsid w:val="00135BCE"/>
    <w:rsid w:val="00135CBD"/>
    <w:rsid w:val="00135E67"/>
    <w:rsid w:val="0013606A"/>
    <w:rsid w:val="00136312"/>
    <w:rsid w:val="00136450"/>
    <w:rsid w:val="00136598"/>
    <w:rsid w:val="0013677E"/>
    <w:rsid w:val="0013680B"/>
    <w:rsid w:val="00136A71"/>
    <w:rsid w:val="00136B17"/>
    <w:rsid w:val="00136C92"/>
    <w:rsid w:val="00136CE0"/>
    <w:rsid w:val="00136E28"/>
    <w:rsid w:val="00136FB3"/>
    <w:rsid w:val="00136FCE"/>
    <w:rsid w:val="00137303"/>
    <w:rsid w:val="001373BB"/>
    <w:rsid w:val="001374CA"/>
    <w:rsid w:val="001377DE"/>
    <w:rsid w:val="00137A93"/>
    <w:rsid w:val="00137AF0"/>
    <w:rsid w:val="0014009F"/>
    <w:rsid w:val="00140197"/>
    <w:rsid w:val="001402C1"/>
    <w:rsid w:val="0014033E"/>
    <w:rsid w:val="0014059C"/>
    <w:rsid w:val="001408F2"/>
    <w:rsid w:val="001409E4"/>
    <w:rsid w:val="00140D3B"/>
    <w:rsid w:val="00140D9C"/>
    <w:rsid w:val="00140E4F"/>
    <w:rsid w:val="00140E5E"/>
    <w:rsid w:val="00140EEC"/>
    <w:rsid w:val="00140F66"/>
    <w:rsid w:val="00141129"/>
    <w:rsid w:val="001414AF"/>
    <w:rsid w:val="001416D2"/>
    <w:rsid w:val="0014175F"/>
    <w:rsid w:val="00141850"/>
    <w:rsid w:val="001418BE"/>
    <w:rsid w:val="00141A11"/>
    <w:rsid w:val="00141A6B"/>
    <w:rsid w:val="00141C3F"/>
    <w:rsid w:val="00141E09"/>
    <w:rsid w:val="00141F06"/>
    <w:rsid w:val="00141FB5"/>
    <w:rsid w:val="00141FC1"/>
    <w:rsid w:val="00142090"/>
    <w:rsid w:val="0014214B"/>
    <w:rsid w:val="00142245"/>
    <w:rsid w:val="00142285"/>
    <w:rsid w:val="00142668"/>
    <w:rsid w:val="0014268A"/>
    <w:rsid w:val="00142731"/>
    <w:rsid w:val="00142743"/>
    <w:rsid w:val="0014279D"/>
    <w:rsid w:val="0014296E"/>
    <w:rsid w:val="00142BCC"/>
    <w:rsid w:val="00142D94"/>
    <w:rsid w:val="00142DD9"/>
    <w:rsid w:val="00143076"/>
    <w:rsid w:val="00143208"/>
    <w:rsid w:val="0014324C"/>
    <w:rsid w:val="001436D2"/>
    <w:rsid w:val="001437C1"/>
    <w:rsid w:val="001437FF"/>
    <w:rsid w:val="00143EF3"/>
    <w:rsid w:val="00143FAA"/>
    <w:rsid w:val="001441BB"/>
    <w:rsid w:val="00144252"/>
    <w:rsid w:val="00144456"/>
    <w:rsid w:val="0014445F"/>
    <w:rsid w:val="0014462F"/>
    <w:rsid w:val="00144748"/>
    <w:rsid w:val="00144761"/>
    <w:rsid w:val="00144817"/>
    <w:rsid w:val="0014482D"/>
    <w:rsid w:val="0014493A"/>
    <w:rsid w:val="00144BA5"/>
    <w:rsid w:val="00144E4C"/>
    <w:rsid w:val="0014508F"/>
    <w:rsid w:val="00145095"/>
    <w:rsid w:val="00145188"/>
    <w:rsid w:val="0014530B"/>
    <w:rsid w:val="00145384"/>
    <w:rsid w:val="00145486"/>
    <w:rsid w:val="001454FE"/>
    <w:rsid w:val="00145621"/>
    <w:rsid w:val="0014564C"/>
    <w:rsid w:val="00145766"/>
    <w:rsid w:val="001457C4"/>
    <w:rsid w:val="0014582B"/>
    <w:rsid w:val="00145834"/>
    <w:rsid w:val="00145CE9"/>
    <w:rsid w:val="00145E36"/>
    <w:rsid w:val="00145ED9"/>
    <w:rsid w:val="0014619E"/>
    <w:rsid w:val="0014629C"/>
    <w:rsid w:val="00146306"/>
    <w:rsid w:val="001466BE"/>
    <w:rsid w:val="0014691F"/>
    <w:rsid w:val="00146A7F"/>
    <w:rsid w:val="00146A80"/>
    <w:rsid w:val="00146D21"/>
    <w:rsid w:val="00146D9A"/>
    <w:rsid w:val="00146DA2"/>
    <w:rsid w:val="00146DE3"/>
    <w:rsid w:val="00147218"/>
    <w:rsid w:val="00147335"/>
    <w:rsid w:val="00147355"/>
    <w:rsid w:val="001474E7"/>
    <w:rsid w:val="001475BF"/>
    <w:rsid w:val="001475EB"/>
    <w:rsid w:val="00147738"/>
    <w:rsid w:val="00147993"/>
    <w:rsid w:val="00147A90"/>
    <w:rsid w:val="00147AC6"/>
    <w:rsid w:val="00147B16"/>
    <w:rsid w:val="00147C45"/>
    <w:rsid w:val="00147C6B"/>
    <w:rsid w:val="00147CB2"/>
    <w:rsid w:val="00147EB1"/>
    <w:rsid w:val="00150041"/>
    <w:rsid w:val="00150152"/>
    <w:rsid w:val="00150241"/>
    <w:rsid w:val="00150318"/>
    <w:rsid w:val="001503EE"/>
    <w:rsid w:val="001507D1"/>
    <w:rsid w:val="00150964"/>
    <w:rsid w:val="00150967"/>
    <w:rsid w:val="00150972"/>
    <w:rsid w:val="001509BD"/>
    <w:rsid w:val="00150A0C"/>
    <w:rsid w:val="00150DFE"/>
    <w:rsid w:val="00150EFC"/>
    <w:rsid w:val="00150F32"/>
    <w:rsid w:val="00151365"/>
    <w:rsid w:val="0015138F"/>
    <w:rsid w:val="001514B6"/>
    <w:rsid w:val="00151503"/>
    <w:rsid w:val="0015168D"/>
    <w:rsid w:val="001516BF"/>
    <w:rsid w:val="00151A54"/>
    <w:rsid w:val="00151AB0"/>
    <w:rsid w:val="00151DD9"/>
    <w:rsid w:val="00151FBB"/>
    <w:rsid w:val="0015204D"/>
    <w:rsid w:val="00152351"/>
    <w:rsid w:val="00152401"/>
    <w:rsid w:val="0015250E"/>
    <w:rsid w:val="001526C1"/>
    <w:rsid w:val="001526FF"/>
    <w:rsid w:val="0015271B"/>
    <w:rsid w:val="00152830"/>
    <w:rsid w:val="0015284D"/>
    <w:rsid w:val="001528F9"/>
    <w:rsid w:val="00152AB1"/>
    <w:rsid w:val="00152D3B"/>
    <w:rsid w:val="00152DE2"/>
    <w:rsid w:val="00152E32"/>
    <w:rsid w:val="0015303D"/>
    <w:rsid w:val="001534C4"/>
    <w:rsid w:val="001534EA"/>
    <w:rsid w:val="001535A0"/>
    <w:rsid w:val="0015388B"/>
    <w:rsid w:val="001539F0"/>
    <w:rsid w:val="00153AE7"/>
    <w:rsid w:val="00153AFF"/>
    <w:rsid w:val="00153BA9"/>
    <w:rsid w:val="00153E29"/>
    <w:rsid w:val="00153FD5"/>
    <w:rsid w:val="00154030"/>
    <w:rsid w:val="00154148"/>
    <w:rsid w:val="001541A3"/>
    <w:rsid w:val="001541A9"/>
    <w:rsid w:val="001542B7"/>
    <w:rsid w:val="001543B5"/>
    <w:rsid w:val="001543CA"/>
    <w:rsid w:val="0015445C"/>
    <w:rsid w:val="0015455D"/>
    <w:rsid w:val="00154991"/>
    <w:rsid w:val="00154B98"/>
    <w:rsid w:val="00154F62"/>
    <w:rsid w:val="00155175"/>
    <w:rsid w:val="001551DA"/>
    <w:rsid w:val="001553B2"/>
    <w:rsid w:val="001554DF"/>
    <w:rsid w:val="0015563D"/>
    <w:rsid w:val="001556B4"/>
    <w:rsid w:val="0015570D"/>
    <w:rsid w:val="00155B1B"/>
    <w:rsid w:val="00155BF7"/>
    <w:rsid w:val="00155D30"/>
    <w:rsid w:val="00155FE0"/>
    <w:rsid w:val="001561AD"/>
    <w:rsid w:val="001561E5"/>
    <w:rsid w:val="001561F8"/>
    <w:rsid w:val="00156337"/>
    <w:rsid w:val="00156397"/>
    <w:rsid w:val="0015639E"/>
    <w:rsid w:val="0015651B"/>
    <w:rsid w:val="001568FD"/>
    <w:rsid w:val="00156911"/>
    <w:rsid w:val="00156B54"/>
    <w:rsid w:val="00156BE4"/>
    <w:rsid w:val="00156D9A"/>
    <w:rsid w:val="00156E80"/>
    <w:rsid w:val="001570CC"/>
    <w:rsid w:val="001570FA"/>
    <w:rsid w:val="001571C2"/>
    <w:rsid w:val="001571F8"/>
    <w:rsid w:val="0015740C"/>
    <w:rsid w:val="00157445"/>
    <w:rsid w:val="00157894"/>
    <w:rsid w:val="0015789A"/>
    <w:rsid w:val="00157A16"/>
    <w:rsid w:val="00157C09"/>
    <w:rsid w:val="00157CFF"/>
    <w:rsid w:val="00157DCF"/>
    <w:rsid w:val="00157EE1"/>
    <w:rsid w:val="00160162"/>
    <w:rsid w:val="001602E2"/>
    <w:rsid w:val="00160406"/>
    <w:rsid w:val="00160503"/>
    <w:rsid w:val="00160591"/>
    <w:rsid w:val="001607B6"/>
    <w:rsid w:val="00160AAC"/>
    <w:rsid w:val="00160BF2"/>
    <w:rsid w:val="00160EB0"/>
    <w:rsid w:val="001610A9"/>
    <w:rsid w:val="001613A8"/>
    <w:rsid w:val="00161436"/>
    <w:rsid w:val="00161C17"/>
    <w:rsid w:val="00161C46"/>
    <w:rsid w:val="00161CFE"/>
    <w:rsid w:val="00161D82"/>
    <w:rsid w:val="00161DB0"/>
    <w:rsid w:val="00161EED"/>
    <w:rsid w:val="0016219F"/>
    <w:rsid w:val="001624FF"/>
    <w:rsid w:val="001628A8"/>
    <w:rsid w:val="001628AF"/>
    <w:rsid w:val="00162C90"/>
    <w:rsid w:val="00162D00"/>
    <w:rsid w:val="00162D6E"/>
    <w:rsid w:val="00162E17"/>
    <w:rsid w:val="00162E33"/>
    <w:rsid w:val="00162E50"/>
    <w:rsid w:val="00162F25"/>
    <w:rsid w:val="00162F85"/>
    <w:rsid w:val="00163207"/>
    <w:rsid w:val="00163216"/>
    <w:rsid w:val="0016336C"/>
    <w:rsid w:val="00163679"/>
    <w:rsid w:val="00163B46"/>
    <w:rsid w:val="00163CDB"/>
    <w:rsid w:val="00163CE4"/>
    <w:rsid w:val="00163D64"/>
    <w:rsid w:val="00163E84"/>
    <w:rsid w:val="00163F9C"/>
    <w:rsid w:val="001641D6"/>
    <w:rsid w:val="001641EF"/>
    <w:rsid w:val="00164206"/>
    <w:rsid w:val="00164370"/>
    <w:rsid w:val="00164421"/>
    <w:rsid w:val="00164570"/>
    <w:rsid w:val="00164614"/>
    <w:rsid w:val="001649B8"/>
    <w:rsid w:val="001649C2"/>
    <w:rsid w:val="00164A4B"/>
    <w:rsid w:val="00164D07"/>
    <w:rsid w:val="00164EE6"/>
    <w:rsid w:val="00164EEC"/>
    <w:rsid w:val="001650F1"/>
    <w:rsid w:val="00165271"/>
    <w:rsid w:val="001653B2"/>
    <w:rsid w:val="0016540C"/>
    <w:rsid w:val="00165456"/>
    <w:rsid w:val="00165595"/>
    <w:rsid w:val="001655C5"/>
    <w:rsid w:val="0016571A"/>
    <w:rsid w:val="0016579E"/>
    <w:rsid w:val="001657A6"/>
    <w:rsid w:val="001657D4"/>
    <w:rsid w:val="00165903"/>
    <w:rsid w:val="001659A8"/>
    <w:rsid w:val="00165D65"/>
    <w:rsid w:val="00165D9F"/>
    <w:rsid w:val="00165E34"/>
    <w:rsid w:val="00165EDE"/>
    <w:rsid w:val="00165F12"/>
    <w:rsid w:val="001667AF"/>
    <w:rsid w:val="00166C74"/>
    <w:rsid w:val="00166DA6"/>
    <w:rsid w:val="00167059"/>
    <w:rsid w:val="001671B6"/>
    <w:rsid w:val="001672A3"/>
    <w:rsid w:val="00167365"/>
    <w:rsid w:val="001673A0"/>
    <w:rsid w:val="0016740F"/>
    <w:rsid w:val="00167751"/>
    <w:rsid w:val="00167880"/>
    <w:rsid w:val="001678CA"/>
    <w:rsid w:val="00167C87"/>
    <w:rsid w:val="00167D35"/>
    <w:rsid w:val="00167F5E"/>
    <w:rsid w:val="0017008A"/>
    <w:rsid w:val="001702A7"/>
    <w:rsid w:val="00170564"/>
    <w:rsid w:val="001705B4"/>
    <w:rsid w:val="001707A7"/>
    <w:rsid w:val="001708F9"/>
    <w:rsid w:val="0017090C"/>
    <w:rsid w:val="00170933"/>
    <w:rsid w:val="00170ABF"/>
    <w:rsid w:val="00170C64"/>
    <w:rsid w:val="00170D0C"/>
    <w:rsid w:val="00170E51"/>
    <w:rsid w:val="00171346"/>
    <w:rsid w:val="00171519"/>
    <w:rsid w:val="00171657"/>
    <w:rsid w:val="00171A02"/>
    <w:rsid w:val="00171A2D"/>
    <w:rsid w:val="00171B24"/>
    <w:rsid w:val="00171CEE"/>
    <w:rsid w:val="00171E57"/>
    <w:rsid w:val="00171FDE"/>
    <w:rsid w:val="0017215B"/>
    <w:rsid w:val="00172298"/>
    <w:rsid w:val="001723A7"/>
    <w:rsid w:val="001725CF"/>
    <w:rsid w:val="00172658"/>
    <w:rsid w:val="0017275C"/>
    <w:rsid w:val="00172C26"/>
    <w:rsid w:val="00172F2E"/>
    <w:rsid w:val="0017302E"/>
    <w:rsid w:val="0017309F"/>
    <w:rsid w:val="00173143"/>
    <w:rsid w:val="001733A8"/>
    <w:rsid w:val="001734F8"/>
    <w:rsid w:val="001735FD"/>
    <w:rsid w:val="00173794"/>
    <w:rsid w:val="0017381D"/>
    <w:rsid w:val="001738EA"/>
    <w:rsid w:val="00173D07"/>
    <w:rsid w:val="00173ED3"/>
    <w:rsid w:val="00174230"/>
    <w:rsid w:val="001742BC"/>
    <w:rsid w:val="001742F6"/>
    <w:rsid w:val="00174544"/>
    <w:rsid w:val="00174599"/>
    <w:rsid w:val="0017475F"/>
    <w:rsid w:val="00174AD9"/>
    <w:rsid w:val="00174B4F"/>
    <w:rsid w:val="00174CCB"/>
    <w:rsid w:val="00174D36"/>
    <w:rsid w:val="00174D3A"/>
    <w:rsid w:val="00174FEC"/>
    <w:rsid w:val="00175105"/>
    <w:rsid w:val="00175110"/>
    <w:rsid w:val="00175486"/>
    <w:rsid w:val="00175525"/>
    <w:rsid w:val="0017553D"/>
    <w:rsid w:val="00175664"/>
    <w:rsid w:val="0017574A"/>
    <w:rsid w:val="0017576C"/>
    <w:rsid w:val="0017579B"/>
    <w:rsid w:val="001757DF"/>
    <w:rsid w:val="0017597E"/>
    <w:rsid w:val="00175E85"/>
    <w:rsid w:val="00176076"/>
    <w:rsid w:val="00176131"/>
    <w:rsid w:val="001761FE"/>
    <w:rsid w:val="0017633E"/>
    <w:rsid w:val="00176489"/>
    <w:rsid w:val="00176854"/>
    <w:rsid w:val="001768F8"/>
    <w:rsid w:val="00176934"/>
    <w:rsid w:val="00176952"/>
    <w:rsid w:val="00176C38"/>
    <w:rsid w:val="00176DFD"/>
    <w:rsid w:val="00176F95"/>
    <w:rsid w:val="00176FBB"/>
    <w:rsid w:val="00176FED"/>
    <w:rsid w:val="00177398"/>
    <w:rsid w:val="001773A3"/>
    <w:rsid w:val="00177435"/>
    <w:rsid w:val="001774C3"/>
    <w:rsid w:val="00177523"/>
    <w:rsid w:val="0017785C"/>
    <w:rsid w:val="001778D4"/>
    <w:rsid w:val="00177982"/>
    <w:rsid w:val="00177A1A"/>
    <w:rsid w:val="00177B0A"/>
    <w:rsid w:val="00177DC7"/>
    <w:rsid w:val="00177FB0"/>
    <w:rsid w:val="001800B8"/>
    <w:rsid w:val="0018017D"/>
    <w:rsid w:val="001801A5"/>
    <w:rsid w:val="00180BD2"/>
    <w:rsid w:val="00181035"/>
    <w:rsid w:val="001812CD"/>
    <w:rsid w:val="00181379"/>
    <w:rsid w:val="00181424"/>
    <w:rsid w:val="00181B67"/>
    <w:rsid w:val="00181DC0"/>
    <w:rsid w:val="00181DDC"/>
    <w:rsid w:val="00181E6B"/>
    <w:rsid w:val="00181EE2"/>
    <w:rsid w:val="001820A0"/>
    <w:rsid w:val="00182188"/>
    <w:rsid w:val="00182268"/>
    <w:rsid w:val="0018288B"/>
    <w:rsid w:val="00182932"/>
    <w:rsid w:val="00182A1F"/>
    <w:rsid w:val="00182B97"/>
    <w:rsid w:val="00182C9F"/>
    <w:rsid w:val="00182EFB"/>
    <w:rsid w:val="0018320C"/>
    <w:rsid w:val="0018331B"/>
    <w:rsid w:val="0018350F"/>
    <w:rsid w:val="001836C1"/>
    <w:rsid w:val="00183899"/>
    <w:rsid w:val="001839F5"/>
    <w:rsid w:val="00183BCB"/>
    <w:rsid w:val="00183C25"/>
    <w:rsid w:val="00183E9B"/>
    <w:rsid w:val="00184140"/>
    <w:rsid w:val="0018420E"/>
    <w:rsid w:val="0018438B"/>
    <w:rsid w:val="001843B5"/>
    <w:rsid w:val="0018442C"/>
    <w:rsid w:val="00184654"/>
    <w:rsid w:val="00184778"/>
    <w:rsid w:val="001849D9"/>
    <w:rsid w:val="00184FAA"/>
    <w:rsid w:val="00185066"/>
    <w:rsid w:val="00185167"/>
    <w:rsid w:val="001851DF"/>
    <w:rsid w:val="00185607"/>
    <w:rsid w:val="0018573B"/>
    <w:rsid w:val="00185A62"/>
    <w:rsid w:val="00185DA9"/>
    <w:rsid w:val="00185F7C"/>
    <w:rsid w:val="001860C8"/>
    <w:rsid w:val="00186194"/>
    <w:rsid w:val="001862BD"/>
    <w:rsid w:val="0018631B"/>
    <w:rsid w:val="00186544"/>
    <w:rsid w:val="00186561"/>
    <w:rsid w:val="0018675F"/>
    <w:rsid w:val="00186870"/>
    <w:rsid w:val="00186DC1"/>
    <w:rsid w:val="00186DF6"/>
    <w:rsid w:val="00186E4E"/>
    <w:rsid w:val="001871A4"/>
    <w:rsid w:val="0018727E"/>
    <w:rsid w:val="0018729A"/>
    <w:rsid w:val="00187310"/>
    <w:rsid w:val="00187A5E"/>
    <w:rsid w:val="00187D6B"/>
    <w:rsid w:val="00187DBC"/>
    <w:rsid w:val="00187FA1"/>
    <w:rsid w:val="00187FEA"/>
    <w:rsid w:val="001901BB"/>
    <w:rsid w:val="001902FC"/>
    <w:rsid w:val="00190374"/>
    <w:rsid w:val="001905C4"/>
    <w:rsid w:val="00190794"/>
    <w:rsid w:val="00190D40"/>
    <w:rsid w:val="00190DD6"/>
    <w:rsid w:val="00190E15"/>
    <w:rsid w:val="00190E77"/>
    <w:rsid w:val="00190EAF"/>
    <w:rsid w:val="0019102A"/>
    <w:rsid w:val="00191089"/>
    <w:rsid w:val="001910D7"/>
    <w:rsid w:val="00191124"/>
    <w:rsid w:val="001912B3"/>
    <w:rsid w:val="00191383"/>
    <w:rsid w:val="00191518"/>
    <w:rsid w:val="001915E6"/>
    <w:rsid w:val="0019164E"/>
    <w:rsid w:val="0019182E"/>
    <w:rsid w:val="001919B5"/>
    <w:rsid w:val="001919FF"/>
    <w:rsid w:val="00191BB1"/>
    <w:rsid w:val="00191D01"/>
    <w:rsid w:val="001920F1"/>
    <w:rsid w:val="0019215B"/>
    <w:rsid w:val="00192306"/>
    <w:rsid w:val="00192841"/>
    <w:rsid w:val="00192ACD"/>
    <w:rsid w:val="00192B1E"/>
    <w:rsid w:val="00192BED"/>
    <w:rsid w:val="00193322"/>
    <w:rsid w:val="00193346"/>
    <w:rsid w:val="001934FF"/>
    <w:rsid w:val="00193AF4"/>
    <w:rsid w:val="00193B32"/>
    <w:rsid w:val="00193B3C"/>
    <w:rsid w:val="00193CB9"/>
    <w:rsid w:val="0019409E"/>
    <w:rsid w:val="00194203"/>
    <w:rsid w:val="0019425D"/>
    <w:rsid w:val="0019438F"/>
    <w:rsid w:val="00194410"/>
    <w:rsid w:val="0019497B"/>
    <w:rsid w:val="00194BCE"/>
    <w:rsid w:val="00194BD7"/>
    <w:rsid w:val="00194CE2"/>
    <w:rsid w:val="00194EC6"/>
    <w:rsid w:val="001950BB"/>
    <w:rsid w:val="001954BB"/>
    <w:rsid w:val="001954D8"/>
    <w:rsid w:val="001956F2"/>
    <w:rsid w:val="001957AB"/>
    <w:rsid w:val="001957EE"/>
    <w:rsid w:val="00195843"/>
    <w:rsid w:val="00195AD0"/>
    <w:rsid w:val="00195B8F"/>
    <w:rsid w:val="00195BE6"/>
    <w:rsid w:val="00195CA3"/>
    <w:rsid w:val="00195CB2"/>
    <w:rsid w:val="00195CFB"/>
    <w:rsid w:val="00195D11"/>
    <w:rsid w:val="00195D25"/>
    <w:rsid w:val="00196132"/>
    <w:rsid w:val="001961A1"/>
    <w:rsid w:val="00196289"/>
    <w:rsid w:val="00196451"/>
    <w:rsid w:val="001964F4"/>
    <w:rsid w:val="0019650D"/>
    <w:rsid w:val="001965A5"/>
    <w:rsid w:val="0019672C"/>
    <w:rsid w:val="00196743"/>
    <w:rsid w:val="00196781"/>
    <w:rsid w:val="0019688E"/>
    <w:rsid w:val="00196A2D"/>
    <w:rsid w:val="00196ACA"/>
    <w:rsid w:val="00196C2B"/>
    <w:rsid w:val="00196C43"/>
    <w:rsid w:val="00196C92"/>
    <w:rsid w:val="00196D72"/>
    <w:rsid w:val="00196EED"/>
    <w:rsid w:val="00197191"/>
    <w:rsid w:val="00197234"/>
    <w:rsid w:val="00197451"/>
    <w:rsid w:val="001975AD"/>
    <w:rsid w:val="00197EB9"/>
    <w:rsid w:val="00197EE5"/>
    <w:rsid w:val="001A036B"/>
    <w:rsid w:val="001A051C"/>
    <w:rsid w:val="001A063C"/>
    <w:rsid w:val="001A0694"/>
    <w:rsid w:val="001A078B"/>
    <w:rsid w:val="001A0889"/>
    <w:rsid w:val="001A0BC2"/>
    <w:rsid w:val="001A0C2E"/>
    <w:rsid w:val="001A0DAF"/>
    <w:rsid w:val="001A0DEF"/>
    <w:rsid w:val="001A0EA8"/>
    <w:rsid w:val="001A105F"/>
    <w:rsid w:val="001A1063"/>
    <w:rsid w:val="001A120B"/>
    <w:rsid w:val="001A1259"/>
    <w:rsid w:val="001A13D2"/>
    <w:rsid w:val="001A14AE"/>
    <w:rsid w:val="001A14DF"/>
    <w:rsid w:val="001A1528"/>
    <w:rsid w:val="001A1883"/>
    <w:rsid w:val="001A193E"/>
    <w:rsid w:val="001A1A09"/>
    <w:rsid w:val="001A1C85"/>
    <w:rsid w:val="001A1CC5"/>
    <w:rsid w:val="001A1CF5"/>
    <w:rsid w:val="001A1EEE"/>
    <w:rsid w:val="001A1FA8"/>
    <w:rsid w:val="001A1FD5"/>
    <w:rsid w:val="001A200A"/>
    <w:rsid w:val="001A22A8"/>
    <w:rsid w:val="001A2347"/>
    <w:rsid w:val="001A23C8"/>
    <w:rsid w:val="001A2758"/>
    <w:rsid w:val="001A29A3"/>
    <w:rsid w:val="001A29CC"/>
    <w:rsid w:val="001A29FC"/>
    <w:rsid w:val="001A2A2C"/>
    <w:rsid w:val="001A2AFE"/>
    <w:rsid w:val="001A2B45"/>
    <w:rsid w:val="001A2C29"/>
    <w:rsid w:val="001A2C91"/>
    <w:rsid w:val="001A2F9B"/>
    <w:rsid w:val="001A305F"/>
    <w:rsid w:val="001A3060"/>
    <w:rsid w:val="001A30C1"/>
    <w:rsid w:val="001A33BE"/>
    <w:rsid w:val="001A347F"/>
    <w:rsid w:val="001A35CB"/>
    <w:rsid w:val="001A385B"/>
    <w:rsid w:val="001A3BC9"/>
    <w:rsid w:val="001A3C5A"/>
    <w:rsid w:val="001A40D4"/>
    <w:rsid w:val="001A415D"/>
    <w:rsid w:val="001A4267"/>
    <w:rsid w:val="001A4295"/>
    <w:rsid w:val="001A44F6"/>
    <w:rsid w:val="001A4948"/>
    <w:rsid w:val="001A49B9"/>
    <w:rsid w:val="001A4DAF"/>
    <w:rsid w:val="001A4DE4"/>
    <w:rsid w:val="001A4F62"/>
    <w:rsid w:val="001A4FBB"/>
    <w:rsid w:val="001A50E1"/>
    <w:rsid w:val="001A534C"/>
    <w:rsid w:val="001A54C4"/>
    <w:rsid w:val="001A582B"/>
    <w:rsid w:val="001A58D4"/>
    <w:rsid w:val="001A5AD3"/>
    <w:rsid w:val="001A5C1E"/>
    <w:rsid w:val="001A5D6D"/>
    <w:rsid w:val="001A5DEA"/>
    <w:rsid w:val="001A5EF6"/>
    <w:rsid w:val="001A5FE2"/>
    <w:rsid w:val="001A6085"/>
    <w:rsid w:val="001A60FB"/>
    <w:rsid w:val="001A616D"/>
    <w:rsid w:val="001A6181"/>
    <w:rsid w:val="001A61A4"/>
    <w:rsid w:val="001A6395"/>
    <w:rsid w:val="001A63A0"/>
    <w:rsid w:val="001A63E1"/>
    <w:rsid w:val="001A64C6"/>
    <w:rsid w:val="001A683B"/>
    <w:rsid w:val="001A68BA"/>
    <w:rsid w:val="001A6C18"/>
    <w:rsid w:val="001A6E95"/>
    <w:rsid w:val="001A6FBE"/>
    <w:rsid w:val="001A7122"/>
    <w:rsid w:val="001A7125"/>
    <w:rsid w:val="001A7231"/>
    <w:rsid w:val="001A7299"/>
    <w:rsid w:val="001A74F0"/>
    <w:rsid w:val="001A7594"/>
    <w:rsid w:val="001A79B0"/>
    <w:rsid w:val="001A7D53"/>
    <w:rsid w:val="001A7D71"/>
    <w:rsid w:val="001B00FE"/>
    <w:rsid w:val="001B0808"/>
    <w:rsid w:val="001B0939"/>
    <w:rsid w:val="001B0A10"/>
    <w:rsid w:val="001B0C36"/>
    <w:rsid w:val="001B1037"/>
    <w:rsid w:val="001B10D3"/>
    <w:rsid w:val="001B1115"/>
    <w:rsid w:val="001B125D"/>
    <w:rsid w:val="001B157D"/>
    <w:rsid w:val="001B184B"/>
    <w:rsid w:val="001B189A"/>
    <w:rsid w:val="001B18E7"/>
    <w:rsid w:val="001B19BC"/>
    <w:rsid w:val="001B1BC0"/>
    <w:rsid w:val="001B1DDA"/>
    <w:rsid w:val="001B1E28"/>
    <w:rsid w:val="001B1FB9"/>
    <w:rsid w:val="001B20D5"/>
    <w:rsid w:val="001B2158"/>
    <w:rsid w:val="001B2281"/>
    <w:rsid w:val="001B22AC"/>
    <w:rsid w:val="001B2331"/>
    <w:rsid w:val="001B259E"/>
    <w:rsid w:val="001B29A6"/>
    <w:rsid w:val="001B2B54"/>
    <w:rsid w:val="001B2EB4"/>
    <w:rsid w:val="001B2FED"/>
    <w:rsid w:val="001B2FF3"/>
    <w:rsid w:val="001B30E9"/>
    <w:rsid w:val="001B30F5"/>
    <w:rsid w:val="001B310D"/>
    <w:rsid w:val="001B3191"/>
    <w:rsid w:val="001B336A"/>
    <w:rsid w:val="001B366A"/>
    <w:rsid w:val="001B367D"/>
    <w:rsid w:val="001B373E"/>
    <w:rsid w:val="001B3838"/>
    <w:rsid w:val="001B3839"/>
    <w:rsid w:val="001B38B4"/>
    <w:rsid w:val="001B3BDA"/>
    <w:rsid w:val="001B3D50"/>
    <w:rsid w:val="001B3D86"/>
    <w:rsid w:val="001B3EB4"/>
    <w:rsid w:val="001B3F77"/>
    <w:rsid w:val="001B40D9"/>
    <w:rsid w:val="001B43CE"/>
    <w:rsid w:val="001B442B"/>
    <w:rsid w:val="001B4597"/>
    <w:rsid w:val="001B46F6"/>
    <w:rsid w:val="001B490D"/>
    <w:rsid w:val="001B4B96"/>
    <w:rsid w:val="001B4CD2"/>
    <w:rsid w:val="001B4DD3"/>
    <w:rsid w:val="001B505A"/>
    <w:rsid w:val="001B506C"/>
    <w:rsid w:val="001B5071"/>
    <w:rsid w:val="001B522C"/>
    <w:rsid w:val="001B5431"/>
    <w:rsid w:val="001B5AAE"/>
    <w:rsid w:val="001B5CA0"/>
    <w:rsid w:val="001B5EC9"/>
    <w:rsid w:val="001B6094"/>
    <w:rsid w:val="001B60B3"/>
    <w:rsid w:val="001B6230"/>
    <w:rsid w:val="001B644E"/>
    <w:rsid w:val="001B64EB"/>
    <w:rsid w:val="001B65D6"/>
    <w:rsid w:val="001B7035"/>
    <w:rsid w:val="001B71D4"/>
    <w:rsid w:val="001B723C"/>
    <w:rsid w:val="001B726D"/>
    <w:rsid w:val="001B7483"/>
    <w:rsid w:val="001B7575"/>
    <w:rsid w:val="001B789A"/>
    <w:rsid w:val="001B78FE"/>
    <w:rsid w:val="001B7BE2"/>
    <w:rsid w:val="001B7C7E"/>
    <w:rsid w:val="001B7C95"/>
    <w:rsid w:val="001B7D02"/>
    <w:rsid w:val="001B7D47"/>
    <w:rsid w:val="001B7F1C"/>
    <w:rsid w:val="001B7FCC"/>
    <w:rsid w:val="001C02BC"/>
    <w:rsid w:val="001C042C"/>
    <w:rsid w:val="001C05EC"/>
    <w:rsid w:val="001C07E5"/>
    <w:rsid w:val="001C0881"/>
    <w:rsid w:val="001C0C46"/>
    <w:rsid w:val="001C0CB2"/>
    <w:rsid w:val="001C0D18"/>
    <w:rsid w:val="001C0D56"/>
    <w:rsid w:val="001C0DC9"/>
    <w:rsid w:val="001C0F3A"/>
    <w:rsid w:val="001C0FBC"/>
    <w:rsid w:val="001C1411"/>
    <w:rsid w:val="001C15CE"/>
    <w:rsid w:val="001C18AD"/>
    <w:rsid w:val="001C192F"/>
    <w:rsid w:val="001C1E09"/>
    <w:rsid w:val="001C1F3E"/>
    <w:rsid w:val="001C22C1"/>
    <w:rsid w:val="001C2327"/>
    <w:rsid w:val="001C2429"/>
    <w:rsid w:val="001C2686"/>
    <w:rsid w:val="001C2814"/>
    <w:rsid w:val="001C29BC"/>
    <w:rsid w:val="001C2D09"/>
    <w:rsid w:val="001C2DD2"/>
    <w:rsid w:val="001C2E1B"/>
    <w:rsid w:val="001C2E4C"/>
    <w:rsid w:val="001C3007"/>
    <w:rsid w:val="001C30DD"/>
    <w:rsid w:val="001C347E"/>
    <w:rsid w:val="001C34DB"/>
    <w:rsid w:val="001C36C6"/>
    <w:rsid w:val="001C3741"/>
    <w:rsid w:val="001C381D"/>
    <w:rsid w:val="001C3A13"/>
    <w:rsid w:val="001C3B4C"/>
    <w:rsid w:val="001C3C63"/>
    <w:rsid w:val="001C3FF9"/>
    <w:rsid w:val="001C423B"/>
    <w:rsid w:val="001C43C9"/>
    <w:rsid w:val="001C43E4"/>
    <w:rsid w:val="001C46C1"/>
    <w:rsid w:val="001C46ED"/>
    <w:rsid w:val="001C48C2"/>
    <w:rsid w:val="001C495A"/>
    <w:rsid w:val="001C4C8A"/>
    <w:rsid w:val="001C4CD9"/>
    <w:rsid w:val="001C4D19"/>
    <w:rsid w:val="001C4F26"/>
    <w:rsid w:val="001C4F2C"/>
    <w:rsid w:val="001C4FC4"/>
    <w:rsid w:val="001C517E"/>
    <w:rsid w:val="001C5487"/>
    <w:rsid w:val="001C553D"/>
    <w:rsid w:val="001C5547"/>
    <w:rsid w:val="001C558E"/>
    <w:rsid w:val="001C584E"/>
    <w:rsid w:val="001C597C"/>
    <w:rsid w:val="001C5D01"/>
    <w:rsid w:val="001C5DFC"/>
    <w:rsid w:val="001C6004"/>
    <w:rsid w:val="001C6242"/>
    <w:rsid w:val="001C62BE"/>
    <w:rsid w:val="001C6454"/>
    <w:rsid w:val="001C6A2B"/>
    <w:rsid w:val="001C6BA8"/>
    <w:rsid w:val="001C6ED6"/>
    <w:rsid w:val="001C6FA1"/>
    <w:rsid w:val="001C6FD9"/>
    <w:rsid w:val="001C70DF"/>
    <w:rsid w:val="001C7239"/>
    <w:rsid w:val="001C730F"/>
    <w:rsid w:val="001C73A5"/>
    <w:rsid w:val="001C7808"/>
    <w:rsid w:val="001C7B54"/>
    <w:rsid w:val="001C7D22"/>
    <w:rsid w:val="001C7D2D"/>
    <w:rsid w:val="001C7EAA"/>
    <w:rsid w:val="001D00FB"/>
    <w:rsid w:val="001D0787"/>
    <w:rsid w:val="001D086D"/>
    <w:rsid w:val="001D08A4"/>
    <w:rsid w:val="001D0959"/>
    <w:rsid w:val="001D0E1E"/>
    <w:rsid w:val="001D0EC1"/>
    <w:rsid w:val="001D0EE2"/>
    <w:rsid w:val="001D10DA"/>
    <w:rsid w:val="001D121E"/>
    <w:rsid w:val="001D12A0"/>
    <w:rsid w:val="001D1542"/>
    <w:rsid w:val="001D1881"/>
    <w:rsid w:val="001D1999"/>
    <w:rsid w:val="001D1C2E"/>
    <w:rsid w:val="001D2078"/>
    <w:rsid w:val="001D218B"/>
    <w:rsid w:val="001D26F3"/>
    <w:rsid w:val="001D2978"/>
    <w:rsid w:val="001D2A4F"/>
    <w:rsid w:val="001D2AA5"/>
    <w:rsid w:val="001D2C01"/>
    <w:rsid w:val="001D2D24"/>
    <w:rsid w:val="001D2E7E"/>
    <w:rsid w:val="001D2F31"/>
    <w:rsid w:val="001D2F37"/>
    <w:rsid w:val="001D3377"/>
    <w:rsid w:val="001D36E8"/>
    <w:rsid w:val="001D3952"/>
    <w:rsid w:val="001D3AAD"/>
    <w:rsid w:val="001D3AC5"/>
    <w:rsid w:val="001D3C99"/>
    <w:rsid w:val="001D3D95"/>
    <w:rsid w:val="001D3EA3"/>
    <w:rsid w:val="001D40F5"/>
    <w:rsid w:val="001D44CA"/>
    <w:rsid w:val="001D44F4"/>
    <w:rsid w:val="001D49DA"/>
    <w:rsid w:val="001D4A9A"/>
    <w:rsid w:val="001D4C3B"/>
    <w:rsid w:val="001D5157"/>
    <w:rsid w:val="001D5405"/>
    <w:rsid w:val="001D542F"/>
    <w:rsid w:val="001D54A9"/>
    <w:rsid w:val="001D58B8"/>
    <w:rsid w:val="001D5BB1"/>
    <w:rsid w:val="001D5E09"/>
    <w:rsid w:val="001D5F92"/>
    <w:rsid w:val="001D6045"/>
    <w:rsid w:val="001D60A2"/>
    <w:rsid w:val="001D6824"/>
    <w:rsid w:val="001D6CEE"/>
    <w:rsid w:val="001D6D2E"/>
    <w:rsid w:val="001D6DEB"/>
    <w:rsid w:val="001D6EB9"/>
    <w:rsid w:val="001D70FF"/>
    <w:rsid w:val="001D7164"/>
    <w:rsid w:val="001D7247"/>
    <w:rsid w:val="001D7387"/>
    <w:rsid w:val="001D7437"/>
    <w:rsid w:val="001D78E1"/>
    <w:rsid w:val="001D79E9"/>
    <w:rsid w:val="001D7A60"/>
    <w:rsid w:val="001D7C12"/>
    <w:rsid w:val="001D7EB4"/>
    <w:rsid w:val="001E0078"/>
    <w:rsid w:val="001E012C"/>
    <w:rsid w:val="001E03CE"/>
    <w:rsid w:val="001E044D"/>
    <w:rsid w:val="001E05F0"/>
    <w:rsid w:val="001E07BA"/>
    <w:rsid w:val="001E082D"/>
    <w:rsid w:val="001E0918"/>
    <w:rsid w:val="001E0958"/>
    <w:rsid w:val="001E098B"/>
    <w:rsid w:val="001E09A6"/>
    <w:rsid w:val="001E09C4"/>
    <w:rsid w:val="001E0B89"/>
    <w:rsid w:val="001E0C4D"/>
    <w:rsid w:val="001E0DEC"/>
    <w:rsid w:val="001E102A"/>
    <w:rsid w:val="001E1225"/>
    <w:rsid w:val="001E137B"/>
    <w:rsid w:val="001E1452"/>
    <w:rsid w:val="001E178A"/>
    <w:rsid w:val="001E191F"/>
    <w:rsid w:val="001E1BA6"/>
    <w:rsid w:val="001E1C4A"/>
    <w:rsid w:val="001E1F22"/>
    <w:rsid w:val="001E1F3A"/>
    <w:rsid w:val="001E20E9"/>
    <w:rsid w:val="001E255C"/>
    <w:rsid w:val="001E259A"/>
    <w:rsid w:val="001E26B6"/>
    <w:rsid w:val="001E29B6"/>
    <w:rsid w:val="001E2CEC"/>
    <w:rsid w:val="001E2FB5"/>
    <w:rsid w:val="001E34AE"/>
    <w:rsid w:val="001E359E"/>
    <w:rsid w:val="001E369C"/>
    <w:rsid w:val="001E36A3"/>
    <w:rsid w:val="001E3882"/>
    <w:rsid w:val="001E3B13"/>
    <w:rsid w:val="001E3BE8"/>
    <w:rsid w:val="001E3DDB"/>
    <w:rsid w:val="001E3F90"/>
    <w:rsid w:val="001E4121"/>
    <w:rsid w:val="001E41FE"/>
    <w:rsid w:val="001E42C5"/>
    <w:rsid w:val="001E43D2"/>
    <w:rsid w:val="001E43E4"/>
    <w:rsid w:val="001E4423"/>
    <w:rsid w:val="001E44C8"/>
    <w:rsid w:val="001E4685"/>
    <w:rsid w:val="001E4B6A"/>
    <w:rsid w:val="001E4C10"/>
    <w:rsid w:val="001E4D6A"/>
    <w:rsid w:val="001E4D74"/>
    <w:rsid w:val="001E54E2"/>
    <w:rsid w:val="001E565E"/>
    <w:rsid w:val="001E57A8"/>
    <w:rsid w:val="001E57CA"/>
    <w:rsid w:val="001E5816"/>
    <w:rsid w:val="001E58C4"/>
    <w:rsid w:val="001E597C"/>
    <w:rsid w:val="001E5CF2"/>
    <w:rsid w:val="001E5E3D"/>
    <w:rsid w:val="001E5F0E"/>
    <w:rsid w:val="001E5F39"/>
    <w:rsid w:val="001E5F7F"/>
    <w:rsid w:val="001E6049"/>
    <w:rsid w:val="001E6198"/>
    <w:rsid w:val="001E6481"/>
    <w:rsid w:val="001E6B26"/>
    <w:rsid w:val="001E6B27"/>
    <w:rsid w:val="001E6B62"/>
    <w:rsid w:val="001E6BB5"/>
    <w:rsid w:val="001E6C96"/>
    <w:rsid w:val="001E6CB0"/>
    <w:rsid w:val="001E6F2A"/>
    <w:rsid w:val="001E6F3E"/>
    <w:rsid w:val="001E7114"/>
    <w:rsid w:val="001E72ED"/>
    <w:rsid w:val="001E72F0"/>
    <w:rsid w:val="001E73A1"/>
    <w:rsid w:val="001E76AB"/>
    <w:rsid w:val="001E7B4D"/>
    <w:rsid w:val="001E7C85"/>
    <w:rsid w:val="001E7CFB"/>
    <w:rsid w:val="001E7E1F"/>
    <w:rsid w:val="001E7E46"/>
    <w:rsid w:val="001E7EF7"/>
    <w:rsid w:val="001E7F4D"/>
    <w:rsid w:val="001F0094"/>
    <w:rsid w:val="001F009B"/>
    <w:rsid w:val="001F00B3"/>
    <w:rsid w:val="001F0211"/>
    <w:rsid w:val="001F0566"/>
    <w:rsid w:val="001F05F3"/>
    <w:rsid w:val="001F087B"/>
    <w:rsid w:val="001F0902"/>
    <w:rsid w:val="001F0BA2"/>
    <w:rsid w:val="001F0C02"/>
    <w:rsid w:val="001F0DA3"/>
    <w:rsid w:val="001F0DAF"/>
    <w:rsid w:val="001F12BE"/>
    <w:rsid w:val="001F1333"/>
    <w:rsid w:val="001F13D5"/>
    <w:rsid w:val="001F13FE"/>
    <w:rsid w:val="001F168A"/>
    <w:rsid w:val="001F17E3"/>
    <w:rsid w:val="001F18F8"/>
    <w:rsid w:val="001F1902"/>
    <w:rsid w:val="001F1A18"/>
    <w:rsid w:val="001F1A8F"/>
    <w:rsid w:val="001F1D4F"/>
    <w:rsid w:val="001F1EEE"/>
    <w:rsid w:val="001F1F33"/>
    <w:rsid w:val="001F213C"/>
    <w:rsid w:val="001F228A"/>
    <w:rsid w:val="001F2369"/>
    <w:rsid w:val="001F2468"/>
    <w:rsid w:val="001F24DC"/>
    <w:rsid w:val="001F267A"/>
    <w:rsid w:val="001F2A55"/>
    <w:rsid w:val="001F2C3B"/>
    <w:rsid w:val="001F2C92"/>
    <w:rsid w:val="001F2DC3"/>
    <w:rsid w:val="001F2F58"/>
    <w:rsid w:val="001F2FD4"/>
    <w:rsid w:val="001F2FF4"/>
    <w:rsid w:val="001F31C4"/>
    <w:rsid w:val="001F31DD"/>
    <w:rsid w:val="001F33F1"/>
    <w:rsid w:val="001F354E"/>
    <w:rsid w:val="001F36D6"/>
    <w:rsid w:val="001F37D2"/>
    <w:rsid w:val="001F39E7"/>
    <w:rsid w:val="001F3A78"/>
    <w:rsid w:val="001F3B55"/>
    <w:rsid w:val="001F3B64"/>
    <w:rsid w:val="001F3C0E"/>
    <w:rsid w:val="001F3EAA"/>
    <w:rsid w:val="001F3FF5"/>
    <w:rsid w:val="001F4082"/>
    <w:rsid w:val="001F40BF"/>
    <w:rsid w:val="001F4101"/>
    <w:rsid w:val="001F4191"/>
    <w:rsid w:val="001F4236"/>
    <w:rsid w:val="001F42C0"/>
    <w:rsid w:val="001F42CF"/>
    <w:rsid w:val="001F4895"/>
    <w:rsid w:val="001F4A0D"/>
    <w:rsid w:val="001F4B1B"/>
    <w:rsid w:val="001F4B9E"/>
    <w:rsid w:val="001F4BF3"/>
    <w:rsid w:val="001F4F6C"/>
    <w:rsid w:val="001F4F92"/>
    <w:rsid w:val="001F51FA"/>
    <w:rsid w:val="001F525A"/>
    <w:rsid w:val="001F59A0"/>
    <w:rsid w:val="001F59D3"/>
    <w:rsid w:val="001F5ACC"/>
    <w:rsid w:val="001F5C05"/>
    <w:rsid w:val="001F5C0E"/>
    <w:rsid w:val="001F6027"/>
    <w:rsid w:val="001F6167"/>
    <w:rsid w:val="001F62AC"/>
    <w:rsid w:val="001F6471"/>
    <w:rsid w:val="001F649E"/>
    <w:rsid w:val="001F66F1"/>
    <w:rsid w:val="001F6A10"/>
    <w:rsid w:val="001F6FA4"/>
    <w:rsid w:val="001F70C1"/>
    <w:rsid w:val="001F71DC"/>
    <w:rsid w:val="001F727A"/>
    <w:rsid w:val="001F73D2"/>
    <w:rsid w:val="001F7727"/>
    <w:rsid w:val="001F77F5"/>
    <w:rsid w:val="001F791B"/>
    <w:rsid w:val="001F7A0A"/>
    <w:rsid w:val="001F7C36"/>
    <w:rsid w:val="001F7C74"/>
    <w:rsid w:val="001F7CDF"/>
    <w:rsid w:val="001F7D35"/>
    <w:rsid w:val="001F7DDD"/>
    <w:rsid w:val="001F7F36"/>
    <w:rsid w:val="00200079"/>
    <w:rsid w:val="0020016B"/>
    <w:rsid w:val="002005BC"/>
    <w:rsid w:val="002008D8"/>
    <w:rsid w:val="002009A9"/>
    <w:rsid w:val="002009F7"/>
    <w:rsid w:val="00200A0C"/>
    <w:rsid w:val="00200A1D"/>
    <w:rsid w:val="00200A5D"/>
    <w:rsid w:val="00200A93"/>
    <w:rsid w:val="00200DCA"/>
    <w:rsid w:val="00200DD9"/>
    <w:rsid w:val="0020100F"/>
    <w:rsid w:val="0020129E"/>
    <w:rsid w:val="00201325"/>
    <w:rsid w:val="002015FE"/>
    <w:rsid w:val="00201675"/>
    <w:rsid w:val="002018E4"/>
    <w:rsid w:val="0020193B"/>
    <w:rsid w:val="00201984"/>
    <w:rsid w:val="00201A56"/>
    <w:rsid w:val="00202314"/>
    <w:rsid w:val="00202411"/>
    <w:rsid w:val="0020268D"/>
    <w:rsid w:val="00202768"/>
    <w:rsid w:val="0020277D"/>
    <w:rsid w:val="002027AA"/>
    <w:rsid w:val="00202840"/>
    <w:rsid w:val="00202842"/>
    <w:rsid w:val="00202887"/>
    <w:rsid w:val="002029F0"/>
    <w:rsid w:val="00202B22"/>
    <w:rsid w:val="00202B9D"/>
    <w:rsid w:val="00202E77"/>
    <w:rsid w:val="00202F99"/>
    <w:rsid w:val="00202FF2"/>
    <w:rsid w:val="002031F1"/>
    <w:rsid w:val="0020325F"/>
    <w:rsid w:val="00203382"/>
    <w:rsid w:val="0020338F"/>
    <w:rsid w:val="002037DD"/>
    <w:rsid w:val="002038F1"/>
    <w:rsid w:val="00203AB0"/>
    <w:rsid w:val="00203B7B"/>
    <w:rsid w:val="00203D64"/>
    <w:rsid w:val="00203D9E"/>
    <w:rsid w:val="00204280"/>
    <w:rsid w:val="002042A1"/>
    <w:rsid w:val="002047D5"/>
    <w:rsid w:val="00204A56"/>
    <w:rsid w:val="00204B50"/>
    <w:rsid w:val="00204BAE"/>
    <w:rsid w:val="00204C1F"/>
    <w:rsid w:val="00204CBB"/>
    <w:rsid w:val="00204EAA"/>
    <w:rsid w:val="002054F6"/>
    <w:rsid w:val="00205531"/>
    <w:rsid w:val="002059B9"/>
    <w:rsid w:val="00205AA3"/>
    <w:rsid w:val="00205AB8"/>
    <w:rsid w:val="00205C14"/>
    <w:rsid w:val="00205C1D"/>
    <w:rsid w:val="00205CCE"/>
    <w:rsid w:val="00205DA6"/>
    <w:rsid w:val="0020600D"/>
    <w:rsid w:val="00206079"/>
    <w:rsid w:val="00206249"/>
    <w:rsid w:val="0020636A"/>
    <w:rsid w:val="00206525"/>
    <w:rsid w:val="002066DD"/>
    <w:rsid w:val="00206782"/>
    <w:rsid w:val="00206994"/>
    <w:rsid w:val="00206998"/>
    <w:rsid w:val="00206BA2"/>
    <w:rsid w:val="00206D34"/>
    <w:rsid w:val="00206DAD"/>
    <w:rsid w:val="00206FE3"/>
    <w:rsid w:val="00207046"/>
    <w:rsid w:val="002070AC"/>
    <w:rsid w:val="00207213"/>
    <w:rsid w:val="0020728E"/>
    <w:rsid w:val="002072D1"/>
    <w:rsid w:val="00207742"/>
    <w:rsid w:val="0020792B"/>
    <w:rsid w:val="00207956"/>
    <w:rsid w:val="00207982"/>
    <w:rsid w:val="00207C1B"/>
    <w:rsid w:val="00207D82"/>
    <w:rsid w:val="00207DE7"/>
    <w:rsid w:val="00207E54"/>
    <w:rsid w:val="00210174"/>
    <w:rsid w:val="0021017D"/>
    <w:rsid w:val="00210224"/>
    <w:rsid w:val="00210243"/>
    <w:rsid w:val="00210310"/>
    <w:rsid w:val="0021032B"/>
    <w:rsid w:val="00210431"/>
    <w:rsid w:val="0021059F"/>
    <w:rsid w:val="0021064A"/>
    <w:rsid w:val="00210883"/>
    <w:rsid w:val="0021091D"/>
    <w:rsid w:val="00210A36"/>
    <w:rsid w:val="00210C1F"/>
    <w:rsid w:val="00210CF6"/>
    <w:rsid w:val="00211218"/>
    <w:rsid w:val="0021125B"/>
    <w:rsid w:val="00211295"/>
    <w:rsid w:val="002113C7"/>
    <w:rsid w:val="002116E4"/>
    <w:rsid w:val="002118EE"/>
    <w:rsid w:val="0021191B"/>
    <w:rsid w:val="002119A0"/>
    <w:rsid w:val="002119F7"/>
    <w:rsid w:val="00211A56"/>
    <w:rsid w:val="00211A90"/>
    <w:rsid w:val="00211C28"/>
    <w:rsid w:val="00211CBE"/>
    <w:rsid w:val="00211D29"/>
    <w:rsid w:val="00211E0A"/>
    <w:rsid w:val="00211E93"/>
    <w:rsid w:val="00211F18"/>
    <w:rsid w:val="00211FB0"/>
    <w:rsid w:val="00212178"/>
    <w:rsid w:val="002121CF"/>
    <w:rsid w:val="0021222C"/>
    <w:rsid w:val="0021238B"/>
    <w:rsid w:val="00212426"/>
    <w:rsid w:val="002124CF"/>
    <w:rsid w:val="002125B7"/>
    <w:rsid w:val="00212819"/>
    <w:rsid w:val="00212EF6"/>
    <w:rsid w:val="00212F11"/>
    <w:rsid w:val="00212F83"/>
    <w:rsid w:val="00213039"/>
    <w:rsid w:val="002130A4"/>
    <w:rsid w:val="00213313"/>
    <w:rsid w:val="002135B2"/>
    <w:rsid w:val="0021374C"/>
    <w:rsid w:val="002137FA"/>
    <w:rsid w:val="00213AE2"/>
    <w:rsid w:val="00213B65"/>
    <w:rsid w:val="00213BAF"/>
    <w:rsid w:val="00213F0D"/>
    <w:rsid w:val="00214513"/>
    <w:rsid w:val="002145AE"/>
    <w:rsid w:val="002145CA"/>
    <w:rsid w:val="002145E3"/>
    <w:rsid w:val="0021462D"/>
    <w:rsid w:val="0021469A"/>
    <w:rsid w:val="002146CC"/>
    <w:rsid w:val="002147B0"/>
    <w:rsid w:val="0021480B"/>
    <w:rsid w:val="00214B10"/>
    <w:rsid w:val="00214EC6"/>
    <w:rsid w:val="00214ECB"/>
    <w:rsid w:val="00215100"/>
    <w:rsid w:val="0021510E"/>
    <w:rsid w:val="0021518B"/>
    <w:rsid w:val="00215351"/>
    <w:rsid w:val="00215416"/>
    <w:rsid w:val="00215466"/>
    <w:rsid w:val="00215619"/>
    <w:rsid w:val="002158E4"/>
    <w:rsid w:val="00215D2F"/>
    <w:rsid w:val="00215DBF"/>
    <w:rsid w:val="00215E09"/>
    <w:rsid w:val="00216042"/>
    <w:rsid w:val="002162EC"/>
    <w:rsid w:val="002164A4"/>
    <w:rsid w:val="002164E0"/>
    <w:rsid w:val="0021683B"/>
    <w:rsid w:val="0021691D"/>
    <w:rsid w:val="00216AF5"/>
    <w:rsid w:val="00216B4D"/>
    <w:rsid w:val="00216B67"/>
    <w:rsid w:val="00216DFA"/>
    <w:rsid w:val="002172DA"/>
    <w:rsid w:val="0021732E"/>
    <w:rsid w:val="002173C3"/>
    <w:rsid w:val="002174A3"/>
    <w:rsid w:val="002174FE"/>
    <w:rsid w:val="00217522"/>
    <w:rsid w:val="00217585"/>
    <w:rsid w:val="00217C6C"/>
    <w:rsid w:val="00217DA2"/>
    <w:rsid w:val="0022018E"/>
    <w:rsid w:val="002202F9"/>
    <w:rsid w:val="00220356"/>
    <w:rsid w:val="00220404"/>
    <w:rsid w:val="00220898"/>
    <w:rsid w:val="002209CC"/>
    <w:rsid w:val="00220A64"/>
    <w:rsid w:val="00220FCF"/>
    <w:rsid w:val="002210DB"/>
    <w:rsid w:val="0022116B"/>
    <w:rsid w:val="0022128E"/>
    <w:rsid w:val="00221369"/>
    <w:rsid w:val="002214B5"/>
    <w:rsid w:val="002214D3"/>
    <w:rsid w:val="0022156F"/>
    <w:rsid w:val="0022177C"/>
    <w:rsid w:val="0022199B"/>
    <w:rsid w:val="00221A2D"/>
    <w:rsid w:val="00221A98"/>
    <w:rsid w:val="00221AE5"/>
    <w:rsid w:val="00221B9F"/>
    <w:rsid w:val="0022216B"/>
    <w:rsid w:val="0022216C"/>
    <w:rsid w:val="0022218A"/>
    <w:rsid w:val="00222270"/>
    <w:rsid w:val="0022247E"/>
    <w:rsid w:val="00222604"/>
    <w:rsid w:val="00222722"/>
    <w:rsid w:val="0022293A"/>
    <w:rsid w:val="00222982"/>
    <w:rsid w:val="00222BB7"/>
    <w:rsid w:val="00222CD1"/>
    <w:rsid w:val="00222E5B"/>
    <w:rsid w:val="00222F20"/>
    <w:rsid w:val="00222FF5"/>
    <w:rsid w:val="00223162"/>
    <w:rsid w:val="002231F0"/>
    <w:rsid w:val="0022320F"/>
    <w:rsid w:val="00223520"/>
    <w:rsid w:val="002238BA"/>
    <w:rsid w:val="00223B1F"/>
    <w:rsid w:val="00223B36"/>
    <w:rsid w:val="00223D00"/>
    <w:rsid w:val="00223E14"/>
    <w:rsid w:val="00223EFC"/>
    <w:rsid w:val="002241EA"/>
    <w:rsid w:val="0022470B"/>
    <w:rsid w:val="00224768"/>
    <w:rsid w:val="00224776"/>
    <w:rsid w:val="002248B4"/>
    <w:rsid w:val="00224A07"/>
    <w:rsid w:val="00224B22"/>
    <w:rsid w:val="00224FA1"/>
    <w:rsid w:val="0022501B"/>
    <w:rsid w:val="00225111"/>
    <w:rsid w:val="00225292"/>
    <w:rsid w:val="0022543B"/>
    <w:rsid w:val="00225675"/>
    <w:rsid w:val="00225687"/>
    <w:rsid w:val="0022580B"/>
    <w:rsid w:val="00225885"/>
    <w:rsid w:val="00225A64"/>
    <w:rsid w:val="00225A71"/>
    <w:rsid w:val="00225D64"/>
    <w:rsid w:val="00225E95"/>
    <w:rsid w:val="00225EE4"/>
    <w:rsid w:val="0022617A"/>
    <w:rsid w:val="0022634E"/>
    <w:rsid w:val="002264B4"/>
    <w:rsid w:val="00226581"/>
    <w:rsid w:val="00226771"/>
    <w:rsid w:val="00226812"/>
    <w:rsid w:val="00226834"/>
    <w:rsid w:val="00226AFC"/>
    <w:rsid w:val="00226C3A"/>
    <w:rsid w:val="00226DA8"/>
    <w:rsid w:val="00226F72"/>
    <w:rsid w:val="00227138"/>
    <w:rsid w:val="0022713D"/>
    <w:rsid w:val="00227186"/>
    <w:rsid w:val="002271F8"/>
    <w:rsid w:val="002272DE"/>
    <w:rsid w:val="0022745E"/>
    <w:rsid w:val="002275A3"/>
    <w:rsid w:val="002275B3"/>
    <w:rsid w:val="002275BD"/>
    <w:rsid w:val="00227793"/>
    <w:rsid w:val="00227803"/>
    <w:rsid w:val="00227B41"/>
    <w:rsid w:val="00227CA1"/>
    <w:rsid w:val="00227CA8"/>
    <w:rsid w:val="00227CC7"/>
    <w:rsid w:val="00227E03"/>
    <w:rsid w:val="00227E55"/>
    <w:rsid w:val="00227F5A"/>
    <w:rsid w:val="0023008F"/>
    <w:rsid w:val="00230090"/>
    <w:rsid w:val="00230237"/>
    <w:rsid w:val="00230279"/>
    <w:rsid w:val="002303E7"/>
    <w:rsid w:val="002303EB"/>
    <w:rsid w:val="0023091A"/>
    <w:rsid w:val="002309E2"/>
    <w:rsid w:val="00230E71"/>
    <w:rsid w:val="00230EFD"/>
    <w:rsid w:val="002315AC"/>
    <w:rsid w:val="00231ADD"/>
    <w:rsid w:val="00231CA4"/>
    <w:rsid w:val="00231D5F"/>
    <w:rsid w:val="00231E68"/>
    <w:rsid w:val="00231EDF"/>
    <w:rsid w:val="0023208C"/>
    <w:rsid w:val="00232092"/>
    <w:rsid w:val="002321FF"/>
    <w:rsid w:val="00232265"/>
    <w:rsid w:val="00232354"/>
    <w:rsid w:val="0023256D"/>
    <w:rsid w:val="00232586"/>
    <w:rsid w:val="0023280A"/>
    <w:rsid w:val="002329E7"/>
    <w:rsid w:val="00232A00"/>
    <w:rsid w:val="00232A05"/>
    <w:rsid w:val="00232D25"/>
    <w:rsid w:val="00232DCE"/>
    <w:rsid w:val="00232DF5"/>
    <w:rsid w:val="00232E5C"/>
    <w:rsid w:val="002331B2"/>
    <w:rsid w:val="0023321B"/>
    <w:rsid w:val="00233278"/>
    <w:rsid w:val="002334CE"/>
    <w:rsid w:val="002334D3"/>
    <w:rsid w:val="00233646"/>
    <w:rsid w:val="002337AD"/>
    <w:rsid w:val="00233855"/>
    <w:rsid w:val="002339C3"/>
    <w:rsid w:val="00233A01"/>
    <w:rsid w:val="00233A75"/>
    <w:rsid w:val="00233AA0"/>
    <w:rsid w:val="00233D01"/>
    <w:rsid w:val="00233D0B"/>
    <w:rsid w:val="00233D60"/>
    <w:rsid w:val="00233D74"/>
    <w:rsid w:val="00233D84"/>
    <w:rsid w:val="00233D87"/>
    <w:rsid w:val="00233E19"/>
    <w:rsid w:val="00233E9C"/>
    <w:rsid w:val="00233F0D"/>
    <w:rsid w:val="00233F18"/>
    <w:rsid w:val="00233FCD"/>
    <w:rsid w:val="0023427C"/>
    <w:rsid w:val="00234290"/>
    <w:rsid w:val="00234310"/>
    <w:rsid w:val="0023446F"/>
    <w:rsid w:val="0023457C"/>
    <w:rsid w:val="0023467C"/>
    <w:rsid w:val="002346A1"/>
    <w:rsid w:val="00234710"/>
    <w:rsid w:val="002349E5"/>
    <w:rsid w:val="00234A29"/>
    <w:rsid w:val="00234F92"/>
    <w:rsid w:val="00235081"/>
    <w:rsid w:val="00235208"/>
    <w:rsid w:val="00235225"/>
    <w:rsid w:val="0023527D"/>
    <w:rsid w:val="00235459"/>
    <w:rsid w:val="002355FC"/>
    <w:rsid w:val="002357F0"/>
    <w:rsid w:val="002359F1"/>
    <w:rsid w:val="00235BC1"/>
    <w:rsid w:val="00235CC4"/>
    <w:rsid w:val="00235FC2"/>
    <w:rsid w:val="00236094"/>
    <w:rsid w:val="002360B1"/>
    <w:rsid w:val="002361C9"/>
    <w:rsid w:val="0023621E"/>
    <w:rsid w:val="00236319"/>
    <w:rsid w:val="00236436"/>
    <w:rsid w:val="0023679C"/>
    <w:rsid w:val="002367F0"/>
    <w:rsid w:val="00236D92"/>
    <w:rsid w:val="00236FC3"/>
    <w:rsid w:val="0023765F"/>
    <w:rsid w:val="002378EF"/>
    <w:rsid w:val="00237B6D"/>
    <w:rsid w:val="00237BC2"/>
    <w:rsid w:val="00237E14"/>
    <w:rsid w:val="00237F28"/>
    <w:rsid w:val="00237FF2"/>
    <w:rsid w:val="00240112"/>
    <w:rsid w:val="00240137"/>
    <w:rsid w:val="00240218"/>
    <w:rsid w:val="002403A4"/>
    <w:rsid w:val="00240593"/>
    <w:rsid w:val="0024096B"/>
    <w:rsid w:val="002409DC"/>
    <w:rsid w:val="00240AA0"/>
    <w:rsid w:val="00240AA5"/>
    <w:rsid w:val="00240AD4"/>
    <w:rsid w:val="00240B39"/>
    <w:rsid w:val="00240ED7"/>
    <w:rsid w:val="00240F4A"/>
    <w:rsid w:val="00240F58"/>
    <w:rsid w:val="00240F84"/>
    <w:rsid w:val="0024110B"/>
    <w:rsid w:val="00241274"/>
    <w:rsid w:val="002415EA"/>
    <w:rsid w:val="002417ED"/>
    <w:rsid w:val="002419E4"/>
    <w:rsid w:val="00241B36"/>
    <w:rsid w:val="00241B91"/>
    <w:rsid w:val="00241BCD"/>
    <w:rsid w:val="00241C3F"/>
    <w:rsid w:val="002423C2"/>
    <w:rsid w:val="00242584"/>
    <w:rsid w:val="00242616"/>
    <w:rsid w:val="0024262E"/>
    <w:rsid w:val="002426AE"/>
    <w:rsid w:val="0024287A"/>
    <w:rsid w:val="002429F7"/>
    <w:rsid w:val="00242A84"/>
    <w:rsid w:val="00242AE4"/>
    <w:rsid w:val="00242B38"/>
    <w:rsid w:val="00242D48"/>
    <w:rsid w:val="00242F97"/>
    <w:rsid w:val="00243218"/>
    <w:rsid w:val="00243278"/>
    <w:rsid w:val="002432B7"/>
    <w:rsid w:val="0024339A"/>
    <w:rsid w:val="0024392D"/>
    <w:rsid w:val="00243DDD"/>
    <w:rsid w:val="00244127"/>
    <w:rsid w:val="00244287"/>
    <w:rsid w:val="002442BA"/>
    <w:rsid w:val="00244550"/>
    <w:rsid w:val="00244771"/>
    <w:rsid w:val="00244772"/>
    <w:rsid w:val="00244B35"/>
    <w:rsid w:val="00244BB5"/>
    <w:rsid w:val="00244BD5"/>
    <w:rsid w:val="00244CA2"/>
    <w:rsid w:val="00244D2D"/>
    <w:rsid w:val="0024512F"/>
    <w:rsid w:val="00245199"/>
    <w:rsid w:val="00245252"/>
    <w:rsid w:val="0024541C"/>
    <w:rsid w:val="00245434"/>
    <w:rsid w:val="00245457"/>
    <w:rsid w:val="00245497"/>
    <w:rsid w:val="002456C6"/>
    <w:rsid w:val="00245738"/>
    <w:rsid w:val="00245978"/>
    <w:rsid w:val="00245A38"/>
    <w:rsid w:val="00245BD1"/>
    <w:rsid w:val="00245BD8"/>
    <w:rsid w:val="00245BD9"/>
    <w:rsid w:val="00245D61"/>
    <w:rsid w:val="00245E25"/>
    <w:rsid w:val="00245EA5"/>
    <w:rsid w:val="002460B3"/>
    <w:rsid w:val="00246101"/>
    <w:rsid w:val="002462FB"/>
    <w:rsid w:val="00246620"/>
    <w:rsid w:val="00246AB3"/>
    <w:rsid w:val="00246BB0"/>
    <w:rsid w:val="00246BE3"/>
    <w:rsid w:val="00246C08"/>
    <w:rsid w:val="00246C9F"/>
    <w:rsid w:val="00246CD7"/>
    <w:rsid w:val="00246D39"/>
    <w:rsid w:val="00246D94"/>
    <w:rsid w:val="00247041"/>
    <w:rsid w:val="002471D9"/>
    <w:rsid w:val="00247300"/>
    <w:rsid w:val="00247913"/>
    <w:rsid w:val="00247921"/>
    <w:rsid w:val="00247C53"/>
    <w:rsid w:val="00247EE9"/>
    <w:rsid w:val="002500D2"/>
    <w:rsid w:val="0025043C"/>
    <w:rsid w:val="0025045B"/>
    <w:rsid w:val="00250476"/>
    <w:rsid w:val="002504B2"/>
    <w:rsid w:val="002505CA"/>
    <w:rsid w:val="0025062E"/>
    <w:rsid w:val="00250655"/>
    <w:rsid w:val="0025072D"/>
    <w:rsid w:val="00250F14"/>
    <w:rsid w:val="00250F64"/>
    <w:rsid w:val="00251009"/>
    <w:rsid w:val="00251041"/>
    <w:rsid w:val="00251083"/>
    <w:rsid w:val="0025121A"/>
    <w:rsid w:val="00251445"/>
    <w:rsid w:val="00251625"/>
    <w:rsid w:val="0025164C"/>
    <w:rsid w:val="0025165A"/>
    <w:rsid w:val="00251729"/>
    <w:rsid w:val="0025199E"/>
    <w:rsid w:val="00251BC0"/>
    <w:rsid w:val="00251FD2"/>
    <w:rsid w:val="002522AB"/>
    <w:rsid w:val="002525BD"/>
    <w:rsid w:val="002525E6"/>
    <w:rsid w:val="002526B9"/>
    <w:rsid w:val="00252911"/>
    <w:rsid w:val="00252D5D"/>
    <w:rsid w:val="00252D60"/>
    <w:rsid w:val="00252D9E"/>
    <w:rsid w:val="00252FFC"/>
    <w:rsid w:val="00253026"/>
    <w:rsid w:val="002532C6"/>
    <w:rsid w:val="002533ED"/>
    <w:rsid w:val="00253747"/>
    <w:rsid w:val="00253760"/>
    <w:rsid w:val="002537E9"/>
    <w:rsid w:val="002538A9"/>
    <w:rsid w:val="0025395C"/>
    <w:rsid w:val="00253A47"/>
    <w:rsid w:val="00253C84"/>
    <w:rsid w:val="00253D31"/>
    <w:rsid w:val="00253F48"/>
    <w:rsid w:val="00253F5F"/>
    <w:rsid w:val="002540EE"/>
    <w:rsid w:val="00254137"/>
    <w:rsid w:val="002544B8"/>
    <w:rsid w:val="00254552"/>
    <w:rsid w:val="0025455A"/>
    <w:rsid w:val="00254826"/>
    <w:rsid w:val="0025486C"/>
    <w:rsid w:val="00254873"/>
    <w:rsid w:val="00254C46"/>
    <w:rsid w:val="00254DF6"/>
    <w:rsid w:val="00254F64"/>
    <w:rsid w:val="002551A1"/>
    <w:rsid w:val="00255238"/>
    <w:rsid w:val="00255446"/>
    <w:rsid w:val="00255469"/>
    <w:rsid w:val="00255475"/>
    <w:rsid w:val="002556B1"/>
    <w:rsid w:val="0025593F"/>
    <w:rsid w:val="002559E3"/>
    <w:rsid w:val="00255C60"/>
    <w:rsid w:val="00255D62"/>
    <w:rsid w:val="00255F52"/>
    <w:rsid w:val="00255FE4"/>
    <w:rsid w:val="002560CC"/>
    <w:rsid w:val="0025612E"/>
    <w:rsid w:val="002561B3"/>
    <w:rsid w:val="00256212"/>
    <w:rsid w:val="00256252"/>
    <w:rsid w:val="002562C4"/>
    <w:rsid w:val="0025679C"/>
    <w:rsid w:val="00256932"/>
    <w:rsid w:val="00256D9B"/>
    <w:rsid w:val="00256E48"/>
    <w:rsid w:val="00256F23"/>
    <w:rsid w:val="002570AF"/>
    <w:rsid w:val="00257125"/>
    <w:rsid w:val="0025712D"/>
    <w:rsid w:val="0025734C"/>
    <w:rsid w:val="002576B5"/>
    <w:rsid w:val="0025771E"/>
    <w:rsid w:val="00257A6E"/>
    <w:rsid w:val="00257C05"/>
    <w:rsid w:val="00257FB5"/>
    <w:rsid w:val="00257FF7"/>
    <w:rsid w:val="00260059"/>
    <w:rsid w:val="00260452"/>
    <w:rsid w:val="00260483"/>
    <w:rsid w:val="002605FB"/>
    <w:rsid w:val="00260910"/>
    <w:rsid w:val="002609D1"/>
    <w:rsid w:val="002609DC"/>
    <w:rsid w:val="00260B7E"/>
    <w:rsid w:val="00260C44"/>
    <w:rsid w:val="00260E26"/>
    <w:rsid w:val="00260E60"/>
    <w:rsid w:val="00261457"/>
    <w:rsid w:val="0026158C"/>
    <w:rsid w:val="002618DF"/>
    <w:rsid w:val="00261C39"/>
    <w:rsid w:val="00261C44"/>
    <w:rsid w:val="00261D00"/>
    <w:rsid w:val="0026211A"/>
    <w:rsid w:val="002621AE"/>
    <w:rsid w:val="002621F7"/>
    <w:rsid w:val="0026233A"/>
    <w:rsid w:val="002624C3"/>
    <w:rsid w:val="00262568"/>
    <w:rsid w:val="00262761"/>
    <w:rsid w:val="00262813"/>
    <w:rsid w:val="00262C04"/>
    <w:rsid w:val="00262C32"/>
    <w:rsid w:val="00262D44"/>
    <w:rsid w:val="00262DDA"/>
    <w:rsid w:val="00262E79"/>
    <w:rsid w:val="00262EFC"/>
    <w:rsid w:val="00263159"/>
    <w:rsid w:val="00263277"/>
    <w:rsid w:val="00263388"/>
    <w:rsid w:val="002633D5"/>
    <w:rsid w:val="002633D9"/>
    <w:rsid w:val="00263404"/>
    <w:rsid w:val="00263554"/>
    <w:rsid w:val="00263D9C"/>
    <w:rsid w:val="00263E19"/>
    <w:rsid w:val="00263EB6"/>
    <w:rsid w:val="00263F2B"/>
    <w:rsid w:val="002640E2"/>
    <w:rsid w:val="002640EA"/>
    <w:rsid w:val="00264336"/>
    <w:rsid w:val="002645C2"/>
    <w:rsid w:val="0026467A"/>
    <w:rsid w:val="002646A2"/>
    <w:rsid w:val="00264844"/>
    <w:rsid w:val="0026492B"/>
    <w:rsid w:val="00264A66"/>
    <w:rsid w:val="00264B57"/>
    <w:rsid w:val="00264C9E"/>
    <w:rsid w:val="00264D55"/>
    <w:rsid w:val="00265219"/>
    <w:rsid w:val="00265370"/>
    <w:rsid w:val="0026538B"/>
    <w:rsid w:val="002653EB"/>
    <w:rsid w:val="00265441"/>
    <w:rsid w:val="00265680"/>
    <w:rsid w:val="002659AC"/>
    <w:rsid w:val="00265D8D"/>
    <w:rsid w:val="00265E69"/>
    <w:rsid w:val="00265F98"/>
    <w:rsid w:val="002662AC"/>
    <w:rsid w:val="002664FC"/>
    <w:rsid w:val="0026661A"/>
    <w:rsid w:val="00266726"/>
    <w:rsid w:val="0026681F"/>
    <w:rsid w:val="0026685F"/>
    <w:rsid w:val="002668C1"/>
    <w:rsid w:val="00266934"/>
    <w:rsid w:val="00266B3C"/>
    <w:rsid w:val="00266EF8"/>
    <w:rsid w:val="00266F17"/>
    <w:rsid w:val="00266F60"/>
    <w:rsid w:val="00266F9B"/>
    <w:rsid w:val="0026714D"/>
    <w:rsid w:val="0026716A"/>
    <w:rsid w:val="00267A95"/>
    <w:rsid w:val="00267D58"/>
    <w:rsid w:val="00267EF8"/>
    <w:rsid w:val="002701F1"/>
    <w:rsid w:val="00270220"/>
    <w:rsid w:val="00270225"/>
    <w:rsid w:val="002702E1"/>
    <w:rsid w:val="002703B1"/>
    <w:rsid w:val="002703B8"/>
    <w:rsid w:val="00270493"/>
    <w:rsid w:val="002706B8"/>
    <w:rsid w:val="00270A43"/>
    <w:rsid w:val="00270ABF"/>
    <w:rsid w:val="00270B5F"/>
    <w:rsid w:val="00270CB8"/>
    <w:rsid w:val="00270D86"/>
    <w:rsid w:val="00270DA2"/>
    <w:rsid w:val="002710DE"/>
    <w:rsid w:val="0027120F"/>
    <w:rsid w:val="002713C9"/>
    <w:rsid w:val="0027148D"/>
    <w:rsid w:val="00271662"/>
    <w:rsid w:val="002716C2"/>
    <w:rsid w:val="002716F4"/>
    <w:rsid w:val="00271991"/>
    <w:rsid w:val="00271A1C"/>
    <w:rsid w:val="00271D7B"/>
    <w:rsid w:val="00271DC7"/>
    <w:rsid w:val="00271F47"/>
    <w:rsid w:val="002720D3"/>
    <w:rsid w:val="002720F8"/>
    <w:rsid w:val="002722B6"/>
    <w:rsid w:val="0027247F"/>
    <w:rsid w:val="002725AB"/>
    <w:rsid w:val="00272690"/>
    <w:rsid w:val="00272747"/>
    <w:rsid w:val="0027275F"/>
    <w:rsid w:val="0027279C"/>
    <w:rsid w:val="002728AC"/>
    <w:rsid w:val="0027296D"/>
    <w:rsid w:val="00272CB5"/>
    <w:rsid w:val="00272E44"/>
    <w:rsid w:val="00272EBE"/>
    <w:rsid w:val="00272F76"/>
    <w:rsid w:val="00273100"/>
    <w:rsid w:val="00273568"/>
    <w:rsid w:val="00273A98"/>
    <w:rsid w:val="00273C2A"/>
    <w:rsid w:val="00273D57"/>
    <w:rsid w:val="00273DF2"/>
    <w:rsid w:val="00273E4E"/>
    <w:rsid w:val="00273F10"/>
    <w:rsid w:val="00273F4A"/>
    <w:rsid w:val="00274038"/>
    <w:rsid w:val="002740BA"/>
    <w:rsid w:val="00274A3B"/>
    <w:rsid w:val="00274C1B"/>
    <w:rsid w:val="00274CE2"/>
    <w:rsid w:val="00274EE9"/>
    <w:rsid w:val="00275176"/>
    <w:rsid w:val="00275190"/>
    <w:rsid w:val="00275289"/>
    <w:rsid w:val="0027531C"/>
    <w:rsid w:val="00275348"/>
    <w:rsid w:val="00275579"/>
    <w:rsid w:val="0027583B"/>
    <w:rsid w:val="00275933"/>
    <w:rsid w:val="00275EB8"/>
    <w:rsid w:val="00275F89"/>
    <w:rsid w:val="0027604F"/>
    <w:rsid w:val="0027605A"/>
    <w:rsid w:val="00276139"/>
    <w:rsid w:val="002761BA"/>
    <w:rsid w:val="00276201"/>
    <w:rsid w:val="00276367"/>
    <w:rsid w:val="00276551"/>
    <w:rsid w:val="0027662B"/>
    <w:rsid w:val="00276658"/>
    <w:rsid w:val="002769A9"/>
    <w:rsid w:val="00276B8A"/>
    <w:rsid w:val="00276BB5"/>
    <w:rsid w:val="00276D3B"/>
    <w:rsid w:val="00276D3E"/>
    <w:rsid w:val="00277004"/>
    <w:rsid w:val="00277074"/>
    <w:rsid w:val="00277352"/>
    <w:rsid w:val="002776D8"/>
    <w:rsid w:val="00277798"/>
    <w:rsid w:val="00277967"/>
    <w:rsid w:val="00277A78"/>
    <w:rsid w:val="00277B44"/>
    <w:rsid w:val="00277C51"/>
    <w:rsid w:val="00277CFF"/>
    <w:rsid w:val="00277E30"/>
    <w:rsid w:val="00280013"/>
    <w:rsid w:val="002802E4"/>
    <w:rsid w:val="00280406"/>
    <w:rsid w:val="002805F3"/>
    <w:rsid w:val="002806C0"/>
    <w:rsid w:val="0028092D"/>
    <w:rsid w:val="00280AC6"/>
    <w:rsid w:val="00280CE1"/>
    <w:rsid w:val="00280CFA"/>
    <w:rsid w:val="00280F7A"/>
    <w:rsid w:val="00280F7D"/>
    <w:rsid w:val="002811C0"/>
    <w:rsid w:val="00281297"/>
    <w:rsid w:val="002812CA"/>
    <w:rsid w:val="002818C4"/>
    <w:rsid w:val="002819AE"/>
    <w:rsid w:val="00281B95"/>
    <w:rsid w:val="00281D47"/>
    <w:rsid w:val="00282038"/>
    <w:rsid w:val="002824C3"/>
    <w:rsid w:val="0028258D"/>
    <w:rsid w:val="002825AF"/>
    <w:rsid w:val="0028295E"/>
    <w:rsid w:val="00282BF0"/>
    <w:rsid w:val="00282D43"/>
    <w:rsid w:val="00282E35"/>
    <w:rsid w:val="0028307A"/>
    <w:rsid w:val="002831AA"/>
    <w:rsid w:val="002831BB"/>
    <w:rsid w:val="002835DF"/>
    <w:rsid w:val="002835E3"/>
    <w:rsid w:val="00283720"/>
    <w:rsid w:val="0028375A"/>
    <w:rsid w:val="002837BB"/>
    <w:rsid w:val="002837D8"/>
    <w:rsid w:val="00283915"/>
    <w:rsid w:val="0028391C"/>
    <w:rsid w:val="00283E46"/>
    <w:rsid w:val="00284063"/>
    <w:rsid w:val="0028419A"/>
    <w:rsid w:val="00284437"/>
    <w:rsid w:val="00284465"/>
    <w:rsid w:val="002844B6"/>
    <w:rsid w:val="00284693"/>
    <w:rsid w:val="00284710"/>
    <w:rsid w:val="0028491F"/>
    <w:rsid w:val="002849D0"/>
    <w:rsid w:val="00284A05"/>
    <w:rsid w:val="00284A3C"/>
    <w:rsid w:val="00284A9E"/>
    <w:rsid w:val="00284B2B"/>
    <w:rsid w:val="00284EBF"/>
    <w:rsid w:val="00285039"/>
    <w:rsid w:val="00285261"/>
    <w:rsid w:val="00285305"/>
    <w:rsid w:val="002853CA"/>
    <w:rsid w:val="00285492"/>
    <w:rsid w:val="0028591D"/>
    <w:rsid w:val="002861E1"/>
    <w:rsid w:val="00286329"/>
    <w:rsid w:val="00286355"/>
    <w:rsid w:val="002863A2"/>
    <w:rsid w:val="002863AC"/>
    <w:rsid w:val="002863D9"/>
    <w:rsid w:val="0028643E"/>
    <w:rsid w:val="002864E9"/>
    <w:rsid w:val="002865C6"/>
    <w:rsid w:val="002866A3"/>
    <w:rsid w:val="002866ED"/>
    <w:rsid w:val="002867CF"/>
    <w:rsid w:val="00286AF7"/>
    <w:rsid w:val="00286B71"/>
    <w:rsid w:val="00286B79"/>
    <w:rsid w:val="00286CF1"/>
    <w:rsid w:val="00286D27"/>
    <w:rsid w:val="00286D2B"/>
    <w:rsid w:val="00286F08"/>
    <w:rsid w:val="00286F14"/>
    <w:rsid w:val="00287090"/>
    <w:rsid w:val="00287458"/>
    <w:rsid w:val="002875E9"/>
    <w:rsid w:val="00287B45"/>
    <w:rsid w:val="00287EC9"/>
    <w:rsid w:val="0029001D"/>
    <w:rsid w:val="002900DB"/>
    <w:rsid w:val="00290270"/>
    <w:rsid w:val="002902A8"/>
    <w:rsid w:val="002902D6"/>
    <w:rsid w:val="002902FB"/>
    <w:rsid w:val="002903E0"/>
    <w:rsid w:val="0029042A"/>
    <w:rsid w:val="0029046A"/>
    <w:rsid w:val="0029051E"/>
    <w:rsid w:val="002908AE"/>
    <w:rsid w:val="00290A73"/>
    <w:rsid w:val="00290A76"/>
    <w:rsid w:val="00290A94"/>
    <w:rsid w:val="00290BEE"/>
    <w:rsid w:val="00290C14"/>
    <w:rsid w:val="00290F31"/>
    <w:rsid w:val="002911B3"/>
    <w:rsid w:val="0029138A"/>
    <w:rsid w:val="002917E2"/>
    <w:rsid w:val="00291A5F"/>
    <w:rsid w:val="00291D35"/>
    <w:rsid w:val="00291EEA"/>
    <w:rsid w:val="00291EEF"/>
    <w:rsid w:val="00291F2E"/>
    <w:rsid w:val="0029213D"/>
    <w:rsid w:val="00292358"/>
    <w:rsid w:val="002923F7"/>
    <w:rsid w:val="002927DB"/>
    <w:rsid w:val="00292878"/>
    <w:rsid w:val="00292A3F"/>
    <w:rsid w:val="00292CE5"/>
    <w:rsid w:val="00292CFF"/>
    <w:rsid w:val="0029306F"/>
    <w:rsid w:val="002931F9"/>
    <w:rsid w:val="0029335C"/>
    <w:rsid w:val="002935B3"/>
    <w:rsid w:val="00293897"/>
    <w:rsid w:val="00293B4F"/>
    <w:rsid w:val="00293B77"/>
    <w:rsid w:val="00293B8E"/>
    <w:rsid w:val="00293BD2"/>
    <w:rsid w:val="00293D48"/>
    <w:rsid w:val="00293E51"/>
    <w:rsid w:val="00293EFE"/>
    <w:rsid w:val="00293F2C"/>
    <w:rsid w:val="0029426F"/>
    <w:rsid w:val="002943BE"/>
    <w:rsid w:val="00294A7F"/>
    <w:rsid w:val="00294AFA"/>
    <w:rsid w:val="00294C5E"/>
    <w:rsid w:val="00294D61"/>
    <w:rsid w:val="00294DF4"/>
    <w:rsid w:val="00294EE9"/>
    <w:rsid w:val="002950ED"/>
    <w:rsid w:val="002951B2"/>
    <w:rsid w:val="00295327"/>
    <w:rsid w:val="002953B4"/>
    <w:rsid w:val="00295719"/>
    <w:rsid w:val="00295945"/>
    <w:rsid w:val="00295AA0"/>
    <w:rsid w:val="00295ADC"/>
    <w:rsid w:val="00295CEF"/>
    <w:rsid w:val="00295D54"/>
    <w:rsid w:val="00295E50"/>
    <w:rsid w:val="00295E52"/>
    <w:rsid w:val="00295EAE"/>
    <w:rsid w:val="00296166"/>
    <w:rsid w:val="00296511"/>
    <w:rsid w:val="00296754"/>
    <w:rsid w:val="002969F6"/>
    <w:rsid w:val="00296EA0"/>
    <w:rsid w:val="002973F1"/>
    <w:rsid w:val="0029740C"/>
    <w:rsid w:val="00297666"/>
    <w:rsid w:val="00297795"/>
    <w:rsid w:val="002979A6"/>
    <w:rsid w:val="00297A40"/>
    <w:rsid w:val="00297C3B"/>
    <w:rsid w:val="00297C51"/>
    <w:rsid w:val="00297CA9"/>
    <w:rsid w:val="00297D18"/>
    <w:rsid w:val="002A0056"/>
    <w:rsid w:val="002A00C8"/>
    <w:rsid w:val="002A0217"/>
    <w:rsid w:val="002A03AA"/>
    <w:rsid w:val="002A0537"/>
    <w:rsid w:val="002A0538"/>
    <w:rsid w:val="002A0550"/>
    <w:rsid w:val="002A05CE"/>
    <w:rsid w:val="002A096B"/>
    <w:rsid w:val="002A0D52"/>
    <w:rsid w:val="002A0EA8"/>
    <w:rsid w:val="002A0EC0"/>
    <w:rsid w:val="002A0FF0"/>
    <w:rsid w:val="002A1000"/>
    <w:rsid w:val="002A1002"/>
    <w:rsid w:val="002A1238"/>
    <w:rsid w:val="002A1473"/>
    <w:rsid w:val="002A1535"/>
    <w:rsid w:val="002A1833"/>
    <w:rsid w:val="002A18D1"/>
    <w:rsid w:val="002A1979"/>
    <w:rsid w:val="002A1A2F"/>
    <w:rsid w:val="002A1AFD"/>
    <w:rsid w:val="002A1DA6"/>
    <w:rsid w:val="002A1DFF"/>
    <w:rsid w:val="002A1E26"/>
    <w:rsid w:val="002A2253"/>
    <w:rsid w:val="002A25B4"/>
    <w:rsid w:val="002A25C9"/>
    <w:rsid w:val="002A25E4"/>
    <w:rsid w:val="002A2960"/>
    <w:rsid w:val="002A29EC"/>
    <w:rsid w:val="002A2A08"/>
    <w:rsid w:val="002A2B15"/>
    <w:rsid w:val="002A2F07"/>
    <w:rsid w:val="002A2F9E"/>
    <w:rsid w:val="002A2FBB"/>
    <w:rsid w:val="002A3355"/>
    <w:rsid w:val="002A33EA"/>
    <w:rsid w:val="002A3485"/>
    <w:rsid w:val="002A36B9"/>
    <w:rsid w:val="002A36FB"/>
    <w:rsid w:val="002A37CA"/>
    <w:rsid w:val="002A37D4"/>
    <w:rsid w:val="002A3854"/>
    <w:rsid w:val="002A3EB9"/>
    <w:rsid w:val="002A42F2"/>
    <w:rsid w:val="002A43B8"/>
    <w:rsid w:val="002A4412"/>
    <w:rsid w:val="002A4480"/>
    <w:rsid w:val="002A44D4"/>
    <w:rsid w:val="002A493E"/>
    <w:rsid w:val="002A4AB5"/>
    <w:rsid w:val="002A4B17"/>
    <w:rsid w:val="002A4DE5"/>
    <w:rsid w:val="002A4EBF"/>
    <w:rsid w:val="002A4FED"/>
    <w:rsid w:val="002A5009"/>
    <w:rsid w:val="002A526E"/>
    <w:rsid w:val="002A537A"/>
    <w:rsid w:val="002A5439"/>
    <w:rsid w:val="002A5488"/>
    <w:rsid w:val="002A548C"/>
    <w:rsid w:val="002A54FB"/>
    <w:rsid w:val="002A5B91"/>
    <w:rsid w:val="002A6198"/>
    <w:rsid w:val="002A6394"/>
    <w:rsid w:val="002A63EE"/>
    <w:rsid w:val="002A6489"/>
    <w:rsid w:val="002A66EC"/>
    <w:rsid w:val="002A672F"/>
    <w:rsid w:val="002A685D"/>
    <w:rsid w:val="002A6C9A"/>
    <w:rsid w:val="002A6D22"/>
    <w:rsid w:val="002A6DF0"/>
    <w:rsid w:val="002A6DFE"/>
    <w:rsid w:val="002A6EA0"/>
    <w:rsid w:val="002A6F08"/>
    <w:rsid w:val="002A719F"/>
    <w:rsid w:val="002A7369"/>
    <w:rsid w:val="002A7397"/>
    <w:rsid w:val="002A73D6"/>
    <w:rsid w:val="002A742A"/>
    <w:rsid w:val="002A75E0"/>
    <w:rsid w:val="002A77CF"/>
    <w:rsid w:val="002A77E4"/>
    <w:rsid w:val="002A7943"/>
    <w:rsid w:val="002A7E3C"/>
    <w:rsid w:val="002A7F88"/>
    <w:rsid w:val="002A7FD9"/>
    <w:rsid w:val="002B00AB"/>
    <w:rsid w:val="002B00DF"/>
    <w:rsid w:val="002B01C7"/>
    <w:rsid w:val="002B05CD"/>
    <w:rsid w:val="002B07D1"/>
    <w:rsid w:val="002B0994"/>
    <w:rsid w:val="002B0C59"/>
    <w:rsid w:val="002B0EF1"/>
    <w:rsid w:val="002B127E"/>
    <w:rsid w:val="002B1306"/>
    <w:rsid w:val="002B140E"/>
    <w:rsid w:val="002B16C3"/>
    <w:rsid w:val="002B1D11"/>
    <w:rsid w:val="002B1D31"/>
    <w:rsid w:val="002B1DAB"/>
    <w:rsid w:val="002B1E57"/>
    <w:rsid w:val="002B22C8"/>
    <w:rsid w:val="002B23C0"/>
    <w:rsid w:val="002B2407"/>
    <w:rsid w:val="002B242C"/>
    <w:rsid w:val="002B254B"/>
    <w:rsid w:val="002B26D3"/>
    <w:rsid w:val="002B2779"/>
    <w:rsid w:val="002B2C54"/>
    <w:rsid w:val="002B2D71"/>
    <w:rsid w:val="002B3083"/>
    <w:rsid w:val="002B31D0"/>
    <w:rsid w:val="002B3518"/>
    <w:rsid w:val="002B3629"/>
    <w:rsid w:val="002B37F3"/>
    <w:rsid w:val="002B3B49"/>
    <w:rsid w:val="002B4178"/>
    <w:rsid w:val="002B42F0"/>
    <w:rsid w:val="002B4302"/>
    <w:rsid w:val="002B48DA"/>
    <w:rsid w:val="002B494D"/>
    <w:rsid w:val="002B497F"/>
    <w:rsid w:val="002B4A2B"/>
    <w:rsid w:val="002B4C59"/>
    <w:rsid w:val="002B4E0D"/>
    <w:rsid w:val="002B4FB4"/>
    <w:rsid w:val="002B5025"/>
    <w:rsid w:val="002B546E"/>
    <w:rsid w:val="002B55A2"/>
    <w:rsid w:val="002B56AD"/>
    <w:rsid w:val="002B57AA"/>
    <w:rsid w:val="002B57DC"/>
    <w:rsid w:val="002B5A2B"/>
    <w:rsid w:val="002B5AAA"/>
    <w:rsid w:val="002B5C27"/>
    <w:rsid w:val="002B5CD5"/>
    <w:rsid w:val="002B5D65"/>
    <w:rsid w:val="002B5E22"/>
    <w:rsid w:val="002B5E7B"/>
    <w:rsid w:val="002B5ECD"/>
    <w:rsid w:val="002B61B0"/>
    <w:rsid w:val="002B6250"/>
    <w:rsid w:val="002B64C6"/>
    <w:rsid w:val="002B6B78"/>
    <w:rsid w:val="002B6B93"/>
    <w:rsid w:val="002B6D0F"/>
    <w:rsid w:val="002B6DFF"/>
    <w:rsid w:val="002B6E21"/>
    <w:rsid w:val="002B6F47"/>
    <w:rsid w:val="002B719F"/>
    <w:rsid w:val="002B7331"/>
    <w:rsid w:val="002B73AA"/>
    <w:rsid w:val="002B7779"/>
    <w:rsid w:val="002B7C00"/>
    <w:rsid w:val="002B7D55"/>
    <w:rsid w:val="002B7D77"/>
    <w:rsid w:val="002B7FF7"/>
    <w:rsid w:val="002C06FE"/>
    <w:rsid w:val="002C071A"/>
    <w:rsid w:val="002C08C8"/>
    <w:rsid w:val="002C0AF8"/>
    <w:rsid w:val="002C0C0E"/>
    <w:rsid w:val="002C0EA7"/>
    <w:rsid w:val="002C1230"/>
    <w:rsid w:val="002C132C"/>
    <w:rsid w:val="002C15EC"/>
    <w:rsid w:val="002C181C"/>
    <w:rsid w:val="002C1D14"/>
    <w:rsid w:val="002C1E3E"/>
    <w:rsid w:val="002C204B"/>
    <w:rsid w:val="002C23D6"/>
    <w:rsid w:val="002C2636"/>
    <w:rsid w:val="002C276C"/>
    <w:rsid w:val="002C27B1"/>
    <w:rsid w:val="002C280A"/>
    <w:rsid w:val="002C28D3"/>
    <w:rsid w:val="002C2A2E"/>
    <w:rsid w:val="002C2B86"/>
    <w:rsid w:val="002C2DD0"/>
    <w:rsid w:val="002C2DED"/>
    <w:rsid w:val="002C2F05"/>
    <w:rsid w:val="002C3015"/>
    <w:rsid w:val="002C307F"/>
    <w:rsid w:val="002C30E8"/>
    <w:rsid w:val="002C31AD"/>
    <w:rsid w:val="002C3261"/>
    <w:rsid w:val="002C3369"/>
    <w:rsid w:val="002C3502"/>
    <w:rsid w:val="002C3693"/>
    <w:rsid w:val="002C387C"/>
    <w:rsid w:val="002C397B"/>
    <w:rsid w:val="002C3B32"/>
    <w:rsid w:val="002C3D3E"/>
    <w:rsid w:val="002C3EB0"/>
    <w:rsid w:val="002C3F9D"/>
    <w:rsid w:val="002C4274"/>
    <w:rsid w:val="002C44D8"/>
    <w:rsid w:val="002C4623"/>
    <w:rsid w:val="002C4645"/>
    <w:rsid w:val="002C47AE"/>
    <w:rsid w:val="002C4840"/>
    <w:rsid w:val="002C48F6"/>
    <w:rsid w:val="002C4A49"/>
    <w:rsid w:val="002C4E6D"/>
    <w:rsid w:val="002C5011"/>
    <w:rsid w:val="002C50F1"/>
    <w:rsid w:val="002C51D3"/>
    <w:rsid w:val="002C5381"/>
    <w:rsid w:val="002C5514"/>
    <w:rsid w:val="002C5783"/>
    <w:rsid w:val="002C5977"/>
    <w:rsid w:val="002C59F0"/>
    <w:rsid w:val="002C5A94"/>
    <w:rsid w:val="002C5AD8"/>
    <w:rsid w:val="002C5BC5"/>
    <w:rsid w:val="002C5C98"/>
    <w:rsid w:val="002C5E1B"/>
    <w:rsid w:val="002C61F3"/>
    <w:rsid w:val="002C6443"/>
    <w:rsid w:val="002C651B"/>
    <w:rsid w:val="002C6705"/>
    <w:rsid w:val="002C68F0"/>
    <w:rsid w:val="002C69B3"/>
    <w:rsid w:val="002C69C3"/>
    <w:rsid w:val="002C6D5F"/>
    <w:rsid w:val="002C6DA7"/>
    <w:rsid w:val="002C6E4B"/>
    <w:rsid w:val="002C70DA"/>
    <w:rsid w:val="002C7206"/>
    <w:rsid w:val="002C77AD"/>
    <w:rsid w:val="002C7A35"/>
    <w:rsid w:val="002C7A55"/>
    <w:rsid w:val="002C7BFB"/>
    <w:rsid w:val="002C7D13"/>
    <w:rsid w:val="002D01A0"/>
    <w:rsid w:val="002D022B"/>
    <w:rsid w:val="002D03D9"/>
    <w:rsid w:val="002D05BD"/>
    <w:rsid w:val="002D0775"/>
    <w:rsid w:val="002D077C"/>
    <w:rsid w:val="002D08F2"/>
    <w:rsid w:val="002D09A9"/>
    <w:rsid w:val="002D0D62"/>
    <w:rsid w:val="002D0E1D"/>
    <w:rsid w:val="002D0E69"/>
    <w:rsid w:val="002D1041"/>
    <w:rsid w:val="002D11F8"/>
    <w:rsid w:val="002D1365"/>
    <w:rsid w:val="002D14D7"/>
    <w:rsid w:val="002D171C"/>
    <w:rsid w:val="002D1A62"/>
    <w:rsid w:val="002D1AB2"/>
    <w:rsid w:val="002D1DC0"/>
    <w:rsid w:val="002D1FE9"/>
    <w:rsid w:val="002D2152"/>
    <w:rsid w:val="002D23C9"/>
    <w:rsid w:val="002D2415"/>
    <w:rsid w:val="002D2552"/>
    <w:rsid w:val="002D2924"/>
    <w:rsid w:val="002D29A8"/>
    <w:rsid w:val="002D2A91"/>
    <w:rsid w:val="002D2C4A"/>
    <w:rsid w:val="002D2E6F"/>
    <w:rsid w:val="002D2F01"/>
    <w:rsid w:val="002D32E9"/>
    <w:rsid w:val="002D34A5"/>
    <w:rsid w:val="002D3578"/>
    <w:rsid w:val="002D36CA"/>
    <w:rsid w:val="002D3717"/>
    <w:rsid w:val="002D3761"/>
    <w:rsid w:val="002D3772"/>
    <w:rsid w:val="002D39EB"/>
    <w:rsid w:val="002D3C95"/>
    <w:rsid w:val="002D3CB4"/>
    <w:rsid w:val="002D3D30"/>
    <w:rsid w:val="002D3D31"/>
    <w:rsid w:val="002D3E5F"/>
    <w:rsid w:val="002D3FB1"/>
    <w:rsid w:val="002D41DB"/>
    <w:rsid w:val="002D431E"/>
    <w:rsid w:val="002D437A"/>
    <w:rsid w:val="002D43C2"/>
    <w:rsid w:val="002D44C0"/>
    <w:rsid w:val="002D472E"/>
    <w:rsid w:val="002D481A"/>
    <w:rsid w:val="002D4870"/>
    <w:rsid w:val="002D49CA"/>
    <w:rsid w:val="002D4BC5"/>
    <w:rsid w:val="002D4C4D"/>
    <w:rsid w:val="002D5136"/>
    <w:rsid w:val="002D538E"/>
    <w:rsid w:val="002D5546"/>
    <w:rsid w:val="002D5644"/>
    <w:rsid w:val="002D566C"/>
    <w:rsid w:val="002D56CC"/>
    <w:rsid w:val="002D57B5"/>
    <w:rsid w:val="002D58D1"/>
    <w:rsid w:val="002D58F9"/>
    <w:rsid w:val="002D5921"/>
    <w:rsid w:val="002D59AE"/>
    <w:rsid w:val="002D59BA"/>
    <w:rsid w:val="002D59E0"/>
    <w:rsid w:val="002D5D9A"/>
    <w:rsid w:val="002D5E21"/>
    <w:rsid w:val="002D5F59"/>
    <w:rsid w:val="002D60CF"/>
    <w:rsid w:val="002D60E1"/>
    <w:rsid w:val="002D6240"/>
    <w:rsid w:val="002D6275"/>
    <w:rsid w:val="002D6277"/>
    <w:rsid w:val="002D62AF"/>
    <w:rsid w:val="002D63D0"/>
    <w:rsid w:val="002D66D1"/>
    <w:rsid w:val="002D6842"/>
    <w:rsid w:val="002D68B8"/>
    <w:rsid w:val="002D68E2"/>
    <w:rsid w:val="002D69E3"/>
    <w:rsid w:val="002D6AA3"/>
    <w:rsid w:val="002D6B81"/>
    <w:rsid w:val="002D6CC0"/>
    <w:rsid w:val="002D7019"/>
    <w:rsid w:val="002D7101"/>
    <w:rsid w:val="002D7149"/>
    <w:rsid w:val="002D7186"/>
    <w:rsid w:val="002D71FE"/>
    <w:rsid w:val="002D72E0"/>
    <w:rsid w:val="002D7459"/>
    <w:rsid w:val="002D7542"/>
    <w:rsid w:val="002D7551"/>
    <w:rsid w:val="002D79AF"/>
    <w:rsid w:val="002D7B72"/>
    <w:rsid w:val="002D7D48"/>
    <w:rsid w:val="002D7D8D"/>
    <w:rsid w:val="002D7EBC"/>
    <w:rsid w:val="002E031C"/>
    <w:rsid w:val="002E0447"/>
    <w:rsid w:val="002E06B7"/>
    <w:rsid w:val="002E0860"/>
    <w:rsid w:val="002E08CA"/>
    <w:rsid w:val="002E0AA9"/>
    <w:rsid w:val="002E0E18"/>
    <w:rsid w:val="002E10CC"/>
    <w:rsid w:val="002E116A"/>
    <w:rsid w:val="002E173E"/>
    <w:rsid w:val="002E17E3"/>
    <w:rsid w:val="002E17F1"/>
    <w:rsid w:val="002E1A2C"/>
    <w:rsid w:val="002E1ACF"/>
    <w:rsid w:val="002E1C9B"/>
    <w:rsid w:val="002E1E57"/>
    <w:rsid w:val="002E1E9F"/>
    <w:rsid w:val="002E1EEB"/>
    <w:rsid w:val="002E1F3E"/>
    <w:rsid w:val="002E2091"/>
    <w:rsid w:val="002E20AA"/>
    <w:rsid w:val="002E20BD"/>
    <w:rsid w:val="002E2225"/>
    <w:rsid w:val="002E24B2"/>
    <w:rsid w:val="002E2586"/>
    <w:rsid w:val="002E26D6"/>
    <w:rsid w:val="002E277E"/>
    <w:rsid w:val="002E27D9"/>
    <w:rsid w:val="002E289D"/>
    <w:rsid w:val="002E2961"/>
    <w:rsid w:val="002E29E5"/>
    <w:rsid w:val="002E2A2C"/>
    <w:rsid w:val="002E2B79"/>
    <w:rsid w:val="002E2BB7"/>
    <w:rsid w:val="002E2D69"/>
    <w:rsid w:val="002E2E2A"/>
    <w:rsid w:val="002E2ECB"/>
    <w:rsid w:val="002E2F1E"/>
    <w:rsid w:val="002E3387"/>
    <w:rsid w:val="002E3456"/>
    <w:rsid w:val="002E34E2"/>
    <w:rsid w:val="002E36D3"/>
    <w:rsid w:val="002E3711"/>
    <w:rsid w:val="002E3914"/>
    <w:rsid w:val="002E3A1F"/>
    <w:rsid w:val="002E3C35"/>
    <w:rsid w:val="002E3FF5"/>
    <w:rsid w:val="002E42FE"/>
    <w:rsid w:val="002E453B"/>
    <w:rsid w:val="002E4597"/>
    <w:rsid w:val="002E45A2"/>
    <w:rsid w:val="002E4842"/>
    <w:rsid w:val="002E4BA6"/>
    <w:rsid w:val="002E4BC7"/>
    <w:rsid w:val="002E4C0F"/>
    <w:rsid w:val="002E4D51"/>
    <w:rsid w:val="002E519E"/>
    <w:rsid w:val="002E522B"/>
    <w:rsid w:val="002E52F8"/>
    <w:rsid w:val="002E5308"/>
    <w:rsid w:val="002E576E"/>
    <w:rsid w:val="002E57EA"/>
    <w:rsid w:val="002E588C"/>
    <w:rsid w:val="002E588E"/>
    <w:rsid w:val="002E5A43"/>
    <w:rsid w:val="002E5B03"/>
    <w:rsid w:val="002E5C4C"/>
    <w:rsid w:val="002E5D6D"/>
    <w:rsid w:val="002E5DAF"/>
    <w:rsid w:val="002E5EED"/>
    <w:rsid w:val="002E5F08"/>
    <w:rsid w:val="002E5F1A"/>
    <w:rsid w:val="002E603C"/>
    <w:rsid w:val="002E63C5"/>
    <w:rsid w:val="002E6565"/>
    <w:rsid w:val="002E666B"/>
    <w:rsid w:val="002E66AE"/>
    <w:rsid w:val="002E66F5"/>
    <w:rsid w:val="002E6821"/>
    <w:rsid w:val="002E6AFB"/>
    <w:rsid w:val="002E6B18"/>
    <w:rsid w:val="002E6CDB"/>
    <w:rsid w:val="002E6E2F"/>
    <w:rsid w:val="002E6E80"/>
    <w:rsid w:val="002E7010"/>
    <w:rsid w:val="002E70A6"/>
    <w:rsid w:val="002E718B"/>
    <w:rsid w:val="002E71EB"/>
    <w:rsid w:val="002E733A"/>
    <w:rsid w:val="002E763A"/>
    <w:rsid w:val="002E767F"/>
    <w:rsid w:val="002E787F"/>
    <w:rsid w:val="002E78C6"/>
    <w:rsid w:val="002E78FA"/>
    <w:rsid w:val="002E7B2A"/>
    <w:rsid w:val="002E7CEC"/>
    <w:rsid w:val="002E7EB1"/>
    <w:rsid w:val="002E7EF7"/>
    <w:rsid w:val="002E7FA7"/>
    <w:rsid w:val="002F011D"/>
    <w:rsid w:val="002F0228"/>
    <w:rsid w:val="002F0486"/>
    <w:rsid w:val="002F0494"/>
    <w:rsid w:val="002F05A1"/>
    <w:rsid w:val="002F0615"/>
    <w:rsid w:val="002F0673"/>
    <w:rsid w:val="002F0796"/>
    <w:rsid w:val="002F08C6"/>
    <w:rsid w:val="002F0A7F"/>
    <w:rsid w:val="002F11C6"/>
    <w:rsid w:val="002F1742"/>
    <w:rsid w:val="002F1A8B"/>
    <w:rsid w:val="002F1E65"/>
    <w:rsid w:val="002F2095"/>
    <w:rsid w:val="002F209B"/>
    <w:rsid w:val="002F22FD"/>
    <w:rsid w:val="002F28F0"/>
    <w:rsid w:val="002F2977"/>
    <w:rsid w:val="002F29C0"/>
    <w:rsid w:val="002F2B59"/>
    <w:rsid w:val="002F2D87"/>
    <w:rsid w:val="002F2E53"/>
    <w:rsid w:val="002F2F29"/>
    <w:rsid w:val="002F312D"/>
    <w:rsid w:val="002F31A9"/>
    <w:rsid w:val="002F32B1"/>
    <w:rsid w:val="002F32B5"/>
    <w:rsid w:val="002F32CB"/>
    <w:rsid w:val="002F3304"/>
    <w:rsid w:val="002F3453"/>
    <w:rsid w:val="002F34D8"/>
    <w:rsid w:val="002F35C3"/>
    <w:rsid w:val="002F3799"/>
    <w:rsid w:val="002F39CE"/>
    <w:rsid w:val="002F3A10"/>
    <w:rsid w:val="002F3EB5"/>
    <w:rsid w:val="002F463E"/>
    <w:rsid w:val="002F466A"/>
    <w:rsid w:val="002F46CF"/>
    <w:rsid w:val="002F4784"/>
    <w:rsid w:val="002F4827"/>
    <w:rsid w:val="002F4960"/>
    <w:rsid w:val="002F4C1A"/>
    <w:rsid w:val="002F503D"/>
    <w:rsid w:val="002F50D7"/>
    <w:rsid w:val="002F537B"/>
    <w:rsid w:val="002F55D0"/>
    <w:rsid w:val="002F5690"/>
    <w:rsid w:val="002F5866"/>
    <w:rsid w:val="002F5984"/>
    <w:rsid w:val="002F5E9D"/>
    <w:rsid w:val="002F5EE8"/>
    <w:rsid w:val="002F60A4"/>
    <w:rsid w:val="002F60F2"/>
    <w:rsid w:val="002F6315"/>
    <w:rsid w:val="002F65E7"/>
    <w:rsid w:val="002F6734"/>
    <w:rsid w:val="002F6763"/>
    <w:rsid w:val="002F681A"/>
    <w:rsid w:val="002F6841"/>
    <w:rsid w:val="002F6AC7"/>
    <w:rsid w:val="002F6BE3"/>
    <w:rsid w:val="002F6C17"/>
    <w:rsid w:val="002F6D2F"/>
    <w:rsid w:val="002F6D60"/>
    <w:rsid w:val="002F6DF8"/>
    <w:rsid w:val="002F6F5D"/>
    <w:rsid w:val="002F6FCC"/>
    <w:rsid w:val="002F6FD4"/>
    <w:rsid w:val="002F7014"/>
    <w:rsid w:val="002F70BD"/>
    <w:rsid w:val="002F7384"/>
    <w:rsid w:val="002F782B"/>
    <w:rsid w:val="002F7A30"/>
    <w:rsid w:val="002F7C6B"/>
    <w:rsid w:val="002F7C86"/>
    <w:rsid w:val="002F7CA5"/>
    <w:rsid w:val="002F7D30"/>
    <w:rsid w:val="002F7F27"/>
    <w:rsid w:val="00300167"/>
    <w:rsid w:val="003008CD"/>
    <w:rsid w:val="00300C2F"/>
    <w:rsid w:val="00300D3C"/>
    <w:rsid w:val="00300E23"/>
    <w:rsid w:val="00300F41"/>
    <w:rsid w:val="00301070"/>
    <w:rsid w:val="003011A1"/>
    <w:rsid w:val="0030123A"/>
    <w:rsid w:val="00301243"/>
    <w:rsid w:val="003013BE"/>
    <w:rsid w:val="00301421"/>
    <w:rsid w:val="003015F8"/>
    <w:rsid w:val="00301828"/>
    <w:rsid w:val="00301985"/>
    <w:rsid w:val="00301BEE"/>
    <w:rsid w:val="00301CF8"/>
    <w:rsid w:val="00302040"/>
    <w:rsid w:val="00302049"/>
    <w:rsid w:val="00302103"/>
    <w:rsid w:val="0030242E"/>
    <w:rsid w:val="0030249E"/>
    <w:rsid w:val="003025FA"/>
    <w:rsid w:val="00302671"/>
    <w:rsid w:val="003026DE"/>
    <w:rsid w:val="00302907"/>
    <w:rsid w:val="0030292A"/>
    <w:rsid w:val="003029E0"/>
    <w:rsid w:val="00302A37"/>
    <w:rsid w:val="00302AC8"/>
    <w:rsid w:val="00303099"/>
    <w:rsid w:val="003036D6"/>
    <w:rsid w:val="0030370A"/>
    <w:rsid w:val="00303A09"/>
    <w:rsid w:val="00303D6A"/>
    <w:rsid w:val="00304117"/>
    <w:rsid w:val="00304211"/>
    <w:rsid w:val="0030435D"/>
    <w:rsid w:val="003043C8"/>
    <w:rsid w:val="003044F4"/>
    <w:rsid w:val="0030452A"/>
    <w:rsid w:val="00304635"/>
    <w:rsid w:val="0030464F"/>
    <w:rsid w:val="00304686"/>
    <w:rsid w:val="003046BD"/>
    <w:rsid w:val="003049E1"/>
    <w:rsid w:val="00304A50"/>
    <w:rsid w:val="00304BD2"/>
    <w:rsid w:val="00304BDB"/>
    <w:rsid w:val="00304CB5"/>
    <w:rsid w:val="00304E28"/>
    <w:rsid w:val="0030506C"/>
    <w:rsid w:val="003050CB"/>
    <w:rsid w:val="0030513C"/>
    <w:rsid w:val="003053A0"/>
    <w:rsid w:val="0030543F"/>
    <w:rsid w:val="00305479"/>
    <w:rsid w:val="003057D6"/>
    <w:rsid w:val="00305805"/>
    <w:rsid w:val="00305BC0"/>
    <w:rsid w:val="00305E3F"/>
    <w:rsid w:val="00305F6A"/>
    <w:rsid w:val="00305FA5"/>
    <w:rsid w:val="00306015"/>
    <w:rsid w:val="003060CC"/>
    <w:rsid w:val="00306262"/>
    <w:rsid w:val="00306575"/>
    <w:rsid w:val="00306674"/>
    <w:rsid w:val="003066BA"/>
    <w:rsid w:val="003067BF"/>
    <w:rsid w:val="00306A1B"/>
    <w:rsid w:val="00306A58"/>
    <w:rsid w:val="00306C0E"/>
    <w:rsid w:val="0030728A"/>
    <w:rsid w:val="00307372"/>
    <w:rsid w:val="003073E3"/>
    <w:rsid w:val="0030784B"/>
    <w:rsid w:val="00307851"/>
    <w:rsid w:val="00307A24"/>
    <w:rsid w:val="00307B53"/>
    <w:rsid w:val="00307C18"/>
    <w:rsid w:val="00307C4A"/>
    <w:rsid w:val="00307E10"/>
    <w:rsid w:val="00307E84"/>
    <w:rsid w:val="00307F5F"/>
    <w:rsid w:val="00307FAC"/>
    <w:rsid w:val="003100C9"/>
    <w:rsid w:val="0031018E"/>
    <w:rsid w:val="00310243"/>
    <w:rsid w:val="0031036F"/>
    <w:rsid w:val="00310575"/>
    <w:rsid w:val="00310762"/>
    <w:rsid w:val="003107EB"/>
    <w:rsid w:val="003107F9"/>
    <w:rsid w:val="00310980"/>
    <w:rsid w:val="00310CA1"/>
    <w:rsid w:val="00310CE1"/>
    <w:rsid w:val="00310D38"/>
    <w:rsid w:val="00310E16"/>
    <w:rsid w:val="00310F5B"/>
    <w:rsid w:val="0031101F"/>
    <w:rsid w:val="00311054"/>
    <w:rsid w:val="00311262"/>
    <w:rsid w:val="003112D3"/>
    <w:rsid w:val="00311349"/>
    <w:rsid w:val="00311449"/>
    <w:rsid w:val="0031151D"/>
    <w:rsid w:val="00311827"/>
    <w:rsid w:val="00311A73"/>
    <w:rsid w:val="00311AC1"/>
    <w:rsid w:val="00311C0A"/>
    <w:rsid w:val="00311CDE"/>
    <w:rsid w:val="00311E2E"/>
    <w:rsid w:val="00311F5D"/>
    <w:rsid w:val="003121D7"/>
    <w:rsid w:val="0031221A"/>
    <w:rsid w:val="003122CC"/>
    <w:rsid w:val="00312405"/>
    <w:rsid w:val="003124E9"/>
    <w:rsid w:val="003126F5"/>
    <w:rsid w:val="003127BD"/>
    <w:rsid w:val="00312D1D"/>
    <w:rsid w:val="003130BF"/>
    <w:rsid w:val="003135C4"/>
    <w:rsid w:val="00313AE9"/>
    <w:rsid w:val="00313B29"/>
    <w:rsid w:val="00313D7B"/>
    <w:rsid w:val="00313E51"/>
    <w:rsid w:val="00313FF7"/>
    <w:rsid w:val="0031401E"/>
    <w:rsid w:val="00314243"/>
    <w:rsid w:val="003142C3"/>
    <w:rsid w:val="0031446B"/>
    <w:rsid w:val="003145A7"/>
    <w:rsid w:val="00314699"/>
    <w:rsid w:val="00314709"/>
    <w:rsid w:val="00314806"/>
    <w:rsid w:val="00314C78"/>
    <w:rsid w:val="00314C8B"/>
    <w:rsid w:val="00314E27"/>
    <w:rsid w:val="00315258"/>
    <w:rsid w:val="003153FB"/>
    <w:rsid w:val="003154A5"/>
    <w:rsid w:val="003155D5"/>
    <w:rsid w:val="0031560C"/>
    <w:rsid w:val="00315773"/>
    <w:rsid w:val="00315F3D"/>
    <w:rsid w:val="00315F4D"/>
    <w:rsid w:val="0031618C"/>
    <w:rsid w:val="00316430"/>
    <w:rsid w:val="003164F4"/>
    <w:rsid w:val="003166FB"/>
    <w:rsid w:val="0031679A"/>
    <w:rsid w:val="003168B8"/>
    <w:rsid w:val="00316A4F"/>
    <w:rsid w:val="00316B64"/>
    <w:rsid w:val="00316DE7"/>
    <w:rsid w:val="003170D3"/>
    <w:rsid w:val="00317279"/>
    <w:rsid w:val="0031733E"/>
    <w:rsid w:val="0031741D"/>
    <w:rsid w:val="003175BE"/>
    <w:rsid w:val="003177B7"/>
    <w:rsid w:val="00317813"/>
    <w:rsid w:val="003178AC"/>
    <w:rsid w:val="00317965"/>
    <w:rsid w:val="00317BB5"/>
    <w:rsid w:val="00317C84"/>
    <w:rsid w:val="00317CB5"/>
    <w:rsid w:val="00317EE9"/>
    <w:rsid w:val="00317FF6"/>
    <w:rsid w:val="0032005C"/>
    <w:rsid w:val="00320201"/>
    <w:rsid w:val="003202C5"/>
    <w:rsid w:val="003203F2"/>
    <w:rsid w:val="0032067C"/>
    <w:rsid w:val="003206AB"/>
    <w:rsid w:val="003208A0"/>
    <w:rsid w:val="00320961"/>
    <w:rsid w:val="00320D82"/>
    <w:rsid w:val="00320DBB"/>
    <w:rsid w:val="00320EAB"/>
    <w:rsid w:val="003210A6"/>
    <w:rsid w:val="003210FE"/>
    <w:rsid w:val="00321296"/>
    <w:rsid w:val="003212A3"/>
    <w:rsid w:val="003213B0"/>
    <w:rsid w:val="00321577"/>
    <w:rsid w:val="00321606"/>
    <w:rsid w:val="003216FC"/>
    <w:rsid w:val="00321752"/>
    <w:rsid w:val="0032180A"/>
    <w:rsid w:val="00321900"/>
    <w:rsid w:val="00321B5E"/>
    <w:rsid w:val="00321CA0"/>
    <w:rsid w:val="00321EE6"/>
    <w:rsid w:val="0032215C"/>
    <w:rsid w:val="003222E5"/>
    <w:rsid w:val="00322753"/>
    <w:rsid w:val="00322A57"/>
    <w:rsid w:val="003230D1"/>
    <w:rsid w:val="0032325E"/>
    <w:rsid w:val="00323451"/>
    <w:rsid w:val="003235CC"/>
    <w:rsid w:val="00323A00"/>
    <w:rsid w:val="00323B58"/>
    <w:rsid w:val="00323B9A"/>
    <w:rsid w:val="00323EE4"/>
    <w:rsid w:val="00323FE8"/>
    <w:rsid w:val="00324037"/>
    <w:rsid w:val="00324217"/>
    <w:rsid w:val="003242DB"/>
    <w:rsid w:val="003243D0"/>
    <w:rsid w:val="00324413"/>
    <w:rsid w:val="0032449A"/>
    <w:rsid w:val="00324649"/>
    <w:rsid w:val="003246D8"/>
    <w:rsid w:val="0032498A"/>
    <w:rsid w:val="00324A73"/>
    <w:rsid w:val="00324ACD"/>
    <w:rsid w:val="00324E76"/>
    <w:rsid w:val="00324EBA"/>
    <w:rsid w:val="0032540C"/>
    <w:rsid w:val="00325529"/>
    <w:rsid w:val="0032577F"/>
    <w:rsid w:val="00325812"/>
    <w:rsid w:val="003258EF"/>
    <w:rsid w:val="00325DA6"/>
    <w:rsid w:val="00325DCA"/>
    <w:rsid w:val="00325E7C"/>
    <w:rsid w:val="00325F0E"/>
    <w:rsid w:val="003260C1"/>
    <w:rsid w:val="003261A5"/>
    <w:rsid w:val="00326420"/>
    <w:rsid w:val="00326470"/>
    <w:rsid w:val="0032658D"/>
    <w:rsid w:val="00326697"/>
    <w:rsid w:val="00326A05"/>
    <w:rsid w:val="00326A4F"/>
    <w:rsid w:val="00326D97"/>
    <w:rsid w:val="00326ECE"/>
    <w:rsid w:val="00327005"/>
    <w:rsid w:val="0032706C"/>
    <w:rsid w:val="003270B4"/>
    <w:rsid w:val="0032730F"/>
    <w:rsid w:val="003276A5"/>
    <w:rsid w:val="0032779A"/>
    <w:rsid w:val="003279D0"/>
    <w:rsid w:val="003279ED"/>
    <w:rsid w:val="00327A68"/>
    <w:rsid w:val="00327AB4"/>
    <w:rsid w:val="00327AC5"/>
    <w:rsid w:val="00327B40"/>
    <w:rsid w:val="00327BA4"/>
    <w:rsid w:val="00330133"/>
    <w:rsid w:val="0033053F"/>
    <w:rsid w:val="0033062C"/>
    <w:rsid w:val="003309B1"/>
    <w:rsid w:val="00330B0A"/>
    <w:rsid w:val="00330B65"/>
    <w:rsid w:val="00330C92"/>
    <w:rsid w:val="00330DCF"/>
    <w:rsid w:val="00330E72"/>
    <w:rsid w:val="003310D7"/>
    <w:rsid w:val="00331128"/>
    <w:rsid w:val="00331420"/>
    <w:rsid w:val="003317AF"/>
    <w:rsid w:val="00331875"/>
    <w:rsid w:val="00331A32"/>
    <w:rsid w:val="00331B40"/>
    <w:rsid w:val="00331B75"/>
    <w:rsid w:val="00331F13"/>
    <w:rsid w:val="00331F2D"/>
    <w:rsid w:val="003320A5"/>
    <w:rsid w:val="00332115"/>
    <w:rsid w:val="003321A0"/>
    <w:rsid w:val="003321DB"/>
    <w:rsid w:val="0033223D"/>
    <w:rsid w:val="003322D8"/>
    <w:rsid w:val="003325CA"/>
    <w:rsid w:val="0033280A"/>
    <w:rsid w:val="003328A9"/>
    <w:rsid w:val="003329C1"/>
    <w:rsid w:val="00332A91"/>
    <w:rsid w:val="00332B6C"/>
    <w:rsid w:val="00332CCD"/>
    <w:rsid w:val="00332D5D"/>
    <w:rsid w:val="00332E3B"/>
    <w:rsid w:val="00332F0C"/>
    <w:rsid w:val="00332F20"/>
    <w:rsid w:val="00333022"/>
    <w:rsid w:val="0033315B"/>
    <w:rsid w:val="003331B5"/>
    <w:rsid w:val="003335FF"/>
    <w:rsid w:val="003336EF"/>
    <w:rsid w:val="003336FD"/>
    <w:rsid w:val="00333A41"/>
    <w:rsid w:val="00333A43"/>
    <w:rsid w:val="00333B60"/>
    <w:rsid w:val="00333CC4"/>
    <w:rsid w:val="00333DDE"/>
    <w:rsid w:val="00334007"/>
    <w:rsid w:val="0033438F"/>
    <w:rsid w:val="003344AF"/>
    <w:rsid w:val="003346A8"/>
    <w:rsid w:val="00334970"/>
    <w:rsid w:val="00334B66"/>
    <w:rsid w:val="00334BD5"/>
    <w:rsid w:val="00334BF2"/>
    <w:rsid w:val="00334D87"/>
    <w:rsid w:val="00334F50"/>
    <w:rsid w:val="00335311"/>
    <w:rsid w:val="0033539C"/>
    <w:rsid w:val="0033565E"/>
    <w:rsid w:val="0033566E"/>
    <w:rsid w:val="003356E9"/>
    <w:rsid w:val="00335980"/>
    <w:rsid w:val="00335A68"/>
    <w:rsid w:val="00335BBF"/>
    <w:rsid w:val="00335BE6"/>
    <w:rsid w:val="00335DCA"/>
    <w:rsid w:val="00335E47"/>
    <w:rsid w:val="00335E8B"/>
    <w:rsid w:val="00335EED"/>
    <w:rsid w:val="00335F5B"/>
    <w:rsid w:val="003360FA"/>
    <w:rsid w:val="00336276"/>
    <w:rsid w:val="0033681C"/>
    <w:rsid w:val="00336836"/>
    <w:rsid w:val="0033699A"/>
    <w:rsid w:val="00336AB8"/>
    <w:rsid w:val="00336F73"/>
    <w:rsid w:val="0033731B"/>
    <w:rsid w:val="0033734C"/>
    <w:rsid w:val="00337387"/>
    <w:rsid w:val="0033752C"/>
    <w:rsid w:val="003377C8"/>
    <w:rsid w:val="003378A9"/>
    <w:rsid w:val="003378CB"/>
    <w:rsid w:val="003378EC"/>
    <w:rsid w:val="003379C1"/>
    <w:rsid w:val="003379FE"/>
    <w:rsid w:val="00337E4F"/>
    <w:rsid w:val="0034022A"/>
    <w:rsid w:val="0034036F"/>
    <w:rsid w:val="0034041C"/>
    <w:rsid w:val="00340472"/>
    <w:rsid w:val="00340566"/>
    <w:rsid w:val="003405A3"/>
    <w:rsid w:val="003405C9"/>
    <w:rsid w:val="003406D7"/>
    <w:rsid w:val="003407F0"/>
    <w:rsid w:val="003408AD"/>
    <w:rsid w:val="003408CD"/>
    <w:rsid w:val="003409BC"/>
    <w:rsid w:val="00340BF4"/>
    <w:rsid w:val="00340C3E"/>
    <w:rsid w:val="00340ECD"/>
    <w:rsid w:val="00340F9B"/>
    <w:rsid w:val="003411A8"/>
    <w:rsid w:val="003411CF"/>
    <w:rsid w:val="00341300"/>
    <w:rsid w:val="003418D9"/>
    <w:rsid w:val="003418F5"/>
    <w:rsid w:val="00341BA2"/>
    <w:rsid w:val="00341D58"/>
    <w:rsid w:val="00341DB4"/>
    <w:rsid w:val="00341DD1"/>
    <w:rsid w:val="003421D8"/>
    <w:rsid w:val="00342299"/>
    <w:rsid w:val="003423B4"/>
    <w:rsid w:val="003423D8"/>
    <w:rsid w:val="0034256E"/>
    <w:rsid w:val="0034261D"/>
    <w:rsid w:val="00342674"/>
    <w:rsid w:val="00342790"/>
    <w:rsid w:val="00342F80"/>
    <w:rsid w:val="003431BD"/>
    <w:rsid w:val="003433C7"/>
    <w:rsid w:val="0034346A"/>
    <w:rsid w:val="00343693"/>
    <w:rsid w:val="00343905"/>
    <w:rsid w:val="003439D5"/>
    <w:rsid w:val="00343A77"/>
    <w:rsid w:val="00343A7D"/>
    <w:rsid w:val="00343AA2"/>
    <w:rsid w:val="00343AF2"/>
    <w:rsid w:val="00343B59"/>
    <w:rsid w:val="00343CB7"/>
    <w:rsid w:val="00343CCE"/>
    <w:rsid w:val="00343DFB"/>
    <w:rsid w:val="00343EEA"/>
    <w:rsid w:val="00343F05"/>
    <w:rsid w:val="0034402B"/>
    <w:rsid w:val="0034409E"/>
    <w:rsid w:val="003440D4"/>
    <w:rsid w:val="00344175"/>
    <w:rsid w:val="003441EC"/>
    <w:rsid w:val="003442D9"/>
    <w:rsid w:val="0034458D"/>
    <w:rsid w:val="003447CC"/>
    <w:rsid w:val="00344868"/>
    <w:rsid w:val="00344DF9"/>
    <w:rsid w:val="00345182"/>
    <w:rsid w:val="003451ED"/>
    <w:rsid w:val="00345251"/>
    <w:rsid w:val="0034538E"/>
    <w:rsid w:val="0034554B"/>
    <w:rsid w:val="0034560E"/>
    <w:rsid w:val="00345780"/>
    <w:rsid w:val="00345871"/>
    <w:rsid w:val="00345A24"/>
    <w:rsid w:val="00345A40"/>
    <w:rsid w:val="00345A51"/>
    <w:rsid w:val="00345A86"/>
    <w:rsid w:val="00345C16"/>
    <w:rsid w:val="00345D14"/>
    <w:rsid w:val="00345D40"/>
    <w:rsid w:val="00345D70"/>
    <w:rsid w:val="00345F36"/>
    <w:rsid w:val="003461D8"/>
    <w:rsid w:val="0034628E"/>
    <w:rsid w:val="0034629B"/>
    <w:rsid w:val="00346528"/>
    <w:rsid w:val="0034653D"/>
    <w:rsid w:val="003465F6"/>
    <w:rsid w:val="003466DA"/>
    <w:rsid w:val="00346706"/>
    <w:rsid w:val="00346729"/>
    <w:rsid w:val="00346780"/>
    <w:rsid w:val="00346B34"/>
    <w:rsid w:val="00346D76"/>
    <w:rsid w:val="00346D8E"/>
    <w:rsid w:val="0034701F"/>
    <w:rsid w:val="003472E0"/>
    <w:rsid w:val="003475DB"/>
    <w:rsid w:val="003476BC"/>
    <w:rsid w:val="00347830"/>
    <w:rsid w:val="00347864"/>
    <w:rsid w:val="00347958"/>
    <w:rsid w:val="00347A96"/>
    <w:rsid w:val="00347AB8"/>
    <w:rsid w:val="00347DAE"/>
    <w:rsid w:val="00347E64"/>
    <w:rsid w:val="003501B7"/>
    <w:rsid w:val="003501FE"/>
    <w:rsid w:val="003505DD"/>
    <w:rsid w:val="00350655"/>
    <w:rsid w:val="003507E2"/>
    <w:rsid w:val="0035084D"/>
    <w:rsid w:val="00350861"/>
    <w:rsid w:val="003509BD"/>
    <w:rsid w:val="00350DF4"/>
    <w:rsid w:val="00350EF8"/>
    <w:rsid w:val="00351129"/>
    <w:rsid w:val="003512F7"/>
    <w:rsid w:val="00351305"/>
    <w:rsid w:val="0035131B"/>
    <w:rsid w:val="003515E6"/>
    <w:rsid w:val="0035160D"/>
    <w:rsid w:val="00351908"/>
    <w:rsid w:val="00351945"/>
    <w:rsid w:val="00351A03"/>
    <w:rsid w:val="00351A4C"/>
    <w:rsid w:val="00351A67"/>
    <w:rsid w:val="00351C4D"/>
    <w:rsid w:val="00351C53"/>
    <w:rsid w:val="00351C5D"/>
    <w:rsid w:val="00351CD5"/>
    <w:rsid w:val="00351EEB"/>
    <w:rsid w:val="003521D2"/>
    <w:rsid w:val="0035221D"/>
    <w:rsid w:val="003522B1"/>
    <w:rsid w:val="003526CC"/>
    <w:rsid w:val="003526E5"/>
    <w:rsid w:val="00352998"/>
    <w:rsid w:val="00352B0C"/>
    <w:rsid w:val="00352B32"/>
    <w:rsid w:val="00352CAE"/>
    <w:rsid w:val="00352E52"/>
    <w:rsid w:val="00352FA9"/>
    <w:rsid w:val="0035310A"/>
    <w:rsid w:val="0035317A"/>
    <w:rsid w:val="00353403"/>
    <w:rsid w:val="003536D4"/>
    <w:rsid w:val="003538C4"/>
    <w:rsid w:val="00353E1E"/>
    <w:rsid w:val="00354195"/>
    <w:rsid w:val="00354283"/>
    <w:rsid w:val="00354370"/>
    <w:rsid w:val="00354560"/>
    <w:rsid w:val="003545D2"/>
    <w:rsid w:val="003546E9"/>
    <w:rsid w:val="0035475D"/>
    <w:rsid w:val="00354A22"/>
    <w:rsid w:val="00354E90"/>
    <w:rsid w:val="0035508A"/>
    <w:rsid w:val="00355117"/>
    <w:rsid w:val="00355415"/>
    <w:rsid w:val="00355416"/>
    <w:rsid w:val="0035544B"/>
    <w:rsid w:val="003558C1"/>
    <w:rsid w:val="00355B54"/>
    <w:rsid w:val="00355B9F"/>
    <w:rsid w:val="00355BD9"/>
    <w:rsid w:val="00356134"/>
    <w:rsid w:val="0035669B"/>
    <w:rsid w:val="003567DB"/>
    <w:rsid w:val="0035692F"/>
    <w:rsid w:val="00356B04"/>
    <w:rsid w:val="00356C85"/>
    <w:rsid w:val="00356CC3"/>
    <w:rsid w:val="0035700E"/>
    <w:rsid w:val="00357108"/>
    <w:rsid w:val="00357204"/>
    <w:rsid w:val="0035720E"/>
    <w:rsid w:val="00357371"/>
    <w:rsid w:val="0035764F"/>
    <w:rsid w:val="00357685"/>
    <w:rsid w:val="0035776F"/>
    <w:rsid w:val="003577CB"/>
    <w:rsid w:val="003578B7"/>
    <w:rsid w:val="00357BD5"/>
    <w:rsid w:val="00357F3C"/>
    <w:rsid w:val="00360375"/>
    <w:rsid w:val="003606AB"/>
    <w:rsid w:val="003606EC"/>
    <w:rsid w:val="003607C7"/>
    <w:rsid w:val="00360F0D"/>
    <w:rsid w:val="00360FA4"/>
    <w:rsid w:val="003611A6"/>
    <w:rsid w:val="003612E6"/>
    <w:rsid w:val="00361368"/>
    <w:rsid w:val="00361391"/>
    <w:rsid w:val="003615B0"/>
    <w:rsid w:val="003616A3"/>
    <w:rsid w:val="003616B8"/>
    <w:rsid w:val="0036175E"/>
    <w:rsid w:val="003617DF"/>
    <w:rsid w:val="003618EA"/>
    <w:rsid w:val="00361A19"/>
    <w:rsid w:val="00361BD7"/>
    <w:rsid w:val="00361C14"/>
    <w:rsid w:val="00361E45"/>
    <w:rsid w:val="00361EF4"/>
    <w:rsid w:val="003620D4"/>
    <w:rsid w:val="00362B23"/>
    <w:rsid w:val="00362B4C"/>
    <w:rsid w:val="00362B53"/>
    <w:rsid w:val="00362B68"/>
    <w:rsid w:val="00362D08"/>
    <w:rsid w:val="00362E8C"/>
    <w:rsid w:val="00362ECD"/>
    <w:rsid w:val="00363131"/>
    <w:rsid w:val="0036320C"/>
    <w:rsid w:val="00363353"/>
    <w:rsid w:val="00363374"/>
    <w:rsid w:val="003634E7"/>
    <w:rsid w:val="00363644"/>
    <w:rsid w:val="00363651"/>
    <w:rsid w:val="0036371E"/>
    <w:rsid w:val="00363B40"/>
    <w:rsid w:val="00363DCC"/>
    <w:rsid w:val="00363DE2"/>
    <w:rsid w:val="00363F67"/>
    <w:rsid w:val="00364330"/>
    <w:rsid w:val="003644E2"/>
    <w:rsid w:val="00364B38"/>
    <w:rsid w:val="003654EF"/>
    <w:rsid w:val="0036558C"/>
    <w:rsid w:val="00365637"/>
    <w:rsid w:val="003656CC"/>
    <w:rsid w:val="00365B65"/>
    <w:rsid w:val="00365C1A"/>
    <w:rsid w:val="00365D26"/>
    <w:rsid w:val="00365FB1"/>
    <w:rsid w:val="003660D4"/>
    <w:rsid w:val="00366666"/>
    <w:rsid w:val="00366780"/>
    <w:rsid w:val="00366804"/>
    <w:rsid w:val="00366809"/>
    <w:rsid w:val="00366923"/>
    <w:rsid w:val="00366B9B"/>
    <w:rsid w:val="00366CBF"/>
    <w:rsid w:val="00366CCB"/>
    <w:rsid w:val="00366D56"/>
    <w:rsid w:val="00366DBE"/>
    <w:rsid w:val="00366F28"/>
    <w:rsid w:val="0036715F"/>
    <w:rsid w:val="0036729D"/>
    <w:rsid w:val="0036734B"/>
    <w:rsid w:val="003675A0"/>
    <w:rsid w:val="003675F9"/>
    <w:rsid w:val="003676CE"/>
    <w:rsid w:val="00367959"/>
    <w:rsid w:val="00367F2D"/>
    <w:rsid w:val="00367FB7"/>
    <w:rsid w:val="0037009F"/>
    <w:rsid w:val="003701EA"/>
    <w:rsid w:val="00370456"/>
    <w:rsid w:val="00370475"/>
    <w:rsid w:val="0037047A"/>
    <w:rsid w:val="00370559"/>
    <w:rsid w:val="0037063D"/>
    <w:rsid w:val="0037075F"/>
    <w:rsid w:val="00370838"/>
    <w:rsid w:val="003708C1"/>
    <w:rsid w:val="00370CFF"/>
    <w:rsid w:val="00370D3D"/>
    <w:rsid w:val="00370E5D"/>
    <w:rsid w:val="00370E63"/>
    <w:rsid w:val="00370EDB"/>
    <w:rsid w:val="00370FA7"/>
    <w:rsid w:val="003711BA"/>
    <w:rsid w:val="003711F3"/>
    <w:rsid w:val="00371322"/>
    <w:rsid w:val="00371409"/>
    <w:rsid w:val="00371843"/>
    <w:rsid w:val="003718D7"/>
    <w:rsid w:val="00371C72"/>
    <w:rsid w:val="00371C96"/>
    <w:rsid w:val="00371D1B"/>
    <w:rsid w:val="00371E36"/>
    <w:rsid w:val="00371E85"/>
    <w:rsid w:val="003723AD"/>
    <w:rsid w:val="0037251F"/>
    <w:rsid w:val="003725A7"/>
    <w:rsid w:val="00372899"/>
    <w:rsid w:val="003728FC"/>
    <w:rsid w:val="00372AB8"/>
    <w:rsid w:val="00372B70"/>
    <w:rsid w:val="00372CD2"/>
    <w:rsid w:val="00372CFC"/>
    <w:rsid w:val="00372D8B"/>
    <w:rsid w:val="00372F3B"/>
    <w:rsid w:val="00372F88"/>
    <w:rsid w:val="0037318B"/>
    <w:rsid w:val="0037328E"/>
    <w:rsid w:val="00373552"/>
    <w:rsid w:val="003736F5"/>
    <w:rsid w:val="0037376F"/>
    <w:rsid w:val="0037378A"/>
    <w:rsid w:val="003739A9"/>
    <w:rsid w:val="00373AC9"/>
    <w:rsid w:val="00373BAF"/>
    <w:rsid w:val="00373C5E"/>
    <w:rsid w:val="00373E8D"/>
    <w:rsid w:val="0037430D"/>
    <w:rsid w:val="00374448"/>
    <w:rsid w:val="003745F1"/>
    <w:rsid w:val="00374C2E"/>
    <w:rsid w:val="00374CBD"/>
    <w:rsid w:val="00374E1D"/>
    <w:rsid w:val="00374F2D"/>
    <w:rsid w:val="0037512B"/>
    <w:rsid w:val="003752DF"/>
    <w:rsid w:val="0037574E"/>
    <w:rsid w:val="003757CF"/>
    <w:rsid w:val="003757F5"/>
    <w:rsid w:val="00375A0F"/>
    <w:rsid w:val="00375C22"/>
    <w:rsid w:val="00375C74"/>
    <w:rsid w:val="00375D7F"/>
    <w:rsid w:val="00375D97"/>
    <w:rsid w:val="00375ECA"/>
    <w:rsid w:val="00375F31"/>
    <w:rsid w:val="00375F42"/>
    <w:rsid w:val="00376330"/>
    <w:rsid w:val="00376340"/>
    <w:rsid w:val="0037644F"/>
    <w:rsid w:val="00376653"/>
    <w:rsid w:val="00376938"/>
    <w:rsid w:val="00376A5F"/>
    <w:rsid w:val="00376BF2"/>
    <w:rsid w:val="00376C7A"/>
    <w:rsid w:val="00376C80"/>
    <w:rsid w:val="00376D86"/>
    <w:rsid w:val="00376D8B"/>
    <w:rsid w:val="00376D9A"/>
    <w:rsid w:val="00376E22"/>
    <w:rsid w:val="00376EF4"/>
    <w:rsid w:val="003770F4"/>
    <w:rsid w:val="00377138"/>
    <w:rsid w:val="003771A0"/>
    <w:rsid w:val="0037746B"/>
    <w:rsid w:val="0037762A"/>
    <w:rsid w:val="00377725"/>
    <w:rsid w:val="00377784"/>
    <w:rsid w:val="003778F2"/>
    <w:rsid w:val="0037791B"/>
    <w:rsid w:val="00377A4C"/>
    <w:rsid w:val="00377A96"/>
    <w:rsid w:val="00377AAF"/>
    <w:rsid w:val="00377CFE"/>
    <w:rsid w:val="00377D55"/>
    <w:rsid w:val="00377DB4"/>
    <w:rsid w:val="00377F83"/>
    <w:rsid w:val="0038011D"/>
    <w:rsid w:val="0038018C"/>
    <w:rsid w:val="003803B7"/>
    <w:rsid w:val="003803BB"/>
    <w:rsid w:val="00380409"/>
    <w:rsid w:val="00380458"/>
    <w:rsid w:val="0038088A"/>
    <w:rsid w:val="003808C8"/>
    <w:rsid w:val="003808F5"/>
    <w:rsid w:val="00380AFE"/>
    <w:rsid w:val="00380B5C"/>
    <w:rsid w:val="00380C3D"/>
    <w:rsid w:val="00380E92"/>
    <w:rsid w:val="00380F08"/>
    <w:rsid w:val="00380F33"/>
    <w:rsid w:val="0038119E"/>
    <w:rsid w:val="0038124D"/>
    <w:rsid w:val="00381255"/>
    <w:rsid w:val="003812C9"/>
    <w:rsid w:val="0038155C"/>
    <w:rsid w:val="00381622"/>
    <w:rsid w:val="003816F3"/>
    <w:rsid w:val="00381839"/>
    <w:rsid w:val="00381BDA"/>
    <w:rsid w:val="00381DD2"/>
    <w:rsid w:val="00382334"/>
    <w:rsid w:val="0038256C"/>
    <w:rsid w:val="0038266E"/>
    <w:rsid w:val="00382846"/>
    <w:rsid w:val="0038288E"/>
    <w:rsid w:val="00382899"/>
    <w:rsid w:val="00382AB2"/>
    <w:rsid w:val="00382C6D"/>
    <w:rsid w:val="00382CB2"/>
    <w:rsid w:val="00382D46"/>
    <w:rsid w:val="00382F83"/>
    <w:rsid w:val="0038324F"/>
    <w:rsid w:val="003832F0"/>
    <w:rsid w:val="00383328"/>
    <w:rsid w:val="003833AF"/>
    <w:rsid w:val="0038378E"/>
    <w:rsid w:val="0038382C"/>
    <w:rsid w:val="003838DA"/>
    <w:rsid w:val="00383BA9"/>
    <w:rsid w:val="00383ED6"/>
    <w:rsid w:val="00383FE4"/>
    <w:rsid w:val="0038458C"/>
    <w:rsid w:val="00384AA4"/>
    <w:rsid w:val="00384B0C"/>
    <w:rsid w:val="00384D1F"/>
    <w:rsid w:val="00384DA1"/>
    <w:rsid w:val="00385011"/>
    <w:rsid w:val="00385240"/>
    <w:rsid w:val="00385295"/>
    <w:rsid w:val="003852FD"/>
    <w:rsid w:val="00385576"/>
    <w:rsid w:val="0038569A"/>
    <w:rsid w:val="00385788"/>
    <w:rsid w:val="00385ABF"/>
    <w:rsid w:val="00385C3F"/>
    <w:rsid w:val="00385CCC"/>
    <w:rsid w:val="00385E95"/>
    <w:rsid w:val="0038610E"/>
    <w:rsid w:val="003862E5"/>
    <w:rsid w:val="003863EF"/>
    <w:rsid w:val="0038645F"/>
    <w:rsid w:val="003864F4"/>
    <w:rsid w:val="00386970"/>
    <w:rsid w:val="00387039"/>
    <w:rsid w:val="00387136"/>
    <w:rsid w:val="00387170"/>
    <w:rsid w:val="0038722D"/>
    <w:rsid w:val="003873E2"/>
    <w:rsid w:val="00387626"/>
    <w:rsid w:val="00387672"/>
    <w:rsid w:val="003878C0"/>
    <w:rsid w:val="00387B7D"/>
    <w:rsid w:val="00387DD5"/>
    <w:rsid w:val="00390105"/>
    <w:rsid w:val="0039038F"/>
    <w:rsid w:val="00390458"/>
    <w:rsid w:val="0039048E"/>
    <w:rsid w:val="0039055D"/>
    <w:rsid w:val="00390609"/>
    <w:rsid w:val="003909FC"/>
    <w:rsid w:val="00390BF0"/>
    <w:rsid w:val="00390C80"/>
    <w:rsid w:val="00390CC3"/>
    <w:rsid w:val="00390D29"/>
    <w:rsid w:val="00390F6C"/>
    <w:rsid w:val="00390FF9"/>
    <w:rsid w:val="00391027"/>
    <w:rsid w:val="0039102E"/>
    <w:rsid w:val="0039115D"/>
    <w:rsid w:val="003912D7"/>
    <w:rsid w:val="0039139F"/>
    <w:rsid w:val="00391519"/>
    <w:rsid w:val="0039159C"/>
    <w:rsid w:val="003915AA"/>
    <w:rsid w:val="003916CA"/>
    <w:rsid w:val="003916F2"/>
    <w:rsid w:val="0039173A"/>
    <w:rsid w:val="003918D5"/>
    <w:rsid w:val="00391952"/>
    <w:rsid w:val="00392288"/>
    <w:rsid w:val="003925CD"/>
    <w:rsid w:val="003925E8"/>
    <w:rsid w:val="003926FD"/>
    <w:rsid w:val="00392A0D"/>
    <w:rsid w:val="00392AAB"/>
    <w:rsid w:val="00392BF6"/>
    <w:rsid w:val="00392CC1"/>
    <w:rsid w:val="003933CB"/>
    <w:rsid w:val="0039343F"/>
    <w:rsid w:val="0039350B"/>
    <w:rsid w:val="00393569"/>
    <w:rsid w:val="003935F0"/>
    <w:rsid w:val="00393732"/>
    <w:rsid w:val="00393753"/>
    <w:rsid w:val="003937E9"/>
    <w:rsid w:val="0039394C"/>
    <w:rsid w:val="00393987"/>
    <w:rsid w:val="00393A73"/>
    <w:rsid w:val="00393D2C"/>
    <w:rsid w:val="00393D46"/>
    <w:rsid w:val="00393E71"/>
    <w:rsid w:val="00393F13"/>
    <w:rsid w:val="00394060"/>
    <w:rsid w:val="00394177"/>
    <w:rsid w:val="003943A6"/>
    <w:rsid w:val="0039444D"/>
    <w:rsid w:val="003945D8"/>
    <w:rsid w:val="0039470A"/>
    <w:rsid w:val="00394850"/>
    <w:rsid w:val="003948FC"/>
    <w:rsid w:val="00394A93"/>
    <w:rsid w:val="00394BB4"/>
    <w:rsid w:val="00394CE6"/>
    <w:rsid w:val="00394E20"/>
    <w:rsid w:val="00394E86"/>
    <w:rsid w:val="00394EFC"/>
    <w:rsid w:val="00394FBE"/>
    <w:rsid w:val="00395504"/>
    <w:rsid w:val="003955B8"/>
    <w:rsid w:val="003956F0"/>
    <w:rsid w:val="00395899"/>
    <w:rsid w:val="00395930"/>
    <w:rsid w:val="0039594D"/>
    <w:rsid w:val="003959EF"/>
    <w:rsid w:val="00395BBA"/>
    <w:rsid w:val="00395BC6"/>
    <w:rsid w:val="00396092"/>
    <w:rsid w:val="00396108"/>
    <w:rsid w:val="003961F9"/>
    <w:rsid w:val="003962E0"/>
    <w:rsid w:val="0039644E"/>
    <w:rsid w:val="0039648E"/>
    <w:rsid w:val="00396648"/>
    <w:rsid w:val="00396709"/>
    <w:rsid w:val="00396A70"/>
    <w:rsid w:val="00396A81"/>
    <w:rsid w:val="00396B77"/>
    <w:rsid w:val="00396EEA"/>
    <w:rsid w:val="003971D4"/>
    <w:rsid w:val="003972AD"/>
    <w:rsid w:val="00397390"/>
    <w:rsid w:val="003974B0"/>
    <w:rsid w:val="00397549"/>
    <w:rsid w:val="00397791"/>
    <w:rsid w:val="00397803"/>
    <w:rsid w:val="00397AAA"/>
    <w:rsid w:val="00397BB2"/>
    <w:rsid w:val="00397C5B"/>
    <w:rsid w:val="003A010F"/>
    <w:rsid w:val="003A0443"/>
    <w:rsid w:val="003A0496"/>
    <w:rsid w:val="003A06DA"/>
    <w:rsid w:val="003A0A00"/>
    <w:rsid w:val="003A0AC0"/>
    <w:rsid w:val="003A0CB5"/>
    <w:rsid w:val="003A0DA5"/>
    <w:rsid w:val="003A0F42"/>
    <w:rsid w:val="003A0F9E"/>
    <w:rsid w:val="003A0FF2"/>
    <w:rsid w:val="003A11B1"/>
    <w:rsid w:val="003A123A"/>
    <w:rsid w:val="003A1248"/>
    <w:rsid w:val="003A12B5"/>
    <w:rsid w:val="003A13F5"/>
    <w:rsid w:val="003A1651"/>
    <w:rsid w:val="003A17F6"/>
    <w:rsid w:val="003A18C8"/>
    <w:rsid w:val="003A19AE"/>
    <w:rsid w:val="003A1B10"/>
    <w:rsid w:val="003A1C2E"/>
    <w:rsid w:val="003A1C86"/>
    <w:rsid w:val="003A1C93"/>
    <w:rsid w:val="003A1D47"/>
    <w:rsid w:val="003A1FB1"/>
    <w:rsid w:val="003A2059"/>
    <w:rsid w:val="003A2337"/>
    <w:rsid w:val="003A239C"/>
    <w:rsid w:val="003A2470"/>
    <w:rsid w:val="003A2B05"/>
    <w:rsid w:val="003A2DBC"/>
    <w:rsid w:val="003A2EFA"/>
    <w:rsid w:val="003A2FAE"/>
    <w:rsid w:val="003A2FC5"/>
    <w:rsid w:val="003A303A"/>
    <w:rsid w:val="003A32D3"/>
    <w:rsid w:val="003A33EA"/>
    <w:rsid w:val="003A34B1"/>
    <w:rsid w:val="003A359F"/>
    <w:rsid w:val="003A381E"/>
    <w:rsid w:val="003A3AE3"/>
    <w:rsid w:val="003A3BD2"/>
    <w:rsid w:val="003A3EDF"/>
    <w:rsid w:val="003A40AC"/>
    <w:rsid w:val="003A4238"/>
    <w:rsid w:val="003A424D"/>
    <w:rsid w:val="003A431A"/>
    <w:rsid w:val="003A46FA"/>
    <w:rsid w:val="003A47A4"/>
    <w:rsid w:val="003A48D1"/>
    <w:rsid w:val="003A4A99"/>
    <w:rsid w:val="003A4B71"/>
    <w:rsid w:val="003A4CD8"/>
    <w:rsid w:val="003A4DBC"/>
    <w:rsid w:val="003A5247"/>
    <w:rsid w:val="003A53DB"/>
    <w:rsid w:val="003A581B"/>
    <w:rsid w:val="003A5A94"/>
    <w:rsid w:val="003A5F67"/>
    <w:rsid w:val="003A6362"/>
    <w:rsid w:val="003A656E"/>
    <w:rsid w:val="003A674E"/>
    <w:rsid w:val="003A68A7"/>
    <w:rsid w:val="003A697D"/>
    <w:rsid w:val="003A6AC0"/>
    <w:rsid w:val="003A6ADF"/>
    <w:rsid w:val="003A6BB5"/>
    <w:rsid w:val="003A6BE9"/>
    <w:rsid w:val="003A6CE7"/>
    <w:rsid w:val="003A6D7E"/>
    <w:rsid w:val="003A6E26"/>
    <w:rsid w:val="003A700E"/>
    <w:rsid w:val="003A714C"/>
    <w:rsid w:val="003A71C1"/>
    <w:rsid w:val="003A723A"/>
    <w:rsid w:val="003A7397"/>
    <w:rsid w:val="003A74FD"/>
    <w:rsid w:val="003A7532"/>
    <w:rsid w:val="003A7616"/>
    <w:rsid w:val="003A7849"/>
    <w:rsid w:val="003A7A25"/>
    <w:rsid w:val="003B0067"/>
    <w:rsid w:val="003B0306"/>
    <w:rsid w:val="003B03F8"/>
    <w:rsid w:val="003B0537"/>
    <w:rsid w:val="003B08C9"/>
    <w:rsid w:val="003B0A8C"/>
    <w:rsid w:val="003B0B00"/>
    <w:rsid w:val="003B0B2D"/>
    <w:rsid w:val="003B0BA6"/>
    <w:rsid w:val="003B0BEA"/>
    <w:rsid w:val="003B0CB6"/>
    <w:rsid w:val="003B0D57"/>
    <w:rsid w:val="003B0E8C"/>
    <w:rsid w:val="003B0F4C"/>
    <w:rsid w:val="003B11DA"/>
    <w:rsid w:val="003B1215"/>
    <w:rsid w:val="003B14AE"/>
    <w:rsid w:val="003B167B"/>
    <w:rsid w:val="003B168C"/>
    <w:rsid w:val="003B19BF"/>
    <w:rsid w:val="003B1A3E"/>
    <w:rsid w:val="003B1BDD"/>
    <w:rsid w:val="003B1CD6"/>
    <w:rsid w:val="003B201D"/>
    <w:rsid w:val="003B2041"/>
    <w:rsid w:val="003B25F3"/>
    <w:rsid w:val="003B2644"/>
    <w:rsid w:val="003B2967"/>
    <w:rsid w:val="003B2CA7"/>
    <w:rsid w:val="003B2D69"/>
    <w:rsid w:val="003B2FAC"/>
    <w:rsid w:val="003B30A3"/>
    <w:rsid w:val="003B3186"/>
    <w:rsid w:val="003B3531"/>
    <w:rsid w:val="003B356C"/>
    <w:rsid w:val="003B37AA"/>
    <w:rsid w:val="003B38F3"/>
    <w:rsid w:val="003B39D5"/>
    <w:rsid w:val="003B3AAC"/>
    <w:rsid w:val="003B3B75"/>
    <w:rsid w:val="003B3B82"/>
    <w:rsid w:val="003B3CE3"/>
    <w:rsid w:val="003B3D64"/>
    <w:rsid w:val="003B3ED7"/>
    <w:rsid w:val="003B40DD"/>
    <w:rsid w:val="003B434C"/>
    <w:rsid w:val="003B4554"/>
    <w:rsid w:val="003B4563"/>
    <w:rsid w:val="003B474F"/>
    <w:rsid w:val="003B4756"/>
    <w:rsid w:val="003B47FB"/>
    <w:rsid w:val="003B4AE1"/>
    <w:rsid w:val="003B4E06"/>
    <w:rsid w:val="003B4E54"/>
    <w:rsid w:val="003B4EC6"/>
    <w:rsid w:val="003B4F5D"/>
    <w:rsid w:val="003B4FCC"/>
    <w:rsid w:val="003B509B"/>
    <w:rsid w:val="003B5233"/>
    <w:rsid w:val="003B555F"/>
    <w:rsid w:val="003B55D2"/>
    <w:rsid w:val="003B57DA"/>
    <w:rsid w:val="003B5A23"/>
    <w:rsid w:val="003B5EF1"/>
    <w:rsid w:val="003B6110"/>
    <w:rsid w:val="003B614F"/>
    <w:rsid w:val="003B6769"/>
    <w:rsid w:val="003B6906"/>
    <w:rsid w:val="003B695C"/>
    <w:rsid w:val="003B6C20"/>
    <w:rsid w:val="003B6EF6"/>
    <w:rsid w:val="003B7213"/>
    <w:rsid w:val="003B73E8"/>
    <w:rsid w:val="003B73ED"/>
    <w:rsid w:val="003B7406"/>
    <w:rsid w:val="003B782D"/>
    <w:rsid w:val="003B792A"/>
    <w:rsid w:val="003B799E"/>
    <w:rsid w:val="003B79D4"/>
    <w:rsid w:val="003B7AAD"/>
    <w:rsid w:val="003B7B1D"/>
    <w:rsid w:val="003B7B32"/>
    <w:rsid w:val="003B7BA7"/>
    <w:rsid w:val="003B7DC6"/>
    <w:rsid w:val="003B7E4D"/>
    <w:rsid w:val="003B7FB5"/>
    <w:rsid w:val="003B7FD4"/>
    <w:rsid w:val="003C00BC"/>
    <w:rsid w:val="003C01F7"/>
    <w:rsid w:val="003C0630"/>
    <w:rsid w:val="003C06DE"/>
    <w:rsid w:val="003C0817"/>
    <w:rsid w:val="003C0C10"/>
    <w:rsid w:val="003C0F76"/>
    <w:rsid w:val="003C0FCB"/>
    <w:rsid w:val="003C10A1"/>
    <w:rsid w:val="003C10EE"/>
    <w:rsid w:val="003C117C"/>
    <w:rsid w:val="003C1429"/>
    <w:rsid w:val="003C173A"/>
    <w:rsid w:val="003C1855"/>
    <w:rsid w:val="003C195F"/>
    <w:rsid w:val="003C19E0"/>
    <w:rsid w:val="003C1A60"/>
    <w:rsid w:val="003C1CCE"/>
    <w:rsid w:val="003C1EA2"/>
    <w:rsid w:val="003C1F34"/>
    <w:rsid w:val="003C22EE"/>
    <w:rsid w:val="003C28C0"/>
    <w:rsid w:val="003C2949"/>
    <w:rsid w:val="003C29F0"/>
    <w:rsid w:val="003C2A4D"/>
    <w:rsid w:val="003C2A7E"/>
    <w:rsid w:val="003C2AD1"/>
    <w:rsid w:val="003C2B0E"/>
    <w:rsid w:val="003C2BC5"/>
    <w:rsid w:val="003C2DF4"/>
    <w:rsid w:val="003C2E10"/>
    <w:rsid w:val="003C2F55"/>
    <w:rsid w:val="003C311A"/>
    <w:rsid w:val="003C314D"/>
    <w:rsid w:val="003C31F2"/>
    <w:rsid w:val="003C3278"/>
    <w:rsid w:val="003C33FD"/>
    <w:rsid w:val="003C3786"/>
    <w:rsid w:val="003C399B"/>
    <w:rsid w:val="003C3B62"/>
    <w:rsid w:val="003C3C4B"/>
    <w:rsid w:val="003C3DDD"/>
    <w:rsid w:val="003C3E74"/>
    <w:rsid w:val="003C410A"/>
    <w:rsid w:val="003C4120"/>
    <w:rsid w:val="003C419B"/>
    <w:rsid w:val="003C43D6"/>
    <w:rsid w:val="003C45F8"/>
    <w:rsid w:val="003C4720"/>
    <w:rsid w:val="003C4835"/>
    <w:rsid w:val="003C486A"/>
    <w:rsid w:val="003C4873"/>
    <w:rsid w:val="003C492F"/>
    <w:rsid w:val="003C4B3D"/>
    <w:rsid w:val="003C4BB5"/>
    <w:rsid w:val="003C4E84"/>
    <w:rsid w:val="003C4EA6"/>
    <w:rsid w:val="003C5063"/>
    <w:rsid w:val="003C5175"/>
    <w:rsid w:val="003C51FB"/>
    <w:rsid w:val="003C536F"/>
    <w:rsid w:val="003C5410"/>
    <w:rsid w:val="003C5602"/>
    <w:rsid w:val="003C57CB"/>
    <w:rsid w:val="003C58C3"/>
    <w:rsid w:val="003C5B63"/>
    <w:rsid w:val="003C5B99"/>
    <w:rsid w:val="003C5BB9"/>
    <w:rsid w:val="003C5BE0"/>
    <w:rsid w:val="003C6225"/>
    <w:rsid w:val="003C629B"/>
    <w:rsid w:val="003C62FB"/>
    <w:rsid w:val="003C65E8"/>
    <w:rsid w:val="003C6827"/>
    <w:rsid w:val="003C689E"/>
    <w:rsid w:val="003C6A04"/>
    <w:rsid w:val="003C6A20"/>
    <w:rsid w:val="003C6A96"/>
    <w:rsid w:val="003C6BFB"/>
    <w:rsid w:val="003C6C18"/>
    <w:rsid w:val="003C6C25"/>
    <w:rsid w:val="003C6DE0"/>
    <w:rsid w:val="003C70A9"/>
    <w:rsid w:val="003C71EC"/>
    <w:rsid w:val="003C7338"/>
    <w:rsid w:val="003C7573"/>
    <w:rsid w:val="003C78D4"/>
    <w:rsid w:val="003C7C6F"/>
    <w:rsid w:val="003C7EEC"/>
    <w:rsid w:val="003C7F4A"/>
    <w:rsid w:val="003C7FEB"/>
    <w:rsid w:val="003C7FF7"/>
    <w:rsid w:val="003D0254"/>
    <w:rsid w:val="003D02D4"/>
    <w:rsid w:val="003D070F"/>
    <w:rsid w:val="003D072F"/>
    <w:rsid w:val="003D07CC"/>
    <w:rsid w:val="003D07F9"/>
    <w:rsid w:val="003D091D"/>
    <w:rsid w:val="003D0951"/>
    <w:rsid w:val="003D0AC9"/>
    <w:rsid w:val="003D0B81"/>
    <w:rsid w:val="003D0D45"/>
    <w:rsid w:val="003D0D55"/>
    <w:rsid w:val="003D0F92"/>
    <w:rsid w:val="003D10A4"/>
    <w:rsid w:val="003D1200"/>
    <w:rsid w:val="003D1324"/>
    <w:rsid w:val="003D160E"/>
    <w:rsid w:val="003D1908"/>
    <w:rsid w:val="003D19AF"/>
    <w:rsid w:val="003D1A4D"/>
    <w:rsid w:val="003D1A9E"/>
    <w:rsid w:val="003D1B1B"/>
    <w:rsid w:val="003D1B62"/>
    <w:rsid w:val="003D1C0E"/>
    <w:rsid w:val="003D1CB8"/>
    <w:rsid w:val="003D1E0A"/>
    <w:rsid w:val="003D1F4B"/>
    <w:rsid w:val="003D1FDA"/>
    <w:rsid w:val="003D2130"/>
    <w:rsid w:val="003D22AC"/>
    <w:rsid w:val="003D247F"/>
    <w:rsid w:val="003D2AB2"/>
    <w:rsid w:val="003D2B25"/>
    <w:rsid w:val="003D2B90"/>
    <w:rsid w:val="003D2C07"/>
    <w:rsid w:val="003D2C65"/>
    <w:rsid w:val="003D2C8E"/>
    <w:rsid w:val="003D2D53"/>
    <w:rsid w:val="003D2F6D"/>
    <w:rsid w:val="003D33DD"/>
    <w:rsid w:val="003D3437"/>
    <w:rsid w:val="003D395A"/>
    <w:rsid w:val="003D3BF3"/>
    <w:rsid w:val="003D3DEB"/>
    <w:rsid w:val="003D3EC4"/>
    <w:rsid w:val="003D3F5E"/>
    <w:rsid w:val="003D3FA8"/>
    <w:rsid w:val="003D4040"/>
    <w:rsid w:val="003D40E9"/>
    <w:rsid w:val="003D4121"/>
    <w:rsid w:val="003D41A9"/>
    <w:rsid w:val="003D42F0"/>
    <w:rsid w:val="003D4378"/>
    <w:rsid w:val="003D4528"/>
    <w:rsid w:val="003D4611"/>
    <w:rsid w:val="003D4807"/>
    <w:rsid w:val="003D48E5"/>
    <w:rsid w:val="003D492E"/>
    <w:rsid w:val="003D4C8D"/>
    <w:rsid w:val="003D53A4"/>
    <w:rsid w:val="003D563D"/>
    <w:rsid w:val="003D577A"/>
    <w:rsid w:val="003D585E"/>
    <w:rsid w:val="003D5878"/>
    <w:rsid w:val="003D5AE5"/>
    <w:rsid w:val="003D5CA3"/>
    <w:rsid w:val="003D62CA"/>
    <w:rsid w:val="003D62DE"/>
    <w:rsid w:val="003D62FA"/>
    <w:rsid w:val="003D660F"/>
    <w:rsid w:val="003D69B7"/>
    <w:rsid w:val="003D69FC"/>
    <w:rsid w:val="003D6C8A"/>
    <w:rsid w:val="003D6DB5"/>
    <w:rsid w:val="003D6EA8"/>
    <w:rsid w:val="003D6F73"/>
    <w:rsid w:val="003D72C9"/>
    <w:rsid w:val="003D72F6"/>
    <w:rsid w:val="003D7438"/>
    <w:rsid w:val="003D7445"/>
    <w:rsid w:val="003D749F"/>
    <w:rsid w:val="003D7729"/>
    <w:rsid w:val="003D7735"/>
    <w:rsid w:val="003D77E4"/>
    <w:rsid w:val="003D7CCB"/>
    <w:rsid w:val="003D7D09"/>
    <w:rsid w:val="003D7DB1"/>
    <w:rsid w:val="003D7E66"/>
    <w:rsid w:val="003E0115"/>
    <w:rsid w:val="003E0192"/>
    <w:rsid w:val="003E01B4"/>
    <w:rsid w:val="003E0208"/>
    <w:rsid w:val="003E0796"/>
    <w:rsid w:val="003E089B"/>
    <w:rsid w:val="003E0B70"/>
    <w:rsid w:val="003E0B91"/>
    <w:rsid w:val="003E0DB5"/>
    <w:rsid w:val="003E0DB7"/>
    <w:rsid w:val="003E0DD4"/>
    <w:rsid w:val="003E0EE8"/>
    <w:rsid w:val="003E0F24"/>
    <w:rsid w:val="003E1600"/>
    <w:rsid w:val="003E1788"/>
    <w:rsid w:val="003E17AB"/>
    <w:rsid w:val="003E180B"/>
    <w:rsid w:val="003E18FD"/>
    <w:rsid w:val="003E1A2C"/>
    <w:rsid w:val="003E1C57"/>
    <w:rsid w:val="003E1FC7"/>
    <w:rsid w:val="003E21E6"/>
    <w:rsid w:val="003E29A4"/>
    <w:rsid w:val="003E2B10"/>
    <w:rsid w:val="003E2EAC"/>
    <w:rsid w:val="003E2F0A"/>
    <w:rsid w:val="003E2FCB"/>
    <w:rsid w:val="003E31F7"/>
    <w:rsid w:val="003E3384"/>
    <w:rsid w:val="003E3395"/>
    <w:rsid w:val="003E33C6"/>
    <w:rsid w:val="003E3439"/>
    <w:rsid w:val="003E357D"/>
    <w:rsid w:val="003E3705"/>
    <w:rsid w:val="003E383A"/>
    <w:rsid w:val="003E3CB7"/>
    <w:rsid w:val="003E3EDF"/>
    <w:rsid w:val="003E3F9A"/>
    <w:rsid w:val="003E4151"/>
    <w:rsid w:val="003E4835"/>
    <w:rsid w:val="003E4900"/>
    <w:rsid w:val="003E4B6B"/>
    <w:rsid w:val="003E4C06"/>
    <w:rsid w:val="003E4D85"/>
    <w:rsid w:val="003E4EF2"/>
    <w:rsid w:val="003E512A"/>
    <w:rsid w:val="003E541F"/>
    <w:rsid w:val="003E5504"/>
    <w:rsid w:val="003E551B"/>
    <w:rsid w:val="003E5530"/>
    <w:rsid w:val="003E579C"/>
    <w:rsid w:val="003E5A18"/>
    <w:rsid w:val="003E5B19"/>
    <w:rsid w:val="003E5CE6"/>
    <w:rsid w:val="003E5D0C"/>
    <w:rsid w:val="003E5E6F"/>
    <w:rsid w:val="003E5E72"/>
    <w:rsid w:val="003E5EE0"/>
    <w:rsid w:val="003E66C5"/>
    <w:rsid w:val="003E67F3"/>
    <w:rsid w:val="003E68BF"/>
    <w:rsid w:val="003E6C42"/>
    <w:rsid w:val="003E6F3D"/>
    <w:rsid w:val="003E728F"/>
    <w:rsid w:val="003E73D7"/>
    <w:rsid w:val="003E74EC"/>
    <w:rsid w:val="003E7539"/>
    <w:rsid w:val="003E75BE"/>
    <w:rsid w:val="003E766B"/>
    <w:rsid w:val="003E7805"/>
    <w:rsid w:val="003E7832"/>
    <w:rsid w:val="003E78D4"/>
    <w:rsid w:val="003E7AE0"/>
    <w:rsid w:val="003E7B5F"/>
    <w:rsid w:val="003E7BB6"/>
    <w:rsid w:val="003E7C61"/>
    <w:rsid w:val="003E7CBC"/>
    <w:rsid w:val="003E7E36"/>
    <w:rsid w:val="003F0307"/>
    <w:rsid w:val="003F041C"/>
    <w:rsid w:val="003F051E"/>
    <w:rsid w:val="003F06F8"/>
    <w:rsid w:val="003F0762"/>
    <w:rsid w:val="003F076B"/>
    <w:rsid w:val="003F0783"/>
    <w:rsid w:val="003F09AA"/>
    <w:rsid w:val="003F0F3C"/>
    <w:rsid w:val="003F0FDC"/>
    <w:rsid w:val="003F119A"/>
    <w:rsid w:val="003F1207"/>
    <w:rsid w:val="003F144F"/>
    <w:rsid w:val="003F1546"/>
    <w:rsid w:val="003F1627"/>
    <w:rsid w:val="003F1659"/>
    <w:rsid w:val="003F171A"/>
    <w:rsid w:val="003F1BCD"/>
    <w:rsid w:val="003F1CF0"/>
    <w:rsid w:val="003F1F54"/>
    <w:rsid w:val="003F20FE"/>
    <w:rsid w:val="003F264E"/>
    <w:rsid w:val="003F26B6"/>
    <w:rsid w:val="003F2703"/>
    <w:rsid w:val="003F2882"/>
    <w:rsid w:val="003F2CA8"/>
    <w:rsid w:val="003F2D3E"/>
    <w:rsid w:val="003F3294"/>
    <w:rsid w:val="003F3383"/>
    <w:rsid w:val="003F35BE"/>
    <w:rsid w:val="003F35D5"/>
    <w:rsid w:val="003F362B"/>
    <w:rsid w:val="003F3766"/>
    <w:rsid w:val="003F389D"/>
    <w:rsid w:val="003F3979"/>
    <w:rsid w:val="003F399E"/>
    <w:rsid w:val="003F39E5"/>
    <w:rsid w:val="003F3F2C"/>
    <w:rsid w:val="003F42E5"/>
    <w:rsid w:val="003F4380"/>
    <w:rsid w:val="003F44A3"/>
    <w:rsid w:val="003F45F8"/>
    <w:rsid w:val="003F4808"/>
    <w:rsid w:val="003F4AD6"/>
    <w:rsid w:val="003F4B70"/>
    <w:rsid w:val="003F4BA0"/>
    <w:rsid w:val="003F4D2A"/>
    <w:rsid w:val="003F4DE6"/>
    <w:rsid w:val="003F4F4D"/>
    <w:rsid w:val="003F52DD"/>
    <w:rsid w:val="003F5428"/>
    <w:rsid w:val="003F5628"/>
    <w:rsid w:val="003F59A6"/>
    <w:rsid w:val="003F5A73"/>
    <w:rsid w:val="003F5AB6"/>
    <w:rsid w:val="003F5C53"/>
    <w:rsid w:val="003F5E70"/>
    <w:rsid w:val="003F60AE"/>
    <w:rsid w:val="003F6397"/>
    <w:rsid w:val="003F64B4"/>
    <w:rsid w:val="003F65DC"/>
    <w:rsid w:val="003F663D"/>
    <w:rsid w:val="003F667B"/>
    <w:rsid w:val="003F6C9C"/>
    <w:rsid w:val="003F6D45"/>
    <w:rsid w:val="003F6ECB"/>
    <w:rsid w:val="003F6F07"/>
    <w:rsid w:val="003F7001"/>
    <w:rsid w:val="003F7032"/>
    <w:rsid w:val="003F704E"/>
    <w:rsid w:val="003F7120"/>
    <w:rsid w:val="003F71E3"/>
    <w:rsid w:val="003F7329"/>
    <w:rsid w:val="003F7463"/>
    <w:rsid w:val="003F7673"/>
    <w:rsid w:val="003F7723"/>
    <w:rsid w:val="003F78C3"/>
    <w:rsid w:val="003F7A1C"/>
    <w:rsid w:val="003F7D2B"/>
    <w:rsid w:val="003F7DB5"/>
    <w:rsid w:val="00400216"/>
    <w:rsid w:val="00400506"/>
    <w:rsid w:val="00400769"/>
    <w:rsid w:val="004007D6"/>
    <w:rsid w:val="00400B2E"/>
    <w:rsid w:val="00400B9A"/>
    <w:rsid w:val="00400D2E"/>
    <w:rsid w:val="00400D3A"/>
    <w:rsid w:val="00401164"/>
    <w:rsid w:val="004011DA"/>
    <w:rsid w:val="00401562"/>
    <w:rsid w:val="00401648"/>
    <w:rsid w:val="0040176B"/>
    <w:rsid w:val="00401D91"/>
    <w:rsid w:val="00401E52"/>
    <w:rsid w:val="00401E7B"/>
    <w:rsid w:val="004020F7"/>
    <w:rsid w:val="004025FF"/>
    <w:rsid w:val="00402605"/>
    <w:rsid w:val="004026B0"/>
    <w:rsid w:val="004027A5"/>
    <w:rsid w:val="00402908"/>
    <w:rsid w:val="004029B9"/>
    <w:rsid w:val="004029E3"/>
    <w:rsid w:val="00402B21"/>
    <w:rsid w:val="00402F4E"/>
    <w:rsid w:val="00403156"/>
    <w:rsid w:val="0040350C"/>
    <w:rsid w:val="00403514"/>
    <w:rsid w:val="00403794"/>
    <w:rsid w:val="00403936"/>
    <w:rsid w:val="00403D76"/>
    <w:rsid w:val="00403F4B"/>
    <w:rsid w:val="00403F87"/>
    <w:rsid w:val="0040434D"/>
    <w:rsid w:val="00404372"/>
    <w:rsid w:val="0040439A"/>
    <w:rsid w:val="0040454D"/>
    <w:rsid w:val="00404672"/>
    <w:rsid w:val="00404730"/>
    <w:rsid w:val="0040494E"/>
    <w:rsid w:val="00404BC1"/>
    <w:rsid w:val="00404D92"/>
    <w:rsid w:val="00404E8D"/>
    <w:rsid w:val="00405132"/>
    <w:rsid w:val="0040541F"/>
    <w:rsid w:val="00405806"/>
    <w:rsid w:val="00405B89"/>
    <w:rsid w:val="00405F80"/>
    <w:rsid w:val="004063E6"/>
    <w:rsid w:val="00406423"/>
    <w:rsid w:val="0040647F"/>
    <w:rsid w:val="00406542"/>
    <w:rsid w:val="00406740"/>
    <w:rsid w:val="0040684E"/>
    <w:rsid w:val="004068DC"/>
    <w:rsid w:val="00406A3C"/>
    <w:rsid w:val="00406CE3"/>
    <w:rsid w:val="00406F89"/>
    <w:rsid w:val="00407689"/>
    <w:rsid w:val="004077E1"/>
    <w:rsid w:val="004078E8"/>
    <w:rsid w:val="004078EB"/>
    <w:rsid w:val="00407979"/>
    <w:rsid w:val="00407ACE"/>
    <w:rsid w:val="00407B28"/>
    <w:rsid w:val="00407BEC"/>
    <w:rsid w:val="00407D25"/>
    <w:rsid w:val="00407D89"/>
    <w:rsid w:val="00407FC3"/>
    <w:rsid w:val="00410058"/>
    <w:rsid w:val="004100DD"/>
    <w:rsid w:val="0041028B"/>
    <w:rsid w:val="004102D7"/>
    <w:rsid w:val="0041030C"/>
    <w:rsid w:val="00410515"/>
    <w:rsid w:val="004106BD"/>
    <w:rsid w:val="00410790"/>
    <w:rsid w:val="0041096F"/>
    <w:rsid w:val="00410D3F"/>
    <w:rsid w:val="00410F05"/>
    <w:rsid w:val="00410F2B"/>
    <w:rsid w:val="004111C3"/>
    <w:rsid w:val="00411207"/>
    <w:rsid w:val="00411399"/>
    <w:rsid w:val="00411496"/>
    <w:rsid w:val="004115D7"/>
    <w:rsid w:val="004115E2"/>
    <w:rsid w:val="00411619"/>
    <w:rsid w:val="0041199F"/>
    <w:rsid w:val="004119FD"/>
    <w:rsid w:val="00411A9D"/>
    <w:rsid w:val="00411AA3"/>
    <w:rsid w:val="00411C34"/>
    <w:rsid w:val="00411DF1"/>
    <w:rsid w:val="00411EBB"/>
    <w:rsid w:val="00412279"/>
    <w:rsid w:val="00412317"/>
    <w:rsid w:val="00412322"/>
    <w:rsid w:val="004123FA"/>
    <w:rsid w:val="00412430"/>
    <w:rsid w:val="004124AF"/>
    <w:rsid w:val="004125F4"/>
    <w:rsid w:val="00412687"/>
    <w:rsid w:val="0041270F"/>
    <w:rsid w:val="00412A84"/>
    <w:rsid w:val="00412AF1"/>
    <w:rsid w:val="00412E07"/>
    <w:rsid w:val="00412E98"/>
    <w:rsid w:val="004130D1"/>
    <w:rsid w:val="0041313E"/>
    <w:rsid w:val="004131E4"/>
    <w:rsid w:val="00413375"/>
    <w:rsid w:val="00413750"/>
    <w:rsid w:val="00413A19"/>
    <w:rsid w:val="00413AB3"/>
    <w:rsid w:val="00413E09"/>
    <w:rsid w:val="00413FC4"/>
    <w:rsid w:val="004141AA"/>
    <w:rsid w:val="004144C5"/>
    <w:rsid w:val="004145FD"/>
    <w:rsid w:val="00414959"/>
    <w:rsid w:val="00414A4A"/>
    <w:rsid w:val="00414D00"/>
    <w:rsid w:val="004150F9"/>
    <w:rsid w:val="00415113"/>
    <w:rsid w:val="0041526F"/>
    <w:rsid w:val="00415489"/>
    <w:rsid w:val="004155B7"/>
    <w:rsid w:val="0041566B"/>
    <w:rsid w:val="00415671"/>
    <w:rsid w:val="004156A7"/>
    <w:rsid w:val="00415A8C"/>
    <w:rsid w:val="00415B0B"/>
    <w:rsid w:val="00415EDE"/>
    <w:rsid w:val="00415F6E"/>
    <w:rsid w:val="00415FAF"/>
    <w:rsid w:val="00416115"/>
    <w:rsid w:val="00416A29"/>
    <w:rsid w:val="00416D3E"/>
    <w:rsid w:val="00416D7B"/>
    <w:rsid w:val="00416F30"/>
    <w:rsid w:val="00416F5C"/>
    <w:rsid w:val="0041722F"/>
    <w:rsid w:val="004173C2"/>
    <w:rsid w:val="0041743F"/>
    <w:rsid w:val="00417B01"/>
    <w:rsid w:val="00417B0C"/>
    <w:rsid w:val="00417E92"/>
    <w:rsid w:val="0042030B"/>
    <w:rsid w:val="0042035E"/>
    <w:rsid w:val="004204C0"/>
    <w:rsid w:val="0042069C"/>
    <w:rsid w:val="00420854"/>
    <w:rsid w:val="00420A61"/>
    <w:rsid w:val="00420C97"/>
    <w:rsid w:val="00420CC2"/>
    <w:rsid w:val="0042103E"/>
    <w:rsid w:val="00421162"/>
    <w:rsid w:val="0042121F"/>
    <w:rsid w:val="0042124E"/>
    <w:rsid w:val="00421430"/>
    <w:rsid w:val="00421A5D"/>
    <w:rsid w:val="00421EB7"/>
    <w:rsid w:val="00421EC9"/>
    <w:rsid w:val="004220C2"/>
    <w:rsid w:val="0042215B"/>
    <w:rsid w:val="0042218C"/>
    <w:rsid w:val="004225C1"/>
    <w:rsid w:val="0042261C"/>
    <w:rsid w:val="004226F3"/>
    <w:rsid w:val="0042281B"/>
    <w:rsid w:val="00422A5E"/>
    <w:rsid w:val="00422AD4"/>
    <w:rsid w:val="00422BF4"/>
    <w:rsid w:val="00422C7B"/>
    <w:rsid w:val="00422D0F"/>
    <w:rsid w:val="004231CA"/>
    <w:rsid w:val="00423309"/>
    <w:rsid w:val="004233FA"/>
    <w:rsid w:val="0042358F"/>
    <w:rsid w:val="004235A5"/>
    <w:rsid w:val="004239DF"/>
    <w:rsid w:val="00423A57"/>
    <w:rsid w:val="00423C4F"/>
    <w:rsid w:val="00423FCA"/>
    <w:rsid w:val="00424116"/>
    <w:rsid w:val="0042415E"/>
    <w:rsid w:val="004244BF"/>
    <w:rsid w:val="004245B7"/>
    <w:rsid w:val="0042478E"/>
    <w:rsid w:val="00424860"/>
    <w:rsid w:val="0042493F"/>
    <w:rsid w:val="00424AC5"/>
    <w:rsid w:val="00424B3F"/>
    <w:rsid w:val="00424E4F"/>
    <w:rsid w:val="00425125"/>
    <w:rsid w:val="004256AE"/>
    <w:rsid w:val="00425955"/>
    <w:rsid w:val="00425A71"/>
    <w:rsid w:val="00426043"/>
    <w:rsid w:val="004262D5"/>
    <w:rsid w:val="004262D9"/>
    <w:rsid w:val="004266B8"/>
    <w:rsid w:val="00426722"/>
    <w:rsid w:val="004267C1"/>
    <w:rsid w:val="00426827"/>
    <w:rsid w:val="00426A76"/>
    <w:rsid w:val="00426AA7"/>
    <w:rsid w:val="00426AF8"/>
    <w:rsid w:val="00426BA3"/>
    <w:rsid w:val="00426D9C"/>
    <w:rsid w:val="00426E25"/>
    <w:rsid w:val="00426E44"/>
    <w:rsid w:val="00426F9C"/>
    <w:rsid w:val="00426FC2"/>
    <w:rsid w:val="00427178"/>
    <w:rsid w:val="0042727D"/>
    <w:rsid w:val="004272DC"/>
    <w:rsid w:val="00427509"/>
    <w:rsid w:val="0042776F"/>
    <w:rsid w:val="00427822"/>
    <w:rsid w:val="00427921"/>
    <w:rsid w:val="004279F3"/>
    <w:rsid w:val="00427A0F"/>
    <w:rsid w:val="00427FC7"/>
    <w:rsid w:val="0043009D"/>
    <w:rsid w:val="004300F4"/>
    <w:rsid w:val="00430326"/>
    <w:rsid w:val="0043069E"/>
    <w:rsid w:val="004306C2"/>
    <w:rsid w:val="00430806"/>
    <w:rsid w:val="0043099D"/>
    <w:rsid w:val="00430B5C"/>
    <w:rsid w:val="00430D30"/>
    <w:rsid w:val="00430DD3"/>
    <w:rsid w:val="00430DED"/>
    <w:rsid w:val="00430F29"/>
    <w:rsid w:val="00430F3E"/>
    <w:rsid w:val="00430FCE"/>
    <w:rsid w:val="00431122"/>
    <w:rsid w:val="00431226"/>
    <w:rsid w:val="00431348"/>
    <w:rsid w:val="00431367"/>
    <w:rsid w:val="0043138F"/>
    <w:rsid w:val="004314D9"/>
    <w:rsid w:val="0043190A"/>
    <w:rsid w:val="00431AB7"/>
    <w:rsid w:val="00431BE4"/>
    <w:rsid w:val="00431BFC"/>
    <w:rsid w:val="00431FA2"/>
    <w:rsid w:val="004325AC"/>
    <w:rsid w:val="00432684"/>
    <w:rsid w:val="00432A92"/>
    <w:rsid w:val="00432C45"/>
    <w:rsid w:val="00432CD6"/>
    <w:rsid w:val="00432F42"/>
    <w:rsid w:val="0043304B"/>
    <w:rsid w:val="00433141"/>
    <w:rsid w:val="0043324C"/>
    <w:rsid w:val="00433291"/>
    <w:rsid w:val="004335B2"/>
    <w:rsid w:val="00433616"/>
    <w:rsid w:val="00433694"/>
    <w:rsid w:val="0043386F"/>
    <w:rsid w:val="00433B4F"/>
    <w:rsid w:val="00433C7B"/>
    <w:rsid w:val="00433E17"/>
    <w:rsid w:val="00433FF8"/>
    <w:rsid w:val="004340B4"/>
    <w:rsid w:val="0043438B"/>
    <w:rsid w:val="0043439D"/>
    <w:rsid w:val="004346E8"/>
    <w:rsid w:val="00434767"/>
    <w:rsid w:val="0043479B"/>
    <w:rsid w:val="004347C4"/>
    <w:rsid w:val="00434812"/>
    <w:rsid w:val="00434946"/>
    <w:rsid w:val="00434BDA"/>
    <w:rsid w:val="00434C6A"/>
    <w:rsid w:val="00434ECF"/>
    <w:rsid w:val="00434F05"/>
    <w:rsid w:val="004351A9"/>
    <w:rsid w:val="00435288"/>
    <w:rsid w:val="0043531C"/>
    <w:rsid w:val="00435728"/>
    <w:rsid w:val="004358B7"/>
    <w:rsid w:val="004358C8"/>
    <w:rsid w:val="00435914"/>
    <w:rsid w:val="00435D89"/>
    <w:rsid w:val="00435E7A"/>
    <w:rsid w:val="00435E80"/>
    <w:rsid w:val="004363B4"/>
    <w:rsid w:val="0043651B"/>
    <w:rsid w:val="004365FB"/>
    <w:rsid w:val="00436958"/>
    <w:rsid w:val="00436A2F"/>
    <w:rsid w:val="00436C71"/>
    <w:rsid w:val="00436D3F"/>
    <w:rsid w:val="00436E72"/>
    <w:rsid w:val="00436EF8"/>
    <w:rsid w:val="00436F67"/>
    <w:rsid w:val="0043709A"/>
    <w:rsid w:val="00437184"/>
    <w:rsid w:val="004371D8"/>
    <w:rsid w:val="004371FE"/>
    <w:rsid w:val="00437279"/>
    <w:rsid w:val="00437627"/>
    <w:rsid w:val="0043769A"/>
    <w:rsid w:val="004376C6"/>
    <w:rsid w:val="004377A0"/>
    <w:rsid w:val="00437B24"/>
    <w:rsid w:val="00437F86"/>
    <w:rsid w:val="00440085"/>
    <w:rsid w:val="0044030F"/>
    <w:rsid w:val="004403D4"/>
    <w:rsid w:val="00440470"/>
    <w:rsid w:val="004407A3"/>
    <w:rsid w:val="004407F2"/>
    <w:rsid w:val="00440872"/>
    <w:rsid w:val="0044093F"/>
    <w:rsid w:val="004409DA"/>
    <w:rsid w:val="00440C82"/>
    <w:rsid w:val="00440CB3"/>
    <w:rsid w:val="00440DC3"/>
    <w:rsid w:val="00441160"/>
    <w:rsid w:val="00441475"/>
    <w:rsid w:val="00441598"/>
    <w:rsid w:val="0044167F"/>
    <w:rsid w:val="00441881"/>
    <w:rsid w:val="004418D5"/>
    <w:rsid w:val="00441B9B"/>
    <w:rsid w:val="00441C59"/>
    <w:rsid w:val="00441E7D"/>
    <w:rsid w:val="00441EC7"/>
    <w:rsid w:val="004420A3"/>
    <w:rsid w:val="004420E7"/>
    <w:rsid w:val="004422C8"/>
    <w:rsid w:val="00442357"/>
    <w:rsid w:val="004425E3"/>
    <w:rsid w:val="00442689"/>
    <w:rsid w:val="00442711"/>
    <w:rsid w:val="004429B8"/>
    <w:rsid w:val="00442B30"/>
    <w:rsid w:val="00442CC0"/>
    <w:rsid w:val="00442E4E"/>
    <w:rsid w:val="00442FBA"/>
    <w:rsid w:val="00442FFB"/>
    <w:rsid w:val="00443076"/>
    <w:rsid w:val="00443086"/>
    <w:rsid w:val="0044334F"/>
    <w:rsid w:val="0044358A"/>
    <w:rsid w:val="004437B5"/>
    <w:rsid w:val="00443C35"/>
    <w:rsid w:val="00443D2F"/>
    <w:rsid w:val="00443E20"/>
    <w:rsid w:val="00443ED8"/>
    <w:rsid w:val="00443FE7"/>
    <w:rsid w:val="00444004"/>
    <w:rsid w:val="00444066"/>
    <w:rsid w:val="004440A5"/>
    <w:rsid w:val="004440ED"/>
    <w:rsid w:val="00444317"/>
    <w:rsid w:val="00444359"/>
    <w:rsid w:val="004443FA"/>
    <w:rsid w:val="00444410"/>
    <w:rsid w:val="00444446"/>
    <w:rsid w:val="004445A8"/>
    <w:rsid w:val="004445A9"/>
    <w:rsid w:val="004445C4"/>
    <w:rsid w:val="004446B9"/>
    <w:rsid w:val="004447CC"/>
    <w:rsid w:val="004448CA"/>
    <w:rsid w:val="00444C59"/>
    <w:rsid w:val="00444DA6"/>
    <w:rsid w:val="00444ECF"/>
    <w:rsid w:val="0044507E"/>
    <w:rsid w:val="0044523F"/>
    <w:rsid w:val="004453CD"/>
    <w:rsid w:val="00445D72"/>
    <w:rsid w:val="00445E36"/>
    <w:rsid w:val="00446096"/>
    <w:rsid w:val="00446312"/>
    <w:rsid w:val="00446375"/>
    <w:rsid w:val="004464E5"/>
    <w:rsid w:val="004464E9"/>
    <w:rsid w:val="0044656A"/>
    <w:rsid w:val="0044656B"/>
    <w:rsid w:val="00446579"/>
    <w:rsid w:val="004466BA"/>
    <w:rsid w:val="004467DE"/>
    <w:rsid w:val="00446ABA"/>
    <w:rsid w:val="00446F6D"/>
    <w:rsid w:val="00446F9B"/>
    <w:rsid w:val="004470A8"/>
    <w:rsid w:val="004471F3"/>
    <w:rsid w:val="0044730D"/>
    <w:rsid w:val="00447413"/>
    <w:rsid w:val="00447485"/>
    <w:rsid w:val="00447999"/>
    <w:rsid w:val="00447B01"/>
    <w:rsid w:val="00447DA5"/>
    <w:rsid w:val="00447E58"/>
    <w:rsid w:val="00447FAD"/>
    <w:rsid w:val="0045004B"/>
    <w:rsid w:val="0045022E"/>
    <w:rsid w:val="00450729"/>
    <w:rsid w:val="00450837"/>
    <w:rsid w:val="00450ADB"/>
    <w:rsid w:val="00450D6E"/>
    <w:rsid w:val="00450E01"/>
    <w:rsid w:val="00450F62"/>
    <w:rsid w:val="00450F85"/>
    <w:rsid w:val="00451015"/>
    <w:rsid w:val="0045109A"/>
    <w:rsid w:val="00451110"/>
    <w:rsid w:val="00451388"/>
    <w:rsid w:val="00451495"/>
    <w:rsid w:val="00451720"/>
    <w:rsid w:val="004518FE"/>
    <w:rsid w:val="00451927"/>
    <w:rsid w:val="004519C0"/>
    <w:rsid w:val="00451FFC"/>
    <w:rsid w:val="004520CE"/>
    <w:rsid w:val="004521D0"/>
    <w:rsid w:val="004524A6"/>
    <w:rsid w:val="004524F9"/>
    <w:rsid w:val="004525C4"/>
    <w:rsid w:val="004525D0"/>
    <w:rsid w:val="004525E7"/>
    <w:rsid w:val="0045273D"/>
    <w:rsid w:val="00452916"/>
    <w:rsid w:val="00452C5C"/>
    <w:rsid w:val="00452DFD"/>
    <w:rsid w:val="00453235"/>
    <w:rsid w:val="0045335F"/>
    <w:rsid w:val="004537DA"/>
    <w:rsid w:val="00453941"/>
    <w:rsid w:val="0045394D"/>
    <w:rsid w:val="00453A0B"/>
    <w:rsid w:val="00453AFD"/>
    <w:rsid w:val="00454105"/>
    <w:rsid w:val="004541BA"/>
    <w:rsid w:val="00454257"/>
    <w:rsid w:val="004542FB"/>
    <w:rsid w:val="004543A0"/>
    <w:rsid w:val="004543A1"/>
    <w:rsid w:val="004544C0"/>
    <w:rsid w:val="00454854"/>
    <w:rsid w:val="0045497B"/>
    <w:rsid w:val="00454E80"/>
    <w:rsid w:val="004550FB"/>
    <w:rsid w:val="00455125"/>
    <w:rsid w:val="00455265"/>
    <w:rsid w:val="004555A4"/>
    <w:rsid w:val="0045563B"/>
    <w:rsid w:val="004556C9"/>
    <w:rsid w:val="0045579C"/>
    <w:rsid w:val="00455852"/>
    <w:rsid w:val="0045595A"/>
    <w:rsid w:val="00455B8A"/>
    <w:rsid w:val="00455BA6"/>
    <w:rsid w:val="00455DF3"/>
    <w:rsid w:val="00455E80"/>
    <w:rsid w:val="00455E85"/>
    <w:rsid w:val="0045605B"/>
    <w:rsid w:val="00456095"/>
    <w:rsid w:val="004562DA"/>
    <w:rsid w:val="0045665C"/>
    <w:rsid w:val="00456792"/>
    <w:rsid w:val="004569B8"/>
    <w:rsid w:val="004569E4"/>
    <w:rsid w:val="00456A26"/>
    <w:rsid w:val="00456A38"/>
    <w:rsid w:val="00456A72"/>
    <w:rsid w:val="00456D13"/>
    <w:rsid w:val="00456E4E"/>
    <w:rsid w:val="0045705F"/>
    <w:rsid w:val="0045715C"/>
    <w:rsid w:val="00457186"/>
    <w:rsid w:val="00457314"/>
    <w:rsid w:val="00457470"/>
    <w:rsid w:val="004576C7"/>
    <w:rsid w:val="00457758"/>
    <w:rsid w:val="004577E9"/>
    <w:rsid w:val="00457AB2"/>
    <w:rsid w:val="00457B12"/>
    <w:rsid w:val="00457E67"/>
    <w:rsid w:val="00457EBF"/>
    <w:rsid w:val="0046007F"/>
    <w:rsid w:val="00460600"/>
    <w:rsid w:val="00460605"/>
    <w:rsid w:val="00460C2D"/>
    <w:rsid w:val="00460CAD"/>
    <w:rsid w:val="00460E37"/>
    <w:rsid w:val="00460F84"/>
    <w:rsid w:val="004612EB"/>
    <w:rsid w:val="00461323"/>
    <w:rsid w:val="00461385"/>
    <w:rsid w:val="004616A7"/>
    <w:rsid w:val="00461AC0"/>
    <w:rsid w:val="00461C18"/>
    <w:rsid w:val="00461E7F"/>
    <w:rsid w:val="00461F24"/>
    <w:rsid w:val="00461F79"/>
    <w:rsid w:val="004620AF"/>
    <w:rsid w:val="0046212D"/>
    <w:rsid w:val="004621DE"/>
    <w:rsid w:val="004622C2"/>
    <w:rsid w:val="0046231D"/>
    <w:rsid w:val="00462715"/>
    <w:rsid w:val="004628D3"/>
    <w:rsid w:val="00462C85"/>
    <w:rsid w:val="00462CCE"/>
    <w:rsid w:val="00462EB3"/>
    <w:rsid w:val="004631B5"/>
    <w:rsid w:val="004632A6"/>
    <w:rsid w:val="004632DD"/>
    <w:rsid w:val="004633EA"/>
    <w:rsid w:val="004633F2"/>
    <w:rsid w:val="0046351A"/>
    <w:rsid w:val="00463580"/>
    <w:rsid w:val="0046380D"/>
    <w:rsid w:val="00463BD8"/>
    <w:rsid w:val="00463C23"/>
    <w:rsid w:val="00463CD4"/>
    <w:rsid w:val="00463F19"/>
    <w:rsid w:val="004646E9"/>
    <w:rsid w:val="004646F1"/>
    <w:rsid w:val="00464AEA"/>
    <w:rsid w:val="00464DE0"/>
    <w:rsid w:val="00465460"/>
    <w:rsid w:val="004654C7"/>
    <w:rsid w:val="00465736"/>
    <w:rsid w:val="00465800"/>
    <w:rsid w:val="004658F0"/>
    <w:rsid w:val="004659CD"/>
    <w:rsid w:val="00465AA5"/>
    <w:rsid w:val="00465B18"/>
    <w:rsid w:val="00465B2A"/>
    <w:rsid w:val="00465BE3"/>
    <w:rsid w:val="00465BEA"/>
    <w:rsid w:val="00465D41"/>
    <w:rsid w:val="00465EBA"/>
    <w:rsid w:val="00466023"/>
    <w:rsid w:val="00466153"/>
    <w:rsid w:val="00466169"/>
    <w:rsid w:val="004661D7"/>
    <w:rsid w:val="004663B1"/>
    <w:rsid w:val="004668DD"/>
    <w:rsid w:val="00466BC8"/>
    <w:rsid w:val="00466BDC"/>
    <w:rsid w:val="00466C23"/>
    <w:rsid w:val="00466EFF"/>
    <w:rsid w:val="00466F13"/>
    <w:rsid w:val="0046703A"/>
    <w:rsid w:val="00467041"/>
    <w:rsid w:val="004672B1"/>
    <w:rsid w:val="004673A6"/>
    <w:rsid w:val="004674D8"/>
    <w:rsid w:val="00467573"/>
    <w:rsid w:val="00467632"/>
    <w:rsid w:val="004676F6"/>
    <w:rsid w:val="00467795"/>
    <w:rsid w:val="004677C5"/>
    <w:rsid w:val="00467AA3"/>
    <w:rsid w:val="00467CB2"/>
    <w:rsid w:val="00467E1A"/>
    <w:rsid w:val="0047061F"/>
    <w:rsid w:val="0047098D"/>
    <w:rsid w:val="00470D71"/>
    <w:rsid w:val="00470DFA"/>
    <w:rsid w:val="00470F05"/>
    <w:rsid w:val="0047103F"/>
    <w:rsid w:val="004710E2"/>
    <w:rsid w:val="00471232"/>
    <w:rsid w:val="0047167F"/>
    <w:rsid w:val="004716C9"/>
    <w:rsid w:val="00471720"/>
    <w:rsid w:val="004717E1"/>
    <w:rsid w:val="00471B99"/>
    <w:rsid w:val="00471F5E"/>
    <w:rsid w:val="00472035"/>
    <w:rsid w:val="004720C3"/>
    <w:rsid w:val="0047215A"/>
    <w:rsid w:val="004721FA"/>
    <w:rsid w:val="004722D5"/>
    <w:rsid w:val="004722D8"/>
    <w:rsid w:val="004723B2"/>
    <w:rsid w:val="00472491"/>
    <w:rsid w:val="0047261E"/>
    <w:rsid w:val="00472701"/>
    <w:rsid w:val="0047270E"/>
    <w:rsid w:val="00472725"/>
    <w:rsid w:val="0047278C"/>
    <w:rsid w:val="004727EA"/>
    <w:rsid w:val="00472C07"/>
    <w:rsid w:val="00472D93"/>
    <w:rsid w:val="004730FA"/>
    <w:rsid w:val="0047322A"/>
    <w:rsid w:val="0047334D"/>
    <w:rsid w:val="004733F0"/>
    <w:rsid w:val="00473609"/>
    <w:rsid w:val="00473736"/>
    <w:rsid w:val="00473788"/>
    <w:rsid w:val="00473964"/>
    <w:rsid w:val="00473E19"/>
    <w:rsid w:val="00473E78"/>
    <w:rsid w:val="00473F28"/>
    <w:rsid w:val="0047402F"/>
    <w:rsid w:val="0047415D"/>
    <w:rsid w:val="004742D1"/>
    <w:rsid w:val="0047443E"/>
    <w:rsid w:val="004744D1"/>
    <w:rsid w:val="0047457E"/>
    <w:rsid w:val="0047475D"/>
    <w:rsid w:val="0047498B"/>
    <w:rsid w:val="00474BBC"/>
    <w:rsid w:val="00474CA8"/>
    <w:rsid w:val="004752D2"/>
    <w:rsid w:val="004753AA"/>
    <w:rsid w:val="00475436"/>
    <w:rsid w:val="0047551D"/>
    <w:rsid w:val="004756A7"/>
    <w:rsid w:val="004756E3"/>
    <w:rsid w:val="00475A00"/>
    <w:rsid w:val="00475AC0"/>
    <w:rsid w:val="00475C98"/>
    <w:rsid w:val="00475E42"/>
    <w:rsid w:val="004760FE"/>
    <w:rsid w:val="004769E8"/>
    <w:rsid w:val="00476CC1"/>
    <w:rsid w:val="00476E6B"/>
    <w:rsid w:val="00476F97"/>
    <w:rsid w:val="00477083"/>
    <w:rsid w:val="0047738D"/>
    <w:rsid w:val="004773D3"/>
    <w:rsid w:val="00477413"/>
    <w:rsid w:val="0047742C"/>
    <w:rsid w:val="00477564"/>
    <w:rsid w:val="0047766F"/>
    <w:rsid w:val="00477952"/>
    <w:rsid w:val="00477B8A"/>
    <w:rsid w:val="00477C21"/>
    <w:rsid w:val="00477CBE"/>
    <w:rsid w:val="00477E89"/>
    <w:rsid w:val="004801DA"/>
    <w:rsid w:val="004802C3"/>
    <w:rsid w:val="0048037C"/>
    <w:rsid w:val="00480488"/>
    <w:rsid w:val="00480680"/>
    <w:rsid w:val="00480852"/>
    <w:rsid w:val="00480895"/>
    <w:rsid w:val="0048096C"/>
    <w:rsid w:val="004809CB"/>
    <w:rsid w:val="00480C66"/>
    <w:rsid w:val="0048118D"/>
    <w:rsid w:val="004816AD"/>
    <w:rsid w:val="00481878"/>
    <w:rsid w:val="00481B79"/>
    <w:rsid w:val="00481D7D"/>
    <w:rsid w:val="00482120"/>
    <w:rsid w:val="004822A0"/>
    <w:rsid w:val="004822DC"/>
    <w:rsid w:val="0048244C"/>
    <w:rsid w:val="00482684"/>
    <w:rsid w:val="004827A5"/>
    <w:rsid w:val="00482A01"/>
    <w:rsid w:val="00482A17"/>
    <w:rsid w:val="00482F1F"/>
    <w:rsid w:val="00482F20"/>
    <w:rsid w:val="004830C2"/>
    <w:rsid w:val="004830C7"/>
    <w:rsid w:val="0048319E"/>
    <w:rsid w:val="00483230"/>
    <w:rsid w:val="00483354"/>
    <w:rsid w:val="00483495"/>
    <w:rsid w:val="004835A0"/>
    <w:rsid w:val="004835B3"/>
    <w:rsid w:val="004837B5"/>
    <w:rsid w:val="00484551"/>
    <w:rsid w:val="004847CF"/>
    <w:rsid w:val="0048491F"/>
    <w:rsid w:val="00484A33"/>
    <w:rsid w:val="00484BA3"/>
    <w:rsid w:val="00484C50"/>
    <w:rsid w:val="00484D60"/>
    <w:rsid w:val="00484E46"/>
    <w:rsid w:val="00484F07"/>
    <w:rsid w:val="004850CE"/>
    <w:rsid w:val="00485157"/>
    <w:rsid w:val="00485201"/>
    <w:rsid w:val="00485282"/>
    <w:rsid w:val="00485708"/>
    <w:rsid w:val="0048573E"/>
    <w:rsid w:val="0048588B"/>
    <w:rsid w:val="0048590C"/>
    <w:rsid w:val="0048592F"/>
    <w:rsid w:val="00485DB8"/>
    <w:rsid w:val="00485F12"/>
    <w:rsid w:val="00486125"/>
    <w:rsid w:val="00486322"/>
    <w:rsid w:val="00486578"/>
    <w:rsid w:val="0048672C"/>
    <w:rsid w:val="00486740"/>
    <w:rsid w:val="00486812"/>
    <w:rsid w:val="00486BB9"/>
    <w:rsid w:val="00486BCB"/>
    <w:rsid w:val="004872A6"/>
    <w:rsid w:val="004873C1"/>
    <w:rsid w:val="00487453"/>
    <w:rsid w:val="00487463"/>
    <w:rsid w:val="00487473"/>
    <w:rsid w:val="00487519"/>
    <w:rsid w:val="0048770E"/>
    <w:rsid w:val="00487745"/>
    <w:rsid w:val="00487863"/>
    <w:rsid w:val="004878EB"/>
    <w:rsid w:val="004879A4"/>
    <w:rsid w:val="004879C5"/>
    <w:rsid w:val="00487A98"/>
    <w:rsid w:val="00487AF3"/>
    <w:rsid w:val="00487B43"/>
    <w:rsid w:val="00487D51"/>
    <w:rsid w:val="00487D81"/>
    <w:rsid w:val="00487EAE"/>
    <w:rsid w:val="00487EDC"/>
    <w:rsid w:val="00490092"/>
    <w:rsid w:val="004901F0"/>
    <w:rsid w:val="0049022E"/>
    <w:rsid w:val="004902D1"/>
    <w:rsid w:val="0049033B"/>
    <w:rsid w:val="00490398"/>
    <w:rsid w:val="0049058B"/>
    <w:rsid w:val="00490692"/>
    <w:rsid w:val="00490743"/>
    <w:rsid w:val="0049075D"/>
    <w:rsid w:val="00490A35"/>
    <w:rsid w:val="00490CB5"/>
    <w:rsid w:val="00490E02"/>
    <w:rsid w:val="00490E78"/>
    <w:rsid w:val="00490EC3"/>
    <w:rsid w:val="00491112"/>
    <w:rsid w:val="004915B6"/>
    <w:rsid w:val="00491606"/>
    <w:rsid w:val="00491722"/>
    <w:rsid w:val="00491A90"/>
    <w:rsid w:val="00491F00"/>
    <w:rsid w:val="00491F72"/>
    <w:rsid w:val="004921B5"/>
    <w:rsid w:val="00492287"/>
    <w:rsid w:val="00492778"/>
    <w:rsid w:val="0049281C"/>
    <w:rsid w:val="004929EF"/>
    <w:rsid w:val="00492A3E"/>
    <w:rsid w:val="00492B22"/>
    <w:rsid w:val="00492BD2"/>
    <w:rsid w:val="00492C18"/>
    <w:rsid w:val="00492D27"/>
    <w:rsid w:val="00492D82"/>
    <w:rsid w:val="00492DCD"/>
    <w:rsid w:val="00492E24"/>
    <w:rsid w:val="00492F10"/>
    <w:rsid w:val="0049312A"/>
    <w:rsid w:val="00493169"/>
    <w:rsid w:val="004931F1"/>
    <w:rsid w:val="0049336D"/>
    <w:rsid w:val="00493430"/>
    <w:rsid w:val="00493793"/>
    <w:rsid w:val="00493ABD"/>
    <w:rsid w:val="00493EF0"/>
    <w:rsid w:val="00493FFD"/>
    <w:rsid w:val="004941F3"/>
    <w:rsid w:val="004942D8"/>
    <w:rsid w:val="00494439"/>
    <w:rsid w:val="004944A1"/>
    <w:rsid w:val="004947C6"/>
    <w:rsid w:val="004949AB"/>
    <w:rsid w:val="00494C02"/>
    <w:rsid w:val="00494C39"/>
    <w:rsid w:val="00494CFD"/>
    <w:rsid w:val="00494D0E"/>
    <w:rsid w:val="00494D72"/>
    <w:rsid w:val="00494DF7"/>
    <w:rsid w:val="00494F9C"/>
    <w:rsid w:val="00495126"/>
    <w:rsid w:val="004953B5"/>
    <w:rsid w:val="00495929"/>
    <w:rsid w:val="00495951"/>
    <w:rsid w:val="004959E6"/>
    <w:rsid w:val="00495A90"/>
    <w:rsid w:val="00495E61"/>
    <w:rsid w:val="00496229"/>
    <w:rsid w:val="004963FB"/>
    <w:rsid w:val="00496703"/>
    <w:rsid w:val="00496750"/>
    <w:rsid w:val="004968B1"/>
    <w:rsid w:val="00496980"/>
    <w:rsid w:val="00496D14"/>
    <w:rsid w:val="00496FE3"/>
    <w:rsid w:val="004970BA"/>
    <w:rsid w:val="004970C2"/>
    <w:rsid w:val="00497234"/>
    <w:rsid w:val="004977DE"/>
    <w:rsid w:val="00497915"/>
    <w:rsid w:val="0049798B"/>
    <w:rsid w:val="00497A71"/>
    <w:rsid w:val="00497B11"/>
    <w:rsid w:val="00497CCB"/>
    <w:rsid w:val="004A00C7"/>
    <w:rsid w:val="004A03A5"/>
    <w:rsid w:val="004A04A0"/>
    <w:rsid w:val="004A0653"/>
    <w:rsid w:val="004A07A7"/>
    <w:rsid w:val="004A0827"/>
    <w:rsid w:val="004A0979"/>
    <w:rsid w:val="004A0C88"/>
    <w:rsid w:val="004A0F7D"/>
    <w:rsid w:val="004A1004"/>
    <w:rsid w:val="004A102B"/>
    <w:rsid w:val="004A11A3"/>
    <w:rsid w:val="004A1453"/>
    <w:rsid w:val="004A15A3"/>
    <w:rsid w:val="004A17A8"/>
    <w:rsid w:val="004A18FB"/>
    <w:rsid w:val="004A19D4"/>
    <w:rsid w:val="004A1A03"/>
    <w:rsid w:val="004A1A85"/>
    <w:rsid w:val="004A1BDA"/>
    <w:rsid w:val="004A1E3F"/>
    <w:rsid w:val="004A1F97"/>
    <w:rsid w:val="004A204A"/>
    <w:rsid w:val="004A213F"/>
    <w:rsid w:val="004A216E"/>
    <w:rsid w:val="004A21DD"/>
    <w:rsid w:val="004A220E"/>
    <w:rsid w:val="004A22F9"/>
    <w:rsid w:val="004A234B"/>
    <w:rsid w:val="004A2568"/>
    <w:rsid w:val="004A2BDE"/>
    <w:rsid w:val="004A2C73"/>
    <w:rsid w:val="004A2F8E"/>
    <w:rsid w:val="004A30E5"/>
    <w:rsid w:val="004A3515"/>
    <w:rsid w:val="004A3555"/>
    <w:rsid w:val="004A35D1"/>
    <w:rsid w:val="004A35FE"/>
    <w:rsid w:val="004A371C"/>
    <w:rsid w:val="004A3A02"/>
    <w:rsid w:val="004A3B3E"/>
    <w:rsid w:val="004A4018"/>
    <w:rsid w:val="004A4125"/>
    <w:rsid w:val="004A4413"/>
    <w:rsid w:val="004A4432"/>
    <w:rsid w:val="004A4455"/>
    <w:rsid w:val="004A4474"/>
    <w:rsid w:val="004A4706"/>
    <w:rsid w:val="004A4779"/>
    <w:rsid w:val="004A4A0A"/>
    <w:rsid w:val="004A4CE0"/>
    <w:rsid w:val="004A4D48"/>
    <w:rsid w:val="004A4DFB"/>
    <w:rsid w:val="004A4FA2"/>
    <w:rsid w:val="004A5140"/>
    <w:rsid w:val="004A5181"/>
    <w:rsid w:val="004A53D3"/>
    <w:rsid w:val="004A56D9"/>
    <w:rsid w:val="004A5722"/>
    <w:rsid w:val="004A57B4"/>
    <w:rsid w:val="004A59D4"/>
    <w:rsid w:val="004A5A8B"/>
    <w:rsid w:val="004A5C0C"/>
    <w:rsid w:val="004A5C3C"/>
    <w:rsid w:val="004A5E33"/>
    <w:rsid w:val="004A6003"/>
    <w:rsid w:val="004A61ED"/>
    <w:rsid w:val="004A6219"/>
    <w:rsid w:val="004A62D9"/>
    <w:rsid w:val="004A6391"/>
    <w:rsid w:val="004A652B"/>
    <w:rsid w:val="004A69DB"/>
    <w:rsid w:val="004A6A63"/>
    <w:rsid w:val="004A6B0A"/>
    <w:rsid w:val="004A6B38"/>
    <w:rsid w:val="004A6C3F"/>
    <w:rsid w:val="004A6CF9"/>
    <w:rsid w:val="004A6E00"/>
    <w:rsid w:val="004A6FEE"/>
    <w:rsid w:val="004A7050"/>
    <w:rsid w:val="004A71B7"/>
    <w:rsid w:val="004A737B"/>
    <w:rsid w:val="004A7453"/>
    <w:rsid w:val="004A769B"/>
    <w:rsid w:val="004A78BB"/>
    <w:rsid w:val="004A793F"/>
    <w:rsid w:val="004A7AB2"/>
    <w:rsid w:val="004A7CD5"/>
    <w:rsid w:val="004A7D23"/>
    <w:rsid w:val="004B0052"/>
    <w:rsid w:val="004B0089"/>
    <w:rsid w:val="004B00F0"/>
    <w:rsid w:val="004B0125"/>
    <w:rsid w:val="004B01A3"/>
    <w:rsid w:val="004B01C2"/>
    <w:rsid w:val="004B02D0"/>
    <w:rsid w:val="004B043F"/>
    <w:rsid w:val="004B05CA"/>
    <w:rsid w:val="004B0649"/>
    <w:rsid w:val="004B0654"/>
    <w:rsid w:val="004B079D"/>
    <w:rsid w:val="004B07BD"/>
    <w:rsid w:val="004B0B2D"/>
    <w:rsid w:val="004B0BC7"/>
    <w:rsid w:val="004B0E35"/>
    <w:rsid w:val="004B1062"/>
    <w:rsid w:val="004B1107"/>
    <w:rsid w:val="004B1257"/>
    <w:rsid w:val="004B169E"/>
    <w:rsid w:val="004B1BB4"/>
    <w:rsid w:val="004B1D68"/>
    <w:rsid w:val="004B20A1"/>
    <w:rsid w:val="004B2242"/>
    <w:rsid w:val="004B2308"/>
    <w:rsid w:val="004B24A7"/>
    <w:rsid w:val="004B24DF"/>
    <w:rsid w:val="004B25A6"/>
    <w:rsid w:val="004B2675"/>
    <w:rsid w:val="004B2794"/>
    <w:rsid w:val="004B2809"/>
    <w:rsid w:val="004B2960"/>
    <w:rsid w:val="004B2BD4"/>
    <w:rsid w:val="004B2D7D"/>
    <w:rsid w:val="004B2E56"/>
    <w:rsid w:val="004B2F65"/>
    <w:rsid w:val="004B313D"/>
    <w:rsid w:val="004B3496"/>
    <w:rsid w:val="004B34EC"/>
    <w:rsid w:val="004B34FE"/>
    <w:rsid w:val="004B3615"/>
    <w:rsid w:val="004B3795"/>
    <w:rsid w:val="004B39AB"/>
    <w:rsid w:val="004B39E9"/>
    <w:rsid w:val="004B39F6"/>
    <w:rsid w:val="004B3AE4"/>
    <w:rsid w:val="004B3CBF"/>
    <w:rsid w:val="004B3D46"/>
    <w:rsid w:val="004B3E4A"/>
    <w:rsid w:val="004B3EA8"/>
    <w:rsid w:val="004B40C1"/>
    <w:rsid w:val="004B438F"/>
    <w:rsid w:val="004B4503"/>
    <w:rsid w:val="004B46C7"/>
    <w:rsid w:val="004B4920"/>
    <w:rsid w:val="004B4A97"/>
    <w:rsid w:val="004B4AF1"/>
    <w:rsid w:val="004B4E86"/>
    <w:rsid w:val="004B50D9"/>
    <w:rsid w:val="004B520A"/>
    <w:rsid w:val="004B5282"/>
    <w:rsid w:val="004B5427"/>
    <w:rsid w:val="004B5428"/>
    <w:rsid w:val="004B54F7"/>
    <w:rsid w:val="004B54FA"/>
    <w:rsid w:val="004B5557"/>
    <w:rsid w:val="004B5687"/>
    <w:rsid w:val="004B5745"/>
    <w:rsid w:val="004B580C"/>
    <w:rsid w:val="004B5829"/>
    <w:rsid w:val="004B5993"/>
    <w:rsid w:val="004B5BF2"/>
    <w:rsid w:val="004B5C54"/>
    <w:rsid w:val="004B5EAD"/>
    <w:rsid w:val="004B5F71"/>
    <w:rsid w:val="004B6351"/>
    <w:rsid w:val="004B6715"/>
    <w:rsid w:val="004B6814"/>
    <w:rsid w:val="004B6866"/>
    <w:rsid w:val="004B69B1"/>
    <w:rsid w:val="004B6CA5"/>
    <w:rsid w:val="004B6D14"/>
    <w:rsid w:val="004B6DA5"/>
    <w:rsid w:val="004B6FC6"/>
    <w:rsid w:val="004B7000"/>
    <w:rsid w:val="004B711B"/>
    <w:rsid w:val="004B7180"/>
    <w:rsid w:val="004B72E3"/>
    <w:rsid w:val="004B7986"/>
    <w:rsid w:val="004B7BA5"/>
    <w:rsid w:val="004B7BF2"/>
    <w:rsid w:val="004B7BFB"/>
    <w:rsid w:val="004B7DB8"/>
    <w:rsid w:val="004B7FDC"/>
    <w:rsid w:val="004C004A"/>
    <w:rsid w:val="004C0478"/>
    <w:rsid w:val="004C0857"/>
    <w:rsid w:val="004C08D1"/>
    <w:rsid w:val="004C0981"/>
    <w:rsid w:val="004C0CDD"/>
    <w:rsid w:val="004C0E86"/>
    <w:rsid w:val="004C0EB2"/>
    <w:rsid w:val="004C0FE8"/>
    <w:rsid w:val="004C10F2"/>
    <w:rsid w:val="004C116D"/>
    <w:rsid w:val="004C11C2"/>
    <w:rsid w:val="004C11FA"/>
    <w:rsid w:val="004C121A"/>
    <w:rsid w:val="004C12AA"/>
    <w:rsid w:val="004C12D1"/>
    <w:rsid w:val="004C1454"/>
    <w:rsid w:val="004C16FF"/>
    <w:rsid w:val="004C18B1"/>
    <w:rsid w:val="004C1D14"/>
    <w:rsid w:val="004C1D1C"/>
    <w:rsid w:val="004C1E0B"/>
    <w:rsid w:val="004C205C"/>
    <w:rsid w:val="004C20C4"/>
    <w:rsid w:val="004C2126"/>
    <w:rsid w:val="004C22B6"/>
    <w:rsid w:val="004C2372"/>
    <w:rsid w:val="004C23DF"/>
    <w:rsid w:val="004C2673"/>
    <w:rsid w:val="004C28A8"/>
    <w:rsid w:val="004C2F58"/>
    <w:rsid w:val="004C3157"/>
    <w:rsid w:val="004C33A3"/>
    <w:rsid w:val="004C33E3"/>
    <w:rsid w:val="004C35D9"/>
    <w:rsid w:val="004C36AB"/>
    <w:rsid w:val="004C39DD"/>
    <w:rsid w:val="004C3D4C"/>
    <w:rsid w:val="004C4229"/>
    <w:rsid w:val="004C42C7"/>
    <w:rsid w:val="004C43E1"/>
    <w:rsid w:val="004C4700"/>
    <w:rsid w:val="004C47F7"/>
    <w:rsid w:val="004C4EA7"/>
    <w:rsid w:val="004C5141"/>
    <w:rsid w:val="004C51C9"/>
    <w:rsid w:val="004C542A"/>
    <w:rsid w:val="004C557E"/>
    <w:rsid w:val="004C5623"/>
    <w:rsid w:val="004C56EC"/>
    <w:rsid w:val="004C57D1"/>
    <w:rsid w:val="004C5952"/>
    <w:rsid w:val="004C5B90"/>
    <w:rsid w:val="004C5D18"/>
    <w:rsid w:val="004C5DEF"/>
    <w:rsid w:val="004C5F04"/>
    <w:rsid w:val="004C616F"/>
    <w:rsid w:val="004C6436"/>
    <w:rsid w:val="004C6522"/>
    <w:rsid w:val="004C6530"/>
    <w:rsid w:val="004C66A8"/>
    <w:rsid w:val="004C66DC"/>
    <w:rsid w:val="004C670A"/>
    <w:rsid w:val="004C6721"/>
    <w:rsid w:val="004C6834"/>
    <w:rsid w:val="004C69EA"/>
    <w:rsid w:val="004C6EF1"/>
    <w:rsid w:val="004C705B"/>
    <w:rsid w:val="004C7065"/>
    <w:rsid w:val="004C71CE"/>
    <w:rsid w:val="004C7470"/>
    <w:rsid w:val="004C74AB"/>
    <w:rsid w:val="004C74B1"/>
    <w:rsid w:val="004C757E"/>
    <w:rsid w:val="004C75BD"/>
    <w:rsid w:val="004C75F1"/>
    <w:rsid w:val="004C782F"/>
    <w:rsid w:val="004C7911"/>
    <w:rsid w:val="004C7B55"/>
    <w:rsid w:val="004C7C7D"/>
    <w:rsid w:val="004C7FA5"/>
    <w:rsid w:val="004D0236"/>
    <w:rsid w:val="004D05C1"/>
    <w:rsid w:val="004D0627"/>
    <w:rsid w:val="004D083E"/>
    <w:rsid w:val="004D0B50"/>
    <w:rsid w:val="004D0C39"/>
    <w:rsid w:val="004D0D96"/>
    <w:rsid w:val="004D0F14"/>
    <w:rsid w:val="004D10A1"/>
    <w:rsid w:val="004D10B8"/>
    <w:rsid w:val="004D10FB"/>
    <w:rsid w:val="004D1275"/>
    <w:rsid w:val="004D142D"/>
    <w:rsid w:val="004D149A"/>
    <w:rsid w:val="004D1532"/>
    <w:rsid w:val="004D176D"/>
    <w:rsid w:val="004D17A6"/>
    <w:rsid w:val="004D18AB"/>
    <w:rsid w:val="004D1941"/>
    <w:rsid w:val="004D1977"/>
    <w:rsid w:val="004D1ABC"/>
    <w:rsid w:val="004D1B29"/>
    <w:rsid w:val="004D1BD7"/>
    <w:rsid w:val="004D1C4F"/>
    <w:rsid w:val="004D1F9B"/>
    <w:rsid w:val="004D2037"/>
    <w:rsid w:val="004D203D"/>
    <w:rsid w:val="004D22A5"/>
    <w:rsid w:val="004D28A0"/>
    <w:rsid w:val="004D295F"/>
    <w:rsid w:val="004D29CF"/>
    <w:rsid w:val="004D2DC5"/>
    <w:rsid w:val="004D2E70"/>
    <w:rsid w:val="004D2F15"/>
    <w:rsid w:val="004D3081"/>
    <w:rsid w:val="004D315E"/>
    <w:rsid w:val="004D31E3"/>
    <w:rsid w:val="004D3224"/>
    <w:rsid w:val="004D329B"/>
    <w:rsid w:val="004D3502"/>
    <w:rsid w:val="004D39D8"/>
    <w:rsid w:val="004D3A08"/>
    <w:rsid w:val="004D3A6F"/>
    <w:rsid w:val="004D3BC6"/>
    <w:rsid w:val="004D3BCC"/>
    <w:rsid w:val="004D3BDD"/>
    <w:rsid w:val="004D3CBD"/>
    <w:rsid w:val="004D3E8E"/>
    <w:rsid w:val="004D3F58"/>
    <w:rsid w:val="004D3FDF"/>
    <w:rsid w:val="004D4239"/>
    <w:rsid w:val="004D4404"/>
    <w:rsid w:val="004D447B"/>
    <w:rsid w:val="004D4714"/>
    <w:rsid w:val="004D4831"/>
    <w:rsid w:val="004D4873"/>
    <w:rsid w:val="004D48B3"/>
    <w:rsid w:val="004D4D2B"/>
    <w:rsid w:val="004D4E84"/>
    <w:rsid w:val="004D51B4"/>
    <w:rsid w:val="004D5344"/>
    <w:rsid w:val="004D539C"/>
    <w:rsid w:val="004D547C"/>
    <w:rsid w:val="004D5A88"/>
    <w:rsid w:val="004D5B6A"/>
    <w:rsid w:val="004D5CAD"/>
    <w:rsid w:val="004D5D3A"/>
    <w:rsid w:val="004D5FB0"/>
    <w:rsid w:val="004D5FDB"/>
    <w:rsid w:val="004D60D7"/>
    <w:rsid w:val="004D60E9"/>
    <w:rsid w:val="004D6326"/>
    <w:rsid w:val="004D6628"/>
    <w:rsid w:val="004D668A"/>
    <w:rsid w:val="004D69B1"/>
    <w:rsid w:val="004D6A39"/>
    <w:rsid w:val="004D6ABE"/>
    <w:rsid w:val="004D6B45"/>
    <w:rsid w:val="004D6B94"/>
    <w:rsid w:val="004D6C5F"/>
    <w:rsid w:val="004D6E39"/>
    <w:rsid w:val="004D6EAB"/>
    <w:rsid w:val="004D6EF5"/>
    <w:rsid w:val="004D7061"/>
    <w:rsid w:val="004D7294"/>
    <w:rsid w:val="004D7700"/>
    <w:rsid w:val="004D775E"/>
    <w:rsid w:val="004D7AD0"/>
    <w:rsid w:val="004D7CB3"/>
    <w:rsid w:val="004D7E90"/>
    <w:rsid w:val="004D7FDC"/>
    <w:rsid w:val="004E02A2"/>
    <w:rsid w:val="004E061D"/>
    <w:rsid w:val="004E06C6"/>
    <w:rsid w:val="004E07B9"/>
    <w:rsid w:val="004E08F2"/>
    <w:rsid w:val="004E0B8B"/>
    <w:rsid w:val="004E0D76"/>
    <w:rsid w:val="004E0DD9"/>
    <w:rsid w:val="004E0EEC"/>
    <w:rsid w:val="004E0FF7"/>
    <w:rsid w:val="004E10BA"/>
    <w:rsid w:val="004E1117"/>
    <w:rsid w:val="004E118E"/>
    <w:rsid w:val="004E13C9"/>
    <w:rsid w:val="004E157B"/>
    <w:rsid w:val="004E1874"/>
    <w:rsid w:val="004E1D09"/>
    <w:rsid w:val="004E1D81"/>
    <w:rsid w:val="004E1E27"/>
    <w:rsid w:val="004E2090"/>
    <w:rsid w:val="004E2173"/>
    <w:rsid w:val="004E2251"/>
    <w:rsid w:val="004E2297"/>
    <w:rsid w:val="004E24B2"/>
    <w:rsid w:val="004E2746"/>
    <w:rsid w:val="004E2760"/>
    <w:rsid w:val="004E2AD5"/>
    <w:rsid w:val="004E2B81"/>
    <w:rsid w:val="004E2BE3"/>
    <w:rsid w:val="004E2C4C"/>
    <w:rsid w:val="004E2C6E"/>
    <w:rsid w:val="004E2E2D"/>
    <w:rsid w:val="004E2E36"/>
    <w:rsid w:val="004E2EF6"/>
    <w:rsid w:val="004E2F11"/>
    <w:rsid w:val="004E3040"/>
    <w:rsid w:val="004E3288"/>
    <w:rsid w:val="004E3930"/>
    <w:rsid w:val="004E3B67"/>
    <w:rsid w:val="004E3CD9"/>
    <w:rsid w:val="004E3D66"/>
    <w:rsid w:val="004E41E5"/>
    <w:rsid w:val="004E44AA"/>
    <w:rsid w:val="004E4757"/>
    <w:rsid w:val="004E48E4"/>
    <w:rsid w:val="004E4907"/>
    <w:rsid w:val="004E49B6"/>
    <w:rsid w:val="004E4C45"/>
    <w:rsid w:val="004E4CDC"/>
    <w:rsid w:val="004E4DB1"/>
    <w:rsid w:val="004E4DD6"/>
    <w:rsid w:val="004E5147"/>
    <w:rsid w:val="004E54A8"/>
    <w:rsid w:val="004E566F"/>
    <w:rsid w:val="004E58D3"/>
    <w:rsid w:val="004E5BBE"/>
    <w:rsid w:val="004E5D55"/>
    <w:rsid w:val="004E600B"/>
    <w:rsid w:val="004E61C7"/>
    <w:rsid w:val="004E62B4"/>
    <w:rsid w:val="004E62E4"/>
    <w:rsid w:val="004E6703"/>
    <w:rsid w:val="004E6794"/>
    <w:rsid w:val="004E6834"/>
    <w:rsid w:val="004E687B"/>
    <w:rsid w:val="004E6B5F"/>
    <w:rsid w:val="004E6B62"/>
    <w:rsid w:val="004E6E38"/>
    <w:rsid w:val="004E6F25"/>
    <w:rsid w:val="004E7001"/>
    <w:rsid w:val="004E7031"/>
    <w:rsid w:val="004E7048"/>
    <w:rsid w:val="004E749B"/>
    <w:rsid w:val="004E78A8"/>
    <w:rsid w:val="004E78B7"/>
    <w:rsid w:val="004E7989"/>
    <w:rsid w:val="004E79C0"/>
    <w:rsid w:val="004E7B31"/>
    <w:rsid w:val="004E7DAE"/>
    <w:rsid w:val="004E7F69"/>
    <w:rsid w:val="004E7FD3"/>
    <w:rsid w:val="004E7FDC"/>
    <w:rsid w:val="004F03C4"/>
    <w:rsid w:val="004F0480"/>
    <w:rsid w:val="004F05ED"/>
    <w:rsid w:val="004F066A"/>
    <w:rsid w:val="004F06DB"/>
    <w:rsid w:val="004F07B7"/>
    <w:rsid w:val="004F0840"/>
    <w:rsid w:val="004F09EC"/>
    <w:rsid w:val="004F0A49"/>
    <w:rsid w:val="004F0C14"/>
    <w:rsid w:val="004F0CB1"/>
    <w:rsid w:val="004F0E5C"/>
    <w:rsid w:val="004F0FC9"/>
    <w:rsid w:val="004F102A"/>
    <w:rsid w:val="004F11C5"/>
    <w:rsid w:val="004F1208"/>
    <w:rsid w:val="004F1490"/>
    <w:rsid w:val="004F172C"/>
    <w:rsid w:val="004F1925"/>
    <w:rsid w:val="004F1DFE"/>
    <w:rsid w:val="004F1E62"/>
    <w:rsid w:val="004F2284"/>
    <w:rsid w:val="004F22CF"/>
    <w:rsid w:val="004F232C"/>
    <w:rsid w:val="004F2369"/>
    <w:rsid w:val="004F2A2A"/>
    <w:rsid w:val="004F2CCF"/>
    <w:rsid w:val="004F30F4"/>
    <w:rsid w:val="004F3188"/>
    <w:rsid w:val="004F328A"/>
    <w:rsid w:val="004F3321"/>
    <w:rsid w:val="004F339B"/>
    <w:rsid w:val="004F3719"/>
    <w:rsid w:val="004F38B6"/>
    <w:rsid w:val="004F3940"/>
    <w:rsid w:val="004F3E6C"/>
    <w:rsid w:val="004F3F45"/>
    <w:rsid w:val="004F3FC1"/>
    <w:rsid w:val="004F40E9"/>
    <w:rsid w:val="004F41B8"/>
    <w:rsid w:val="004F43F9"/>
    <w:rsid w:val="004F445F"/>
    <w:rsid w:val="004F46A9"/>
    <w:rsid w:val="004F4762"/>
    <w:rsid w:val="004F481B"/>
    <w:rsid w:val="004F4DA6"/>
    <w:rsid w:val="004F504B"/>
    <w:rsid w:val="004F50BC"/>
    <w:rsid w:val="004F5303"/>
    <w:rsid w:val="004F539A"/>
    <w:rsid w:val="004F54BA"/>
    <w:rsid w:val="004F5745"/>
    <w:rsid w:val="004F57BA"/>
    <w:rsid w:val="004F5A33"/>
    <w:rsid w:val="004F5A3D"/>
    <w:rsid w:val="004F5A6F"/>
    <w:rsid w:val="004F5CF1"/>
    <w:rsid w:val="004F5D87"/>
    <w:rsid w:val="004F5F85"/>
    <w:rsid w:val="004F5F87"/>
    <w:rsid w:val="004F6122"/>
    <w:rsid w:val="004F6243"/>
    <w:rsid w:val="004F6695"/>
    <w:rsid w:val="004F6701"/>
    <w:rsid w:val="004F6830"/>
    <w:rsid w:val="004F69B7"/>
    <w:rsid w:val="004F69D9"/>
    <w:rsid w:val="004F6B6D"/>
    <w:rsid w:val="004F6EDE"/>
    <w:rsid w:val="004F6EEA"/>
    <w:rsid w:val="004F71FC"/>
    <w:rsid w:val="004F7474"/>
    <w:rsid w:val="004F7624"/>
    <w:rsid w:val="004F77A5"/>
    <w:rsid w:val="004F7882"/>
    <w:rsid w:val="004F7971"/>
    <w:rsid w:val="004F79FA"/>
    <w:rsid w:val="004F7B78"/>
    <w:rsid w:val="004F7CE2"/>
    <w:rsid w:val="004F7E50"/>
    <w:rsid w:val="004F7EFA"/>
    <w:rsid w:val="00500381"/>
    <w:rsid w:val="0050049D"/>
    <w:rsid w:val="005004E5"/>
    <w:rsid w:val="00500566"/>
    <w:rsid w:val="00500801"/>
    <w:rsid w:val="0050090E"/>
    <w:rsid w:val="00500C9E"/>
    <w:rsid w:val="00500E16"/>
    <w:rsid w:val="00500F40"/>
    <w:rsid w:val="00500FCB"/>
    <w:rsid w:val="005010F5"/>
    <w:rsid w:val="005011F2"/>
    <w:rsid w:val="005014D0"/>
    <w:rsid w:val="005014FE"/>
    <w:rsid w:val="00501607"/>
    <w:rsid w:val="00501828"/>
    <w:rsid w:val="00501D0B"/>
    <w:rsid w:val="00501DA3"/>
    <w:rsid w:val="00502304"/>
    <w:rsid w:val="005025CE"/>
    <w:rsid w:val="005028E3"/>
    <w:rsid w:val="005028F0"/>
    <w:rsid w:val="00502A97"/>
    <w:rsid w:val="00502F7E"/>
    <w:rsid w:val="00503144"/>
    <w:rsid w:val="00503A85"/>
    <w:rsid w:val="00503F2C"/>
    <w:rsid w:val="005042E4"/>
    <w:rsid w:val="005045D3"/>
    <w:rsid w:val="005045F1"/>
    <w:rsid w:val="00504914"/>
    <w:rsid w:val="00504B3D"/>
    <w:rsid w:val="005050C7"/>
    <w:rsid w:val="0050518F"/>
    <w:rsid w:val="00505373"/>
    <w:rsid w:val="0050538B"/>
    <w:rsid w:val="005053AD"/>
    <w:rsid w:val="00505636"/>
    <w:rsid w:val="005056DA"/>
    <w:rsid w:val="005057D9"/>
    <w:rsid w:val="00505805"/>
    <w:rsid w:val="0050584A"/>
    <w:rsid w:val="00505936"/>
    <w:rsid w:val="00505A21"/>
    <w:rsid w:val="00505ABF"/>
    <w:rsid w:val="00505B4D"/>
    <w:rsid w:val="00505C19"/>
    <w:rsid w:val="00505C73"/>
    <w:rsid w:val="00505CE7"/>
    <w:rsid w:val="005060A6"/>
    <w:rsid w:val="005060FC"/>
    <w:rsid w:val="0050613E"/>
    <w:rsid w:val="005066A1"/>
    <w:rsid w:val="00506703"/>
    <w:rsid w:val="0050675E"/>
    <w:rsid w:val="005067A4"/>
    <w:rsid w:val="00506921"/>
    <w:rsid w:val="00506922"/>
    <w:rsid w:val="00506AF9"/>
    <w:rsid w:val="00506BD4"/>
    <w:rsid w:val="00506C25"/>
    <w:rsid w:val="00506C9A"/>
    <w:rsid w:val="00506CD7"/>
    <w:rsid w:val="00506DAB"/>
    <w:rsid w:val="005071A1"/>
    <w:rsid w:val="005071FB"/>
    <w:rsid w:val="00507215"/>
    <w:rsid w:val="0050724C"/>
    <w:rsid w:val="005072BB"/>
    <w:rsid w:val="005073ED"/>
    <w:rsid w:val="005074A4"/>
    <w:rsid w:val="00507507"/>
    <w:rsid w:val="005075A2"/>
    <w:rsid w:val="005076BA"/>
    <w:rsid w:val="005078DE"/>
    <w:rsid w:val="00507C9D"/>
    <w:rsid w:val="00507D10"/>
    <w:rsid w:val="00507DEC"/>
    <w:rsid w:val="00507F13"/>
    <w:rsid w:val="005100CF"/>
    <w:rsid w:val="005103AE"/>
    <w:rsid w:val="0051054A"/>
    <w:rsid w:val="005106D2"/>
    <w:rsid w:val="00510935"/>
    <w:rsid w:val="00510936"/>
    <w:rsid w:val="005109B7"/>
    <w:rsid w:val="00510A61"/>
    <w:rsid w:val="00510C58"/>
    <w:rsid w:val="00510E9C"/>
    <w:rsid w:val="00510EB3"/>
    <w:rsid w:val="0051101F"/>
    <w:rsid w:val="00511263"/>
    <w:rsid w:val="005114CC"/>
    <w:rsid w:val="005114CE"/>
    <w:rsid w:val="005114E6"/>
    <w:rsid w:val="0051165F"/>
    <w:rsid w:val="0051177A"/>
    <w:rsid w:val="005119F4"/>
    <w:rsid w:val="00511A7A"/>
    <w:rsid w:val="00511AF7"/>
    <w:rsid w:val="00511DB4"/>
    <w:rsid w:val="00511E67"/>
    <w:rsid w:val="00511F28"/>
    <w:rsid w:val="0051209E"/>
    <w:rsid w:val="005120D8"/>
    <w:rsid w:val="0051215C"/>
    <w:rsid w:val="00512357"/>
    <w:rsid w:val="005124FF"/>
    <w:rsid w:val="0051263E"/>
    <w:rsid w:val="005126DB"/>
    <w:rsid w:val="00512790"/>
    <w:rsid w:val="00512ABF"/>
    <w:rsid w:val="00512BCB"/>
    <w:rsid w:val="00513334"/>
    <w:rsid w:val="0051377D"/>
    <w:rsid w:val="00513898"/>
    <w:rsid w:val="00513AB2"/>
    <w:rsid w:val="00513BA1"/>
    <w:rsid w:val="00513C46"/>
    <w:rsid w:val="00513C8F"/>
    <w:rsid w:val="00513EED"/>
    <w:rsid w:val="00513F29"/>
    <w:rsid w:val="00514012"/>
    <w:rsid w:val="00514179"/>
    <w:rsid w:val="00514611"/>
    <w:rsid w:val="0051461E"/>
    <w:rsid w:val="0051490A"/>
    <w:rsid w:val="005149BF"/>
    <w:rsid w:val="005149DB"/>
    <w:rsid w:val="00514C47"/>
    <w:rsid w:val="0051507F"/>
    <w:rsid w:val="00515456"/>
    <w:rsid w:val="005156BF"/>
    <w:rsid w:val="005157B9"/>
    <w:rsid w:val="0051585C"/>
    <w:rsid w:val="00515E57"/>
    <w:rsid w:val="00515E8D"/>
    <w:rsid w:val="005160AD"/>
    <w:rsid w:val="00516374"/>
    <w:rsid w:val="00516435"/>
    <w:rsid w:val="005164D6"/>
    <w:rsid w:val="00516530"/>
    <w:rsid w:val="005168E8"/>
    <w:rsid w:val="00516C24"/>
    <w:rsid w:val="00516C5E"/>
    <w:rsid w:val="00516DB2"/>
    <w:rsid w:val="00517050"/>
    <w:rsid w:val="0051716A"/>
    <w:rsid w:val="00517231"/>
    <w:rsid w:val="005172E9"/>
    <w:rsid w:val="00517311"/>
    <w:rsid w:val="00517428"/>
    <w:rsid w:val="005175F2"/>
    <w:rsid w:val="005175FD"/>
    <w:rsid w:val="00517776"/>
    <w:rsid w:val="005177CC"/>
    <w:rsid w:val="00517CCF"/>
    <w:rsid w:val="00517D63"/>
    <w:rsid w:val="00517D9E"/>
    <w:rsid w:val="00517DCC"/>
    <w:rsid w:val="00517E0B"/>
    <w:rsid w:val="00517EFB"/>
    <w:rsid w:val="0052008D"/>
    <w:rsid w:val="00520286"/>
    <w:rsid w:val="00520333"/>
    <w:rsid w:val="0052041B"/>
    <w:rsid w:val="005205F1"/>
    <w:rsid w:val="005206A1"/>
    <w:rsid w:val="005207CF"/>
    <w:rsid w:val="005208B9"/>
    <w:rsid w:val="00520A2D"/>
    <w:rsid w:val="00520B88"/>
    <w:rsid w:val="00520B89"/>
    <w:rsid w:val="00520CE9"/>
    <w:rsid w:val="00520F13"/>
    <w:rsid w:val="00521070"/>
    <w:rsid w:val="00521439"/>
    <w:rsid w:val="005214E2"/>
    <w:rsid w:val="00521593"/>
    <w:rsid w:val="0052167A"/>
    <w:rsid w:val="005217BA"/>
    <w:rsid w:val="005218BB"/>
    <w:rsid w:val="00521B27"/>
    <w:rsid w:val="00521D3E"/>
    <w:rsid w:val="0052207B"/>
    <w:rsid w:val="005220FC"/>
    <w:rsid w:val="00522637"/>
    <w:rsid w:val="00522789"/>
    <w:rsid w:val="005228B1"/>
    <w:rsid w:val="00522C3B"/>
    <w:rsid w:val="00522D53"/>
    <w:rsid w:val="00522E56"/>
    <w:rsid w:val="00522F52"/>
    <w:rsid w:val="005233D8"/>
    <w:rsid w:val="00523413"/>
    <w:rsid w:val="00523686"/>
    <w:rsid w:val="00523715"/>
    <w:rsid w:val="005238D7"/>
    <w:rsid w:val="005239A4"/>
    <w:rsid w:val="00523C41"/>
    <w:rsid w:val="00523EDA"/>
    <w:rsid w:val="00523FB5"/>
    <w:rsid w:val="005240F6"/>
    <w:rsid w:val="00524182"/>
    <w:rsid w:val="00524358"/>
    <w:rsid w:val="00524389"/>
    <w:rsid w:val="0052441F"/>
    <w:rsid w:val="00524448"/>
    <w:rsid w:val="00524935"/>
    <w:rsid w:val="0052493A"/>
    <w:rsid w:val="00524A24"/>
    <w:rsid w:val="00524B52"/>
    <w:rsid w:val="00524D70"/>
    <w:rsid w:val="00524E9E"/>
    <w:rsid w:val="00524EB3"/>
    <w:rsid w:val="00524FB8"/>
    <w:rsid w:val="0052503F"/>
    <w:rsid w:val="0052506B"/>
    <w:rsid w:val="005250A5"/>
    <w:rsid w:val="00525425"/>
    <w:rsid w:val="005256B2"/>
    <w:rsid w:val="00525784"/>
    <w:rsid w:val="005259EF"/>
    <w:rsid w:val="00525ABF"/>
    <w:rsid w:val="00525BA0"/>
    <w:rsid w:val="00525BA9"/>
    <w:rsid w:val="00525BCF"/>
    <w:rsid w:val="00525DCA"/>
    <w:rsid w:val="00525E7A"/>
    <w:rsid w:val="00525FD0"/>
    <w:rsid w:val="005261DC"/>
    <w:rsid w:val="005263AE"/>
    <w:rsid w:val="0052653E"/>
    <w:rsid w:val="005265F5"/>
    <w:rsid w:val="00526737"/>
    <w:rsid w:val="0052687B"/>
    <w:rsid w:val="005268D2"/>
    <w:rsid w:val="005269D8"/>
    <w:rsid w:val="00526AFE"/>
    <w:rsid w:val="00526D25"/>
    <w:rsid w:val="00526ED7"/>
    <w:rsid w:val="00526F65"/>
    <w:rsid w:val="005274F7"/>
    <w:rsid w:val="005275CD"/>
    <w:rsid w:val="00527632"/>
    <w:rsid w:val="005276CC"/>
    <w:rsid w:val="00527B06"/>
    <w:rsid w:val="00527DB0"/>
    <w:rsid w:val="00527F18"/>
    <w:rsid w:val="005301EE"/>
    <w:rsid w:val="00530257"/>
    <w:rsid w:val="005303A9"/>
    <w:rsid w:val="005303EB"/>
    <w:rsid w:val="005307D1"/>
    <w:rsid w:val="00530933"/>
    <w:rsid w:val="00530999"/>
    <w:rsid w:val="00530A0C"/>
    <w:rsid w:val="00530B3D"/>
    <w:rsid w:val="00530BC8"/>
    <w:rsid w:val="00530C82"/>
    <w:rsid w:val="00530D74"/>
    <w:rsid w:val="00530E43"/>
    <w:rsid w:val="00530FAD"/>
    <w:rsid w:val="005310AE"/>
    <w:rsid w:val="005310D8"/>
    <w:rsid w:val="00531215"/>
    <w:rsid w:val="00531246"/>
    <w:rsid w:val="005312FB"/>
    <w:rsid w:val="005313C5"/>
    <w:rsid w:val="0053141B"/>
    <w:rsid w:val="005317C5"/>
    <w:rsid w:val="0053183B"/>
    <w:rsid w:val="0053199E"/>
    <w:rsid w:val="00531A9A"/>
    <w:rsid w:val="00531F0E"/>
    <w:rsid w:val="00531FCA"/>
    <w:rsid w:val="00532279"/>
    <w:rsid w:val="005323F9"/>
    <w:rsid w:val="00532481"/>
    <w:rsid w:val="0053268D"/>
    <w:rsid w:val="0053271A"/>
    <w:rsid w:val="00532724"/>
    <w:rsid w:val="0053275D"/>
    <w:rsid w:val="00532929"/>
    <w:rsid w:val="00532A2C"/>
    <w:rsid w:val="00532B4F"/>
    <w:rsid w:val="00532F36"/>
    <w:rsid w:val="0053308A"/>
    <w:rsid w:val="0053324E"/>
    <w:rsid w:val="005332F9"/>
    <w:rsid w:val="00533346"/>
    <w:rsid w:val="0053337A"/>
    <w:rsid w:val="0053345F"/>
    <w:rsid w:val="0053370F"/>
    <w:rsid w:val="0053385B"/>
    <w:rsid w:val="0053393D"/>
    <w:rsid w:val="00533D97"/>
    <w:rsid w:val="00533DBD"/>
    <w:rsid w:val="00533ECB"/>
    <w:rsid w:val="0053418F"/>
    <w:rsid w:val="00534300"/>
    <w:rsid w:val="00534439"/>
    <w:rsid w:val="00534626"/>
    <w:rsid w:val="0053483B"/>
    <w:rsid w:val="00534B1B"/>
    <w:rsid w:val="00534B64"/>
    <w:rsid w:val="00534C1D"/>
    <w:rsid w:val="00534DAC"/>
    <w:rsid w:val="00534FAA"/>
    <w:rsid w:val="00535125"/>
    <w:rsid w:val="0053555A"/>
    <w:rsid w:val="00535613"/>
    <w:rsid w:val="005356FA"/>
    <w:rsid w:val="00535B97"/>
    <w:rsid w:val="00535BEB"/>
    <w:rsid w:val="00535BF7"/>
    <w:rsid w:val="00535F56"/>
    <w:rsid w:val="005363F2"/>
    <w:rsid w:val="005365D5"/>
    <w:rsid w:val="00536685"/>
    <w:rsid w:val="005366AD"/>
    <w:rsid w:val="005367A1"/>
    <w:rsid w:val="00536910"/>
    <w:rsid w:val="00536ADF"/>
    <w:rsid w:val="00536E3D"/>
    <w:rsid w:val="00536E71"/>
    <w:rsid w:val="00536F0A"/>
    <w:rsid w:val="00537297"/>
    <w:rsid w:val="005372A3"/>
    <w:rsid w:val="005373D7"/>
    <w:rsid w:val="005373D8"/>
    <w:rsid w:val="00537701"/>
    <w:rsid w:val="0053784D"/>
    <w:rsid w:val="00537E69"/>
    <w:rsid w:val="005402DD"/>
    <w:rsid w:val="005405C0"/>
    <w:rsid w:val="00540657"/>
    <w:rsid w:val="0054068E"/>
    <w:rsid w:val="005406D2"/>
    <w:rsid w:val="00540723"/>
    <w:rsid w:val="0054074B"/>
    <w:rsid w:val="0054091D"/>
    <w:rsid w:val="0054097D"/>
    <w:rsid w:val="00540AE6"/>
    <w:rsid w:val="00540B2F"/>
    <w:rsid w:val="00540B3D"/>
    <w:rsid w:val="00540BCB"/>
    <w:rsid w:val="00540F02"/>
    <w:rsid w:val="005410CC"/>
    <w:rsid w:val="005411A8"/>
    <w:rsid w:val="00541389"/>
    <w:rsid w:val="005416D1"/>
    <w:rsid w:val="00541717"/>
    <w:rsid w:val="00541AC0"/>
    <w:rsid w:val="00542227"/>
    <w:rsid w:val="005422A4"/>
    <w:rsid w:val="00542312"/>
    <w:rsid w:val="0054237A"/>
    <w:rsid w:val="005423CB"/>
    <w:rsid w:val="00542461"/>
    <w:rsid w:val="00542463"/>
    <w:rsid w:val="00542511"/>
    <w:rsid w:val="00542545"/>
    <w:rsid w:val="0054259E"/>
    <w:rsid w:val="00542907"/>
    <w:rsid w:val="00542995"/>
    <w:rsid w:val="00542A6B"/>
    <w:rsid w:val="00542B80"/>
    <w:rsid w:val="00542D65"/>
    <w:rsid w:val="005431D9"/>
    <w:rsid w:val="00543334"/>
    <w:rsid w:val="00543396"/>
    <w:rsid w:val="005433A5"/>
    <w:rsid w:val="00543743"/>
    <w:rsid w:val="00543893"/>
    <w:rsid w:val="00543939"/>
    <w:rsid w:val="00543B87"/>
    <w:rsid w:val="00543D06"/>
    <w:rsid w:val="00543E39"/>
    <w:rsid w:val="00543ECC"/>
    <w:rsid w:val="00543F10"/>
    <w:rsid w:val="00543FF4"/>
    <w:rsid w:val="005442DB"/>
    <w:rsid w:val="0054441F"/>
    <w:rsid w:val="0054446A"/>
    <w:rsid w:val="0054449E"/>
    <w:rsid w:val="005444CE"/>
    <w:rsid w:val="0054454E"/>
    <w:rsid w:val="005446B5"/>
    <w:rsid w:val="005448D9"/>
    <w:rsid w:val="00545267"/>
    <w:rsid w:val="00545278"/>
    <w:rsid w:val="00545379"/>
    <w:rsid w:val="005453BE"/>
    <w:rsid w:val="00545841"/>
    <w:rsid w:val="00545C18"/>
    <w:rsid w:val="00545D38"/>
    <w:rsid w:val="0054606D"/>
    <w:rsid w:val="00546272"/>
    <w:rsid w:val="0054670A"/>
    <w:rsid w:val="005467AF"/>
    <w:rsid w:val="005468DC"/>
    <w:rsid w:val="0054693D"/>
    <w:rsid w:val="00546AD1"/>
    <w:rsid w:val="00546C54"/>
    <w:rsid w:val="00546D53"/>
    <w:rsid w:val="00546F88"/>
    <w:rsid w:val="00547157"/>
    <w:rsid w:val="0054738C"/>
    <w:rsid w:val="005473BC"/>
    <w:rsid w:val="00547630"/>
    <w:rsid w:val="00547650"/>
    <w:rsid w:val="005477A4"/>
    <w:rsid w:val="0054782A"/>
    <w:rsid w:val="0054788E"/>
    <w:rsid w:val="00547B22"/>
    <w:rsid w:val="005501ED"/>
    <w:rsid w:val="00550267"/>
    <w:rsid w:val="005503D9"/>
    <w:rsid w:val="005504C5"/>
    <w:rsid w:val="005504E0"/>
    <w:rsid w:val="00550526"/>
    <w:rsid w:val="005505F9"/>
    <w:rsid w:val="005505FD"/>
    <w:rsid w:val="005506C9"/>
    <w:rsid w:val="005507BA"/>
    <w:rsid w:val="00550877"/>
    <w:rsid w:val="00550912"/>
    <w:rsid w:val="00550A6B"/>
    <w:rsid w:val="00550AC3"/>
    <w:rsid w:val="00550D3C"/>
    <w:rsid w:val="00550DC7"/>
    <w:rsid w:val="005511C2"/>
    <w:rsid w:val="00551421"/>
    <w:rsid w:val="00551535"/>
    <w:rsid w:val="0055160E"/>
    <w:rsid w:val="00551719"/>
    <w:rsid w:val="0055198F"/>
    <w:rsid w:val="00551B57"/>
    <w:rsid w:val="00551CB5"/>
    <w:rsid w:val="005521F4"/>
    <w:rsid w:val="005522DE"/>
    <w:rsid w:val="005523B5"/>
    <w:rsid w:val="005524DA"/>
    <w:rsid w:val="00552753"/>
    <w:rsid w:val="00552B01"/>
    <w:rsid w:val="00552C4D"/>
    <w:rsid w:val="00552C95"/>
    <w:rsid w:val="00552C98"/>
    <w:rsid w:val="00552C9F"/>
    <w:rsid w:val="00552CAE"/>
    <w:rsid w:val="00552CE8"/>
    <w:rsid w:val="00552EAE"/>
    <w:rsid w:val="00553340"/>
    <w:rsid w:val="005533B5"/>
    <w:rsid w:val="005535FC"/>
    <w:rsid w:val="00553850"/>
    <w:rsid w:val="00553C2C"/>
    <w:rsid w:val="00554023"/>
    <w:rsid w:val="00554155"/>
    <w:rsid w:val="00554402"/>
    <w:rsid w:val="00554554"/>
    <w:rsid w:val="005545D6"/>
    <w:rsid w:val="005545F7"/>
    <w:rsid w:val="0055476B"/>
    <w:rsid w:val="0055484C"/>
    <w:rsid w:val="00554858"/>
    <w:rsid w:val="00554E0B"/>
    <w:rsid w:val="00554F28"/>
    <w:rsid w:val="005552C1"/>
    <w:rsid w:val="0055531B"/>
    <w:rsid w:val="00555518"/>
    <w:rsid w:val="005557B1"/>
    <w:rsid w:val="005559BA"/>
    <w:rsid w:val="00555C6D"/>
    <w:rsid w:val="00555C6F"/>
    <w:rsid w:val="00555F39"/>
    <w:rsid w:val="00555FD0"/>
    <w:rsid w:val="005561CF"/>
    <w:rsid w:val="00556544"/>
    <w:rsid w:val="00556758"/>
    <w:rsid w:val="00556942"/>
    <w:rsid w:val="00556A5C"/>
    <w:rsid w:val="00556C1B"/>
    <w:rsid w:val="00556F9E"/>
    <w:rsid w:val="00557028"/>
    <w:rsid w:val="0055713B"/>
    <w:rsid w:val="005571E0"/>
    <w:rsid w:val="00557290"/>
    <w:rsid w:val="00557468"/>
    <w:rsid w:val="00557511"/>
    <w:rsid w:val="005577EE"/>
    <w:rsid w:val="00557B2C"/>
    <w:rsid w:val="00557C2D"/>
    <w:rsid w:val="00557E87"/>
    <w:rsid w:val="005600A8"/>
    <w:rsid w:val="005601C0"/>
    <w:rsid w:val="005601C2"/>
    <w:rsid w:val="0056043C"/>
    <w:rsid w:val="005605DC"/>
    <w:rsid w:val="005607C1"/>
    <w:rsid w:val="005607D3"/>
    <w:rsid w:val="00560A7E"/>
    <w:rsid w:val="00560AC6"/>
    <w:rsid w:val="00560BA0"/>
    <w:rsid w:val="00560DFB"/>
    <w:rsid w:val="00561101"/>
    <w:rsid w:val="0056141E"/>
    <w:rsid w:val="0056145E"/>
    <w:rsid w:val="005614F8"/>
    <w:rsid w:val="005615E0"/>
    <w:rsid w:val="00561612"/>
    <w:rsid w:val="00561AC7"/>
    <w:rsid w:val="00561BAF"/>
    <w:rsid w:val="00561D67"/>
    <w:rsid w:val="00561D6D"/>
    <w:rsid w:val="00561DB9"/>
    <w:rsid w:val="00561DEF"/>
    <w:rsid w:val="00561E08"/>
    <w:rsid w:val="00562085"/>
    <w:rsid w:val="00562121"/>
    <w:rsid w:val="0056212C"/>
    <w:rsid w:val="00562256"/>
    <w:rsid w:val="0056228B"/>
    <w:rsid w:val="005622C2"/>
    <w:rsid w:val="00562811"/>
    <w:rsid w:val="00562826"/>
    <w:rsid w:val="0056291A"/>
    <w:rsid w:val="0056294B"/>
    <w:rsid w:val="00562958"/>
    <w:rsid w:val="005629BF"/>
    <w:rsid w:val="00562A77"/>
    <w:rsid w:val="00562A91"/>
    <w:rsid w:val="00562CB1"/>
    <w:rsid w:val="00562CFA"/>
    <w:rsid w:val="00562DF2"/>
    <w:rsid w:val="00562E34"/>
    <w:rsid w:val="00562E38"/>
    <w:rsid w:val="00563212"/>
    <w:rsid w:val="005634BD"/>
    <w:rsid w:val="005636A4"/>
    <w:rsid w:val="00563BB8"/>
    <w:rsid w:val="00563C44"/>
    <w:rsid w:val="00563C98"/>
    <w:rsid w:val="00563E46"/>
    <w:rsid w:val="00564108"/>
    <w:rsid w:val="00564437"/>
    <w:rsid w:val="005648B4"/>
    <w:rsid w:val="005648CD"/>
    <w:rsid w:val="00564C3E"/>
    <w:rsid w:val="00564EE3"/>
    <w:rsid w:val="005651DA"/>
    <w:rsid w:val="0056524B"/>
    <w:rsid w:val="00565421"/>
    <w:rsid w:val="005654AA"/>
    <w:rsid w:val="00565638"/>
    <w:rsid w:val="005656E1"/>
    <w:rsid w:val="005657ED"/>
    <w:rsid w:val="00565C55"/>
    <w:rsid w:val="00565C7B"/>
    <w:rsid w:val="00566509"/>
    <w:rsid w:val="005665EE"/>
    <w:rsid w:val="0056666E"/>
    <w:rsid w:val="005667C4"/>
    <w:rsid w:val="00566ACB"/>
    <w:rsid w:val="00566E78"/>
    <w:rsid w:val="00567416"/>
    <w:rsid w:val="0056746E"/>
    <w:rsid w:val="00567485"/>
    <w:rsid w:val="00567732"/>
    <w:rsid w:val="005679E9"/>
    <w:rsid w:val="00567B12"/>
    <w:rsid w:val="00567B7F"/>
    <w:rsid w:val="00567D39"/>
    <w:rsid w:val="00567E49"/>
    <w:rsid w:val="00567E50"/>
    <w:rsid w:val="0057033E"/>
    <w:rsid w:val="0057037E"/>
    <w:rsid w:val="00570386"/>
    <w:rsid w:val="00570617"/>
    <w:rsid w:val="00570684"/>
    <w:rsid w:val="005708B0"/>
    <w:rsid w:val="00570A30"/>
    <w:rsid w:val="00570CE4"/>
    <w:rsid w:val="00570D31"/>
    <w:rsid w:val="005712A0"/>
    <w:rsid w:val="0057132A"/>
    <w:rsid w:val="00571373"/>
    <w:rsid w:val="005713BB"/>
    <w:rsid w:val="00571421"/>
    <w:rsid w:val="00571430"/>
    <w:rsid w:val="00571437"/>
    <w:rsid w:val="0057143D"/>
    <w:rsid w:val="005714B1"/>
    <w:rsid w:val="005715A8"/>
    <w:rsid w:val="005716E5"/>
    <w:rsid w:val="005717C7"/>
    <w:rsid w:val="005717E9"/>
    <w:rsid w:val="00571909"/>
    <w:rsid w:val="005719D9"/>
    <w:rsid w:val="00571DF5"/>
    <w:rsid w:val="00571F0C"/>
    <w:rsid w:val="00572133"/>
    <w:rsid w:val="005721F1"/>
    <w:rsid w:val="0057251D"/>
    <w:rsid w:val="005725D3"/>
    <w:rsid w:val="00572723"/>
    <w:rsid w:val="00572863"/>
    <w:rsid w:val="00572887"/>
    <w:rsid w:val="005728AB"/>
    <w:rsid w:val="00572E02"/>
    <w:rsid w:val="005730A8"/>
    <w:rsid w:val="0057321F"/>
    <w:rsid w:val="00573278"/>
    <w:rsid w:val="00573592"/>
    <w:rsid w:val="005735E9"/>
    <w:rsid w:val="00573932"/>
    <w:rsid w:val="00573A22"/>
    <w:rsid w:val="00573A5E"/>
    <w:rsid w:val="00573B89"/>
    <w:rsid w:val="00573D65"/>
    <w:rsid w:val="00573E8B"/>
    <w:rsid w:val="00574062"/>
    <w:rsid w:val="0057411B"/>
    <w:rsid w:val="005741D4"/>
    <w:rsid w:val="00574225"/>
    <w:rsid w:val="005743D0"/>
    <w:rsid w:val="00574435"/>
    <w:rsid w:val="0057453D"/>
    <w:rsid w:val="005747FE"/>
    <w:rsid w:val="00574A06"/>
    <w:rsid w:val="00574E1D"/>
    <w:rsid w:val="00574E46"/>
    <w:rsid w:val="00575132"/>
    <w:rsid w:val="005752C7"/>
    <w:rsid w:val="00575482"/>
    <w:rsid w:val="0057573B"/>
    <w:rsid w:val="00575742"/>
    <w:rsid w:val="00575945"/>
    <w:rsid w:val="00575DFF"/>
    <w:rsid w:val="00575ED9"/>
    <w:rsid w:val="0057634F"/>
    <w:rsid w:val="005763DF"/>
    <w:rsid w:val="005763F5"/>
    <w:rsid w:val="005767C1"/>
    <w:rsid w:val="005768AA"/>
    <w:rsid w:val="005768DB"/>
    <w:rsid w:val="005768EC"/>
    <w:rsid w:val="0057695F"/>
    <w:rsid w:val="00577179"/>
    <w:rsid w:val="005772AF"/>
    <w:rsid w:val="005774A3"/>
    <w:rsid w:val="00577743"/>
    <w:rsid w:val="0057778F"/>
    <w:rsid w:val="005779DC"/>
    <w:rsid w:val="00577B61"/>
    <w:rsid w:val="00577B7B"/>
    <w:rsid w:val="00577BC1"/>
    <w:rsid w:val="00577EFA"/>
    <w:rsid w:val="00580004"/>
    <w:rsid w:val="0058013F"/>
    <w:rsid w:val="005802DC"/>
    <w:rsid w:val="0058059F"/>
    <w:rsid w:val="0058066F"/>
    <w:rsid w:val="00580859"/>
    <w:rsid w:val="00580A12"/>
    <w:rsid w:val="00580A13"/>
    <w:rsid w:val="00580B68"/>
    <w:rsid w:val="00580D0F"/>
    <w:rsid w:val="00580FC3"/>
    <w:rsid w:val="00581050"/>
    <w:rsid w:val="005812AF"/>
    <w:rsid w:val="005812F0"/>
    <w:rsid w:val="00581462"/>
    <w:rsid w:val="005814F2"/>
    <w:rsid w:val="00581520"/>
    <w:rsid w:val="00581539"/>
    <w:rsid w:val="0058153F"/>
    <w:rsid w:val="00581614"/>
    <w:rsid w:val="00581633"/>
    <w:rsid w:val="0058165A"/>
    <w:rsid w:val="005817E8"/>
    <w:rsid w:val="005818D7"/>
    <w:rsid w:val="00581B29"/>
    <w:rsid w:val="00581DD9"/>
    <w:rsid w:val="00581F08"/>
    <w:rsid w:val="00582177"/>
    <w:rsid w:val="0058221E"/>
    <w:rsid w:val="005828CD"/>
    <w:rsid w:val="00582BB4"/>
    <w:rsid w:val="00582D89"/>
    <w:rsid w:val="00583089"/>
    <w:rsid w:val="005831B6"/>
    <w:rsid w:val="0058326D"/>
    <w:rsid w:val="00583476"/>
    <w:rsid w:val="00583581"/>
    <w:rsid w:val="005835A9"/>
    <w:rsid w:val="005836ED"/>
    <w:rsid w:val="00583816"/>
    <w:rsid w:val="00583BC9"/>
    <w:rsid w:val="00583BD0"/>
    <w:rsid w:val="00583CAA"/>
    <w:rsid w:val="00583CE8"/>
    <w:rsid w:val="00583E7F"/>
    <w:rsid w:val="005843F8"/>
    <w:rsid w:val="00584647"/>
    <w:rsid w:val="00584662"/>
    <w:rsid w:val="00584884"/>
    <w:rsid w:val="00584968"/>
    <w:rsid w:val="00584B25"/>
    <w:rsid w:val="00584B68"/>
    <w:rsid w:val="00584BA1"/>
    <w:rsid w:val="00584DB0"/>
    <w:rsid w:val="00584E9E"/>
    <w:rsid w:val="00584F40"/>
    <w:rsid w:val="00584FD0"/>
    <w:rsid w:val="00585036"/>
    <w:rsid w:val="00585677"/>
    <w:rsid w:val="00585699"/>
    <w:rsid w:val="00585A25"/>
    <w:rsid w:val="00585B84"/>
    <w:rsid w:val="00585C58"/>
    <w:rsid w:val="00585C83"/>
    <w:rsid w:val="00585C8F"/>
    <w:rsid w:val="00585CB9"/>
    <w:rsid w:val="00585F12"/>
    <w:rsid w:val="00585F8F"/>
    <w:rsid w:val="005860D4"/>
    <w:rsid w:val="0058645F"/>
    <w:rsid w:val="005865E4"/>
    <w:rsid w:val="005866F4"/>
    <w:rsid w:val="00586859"/>
    <w:rsid w:val="0058685F"/>
    <w:rsid w:val="00586EFF"/>
    <w:rsid w:val="00587232"/>
    <w:rsid w:val="00587415"/>
    <w:rsid w:val="00587A4A"/>
    <w:rsid w:val="00587BBA"/>
    <w:rsid w:val="00587CEB"/>
    <w:rsid w:val="00587DFD"/>
    <w:rsid w:val="00587E6B"/>
    <w:rsid w:val="00587FA3"/>
    <w:rsid w:val="00588A16"/>
    <w:rsid w:val="00590140"/>
    <w:rsid w:val="005901C7"/>
    <w:rsid w:val="005903F9"/>
    <w:rsid w:val="00590414"/>
    <w:rsid w:val="0059048A"/>
    <w:rsid w:val="005905E5"/>
    <w:rsid w:val="0059061E"/>
    <w:rsid w:val="00590FA9"/>
    <w:rsid w:val="005910BF"/>
    <w:rsid w:val="00591106"/>
    <w:rsid w:val="00591244"/>
    <w:rsid w:val="0059163D"/>
    <w:rsid w:val="005917CB"/>
    <w:rsid w:val="00591862"/>
    <w:rsid w:val="00591987"/>
    <w:rsid w:val="00591A3F"/>
    <w:rsid w:val="00591A5D"/>
    <w:rsid w:val="00591AF1"/>
    <w:rsid w:val="00591C84"/>
    <w:rsid w:val="00591DE2"/>
    <w:rsid w:val="00592019"/>
    <w:rsid w:val="0059205A"/>
    <w:rsid w:val="005922E9"/>
    <w:rsid w:val="005924B7"/>
    <w:rsid w:val="00592584"/>
    <w:rsid w:val="0059271E"/>
    <w:rsid w:val="00592A3D"/>
    <w:rsid w:val="00592AA5"/>
    <w:rsid w:val="00592BDA"/>
    <w:rsid w:val="00592CF8"/>
    <w:rsid w:val="00592D78"/>
    <w:rsid w:val="00592DBB"/>
    <w:rsid w:val="00593295"/>
    <w:rsid w:val="005932BC"/>
    <w:rsid w:val="00593394"/>
    <w:rsid w:val="0059349B"/>
    <w:rsid w:val="005938A8"/>
    <w:rsid w:val="005938F1"/>
    <w:rsid w:val="005938F5"/>
    <w:rsid w:val="00593AF9"/>
    <w:rsid w:val="005940F2"/>
    <w:rsid w:val="005941E7"/>
    <w:rsid w:val="0059422D"/>
    <w:rsid w:val="00594233"/>
    <w:rsid w:val="00594268"/>
    <w:rsid w:val="0059464B"/>
    <w:rsid w:val="00594B01"/>
    <w:rsid w:val="005951A5"/>
    <w:rsid w:val="00595264"/>
    <w:rsid w:val="00595449"/>
    <w:rsid w:val="005958AF"/>
    <w:rsid w:val="00595973"/>
    <w:rsid w:val="00595A1C"/>
    <w:rsid w:val="00595A32"/>
    <w:rsid w:val="00595A91"/>
    <w:rsid w:val="00595B12"/>
    <w:rsid w:val="00595E57"/>
    <w:rsid w:val="00595F08"/>
    <w:rsid w:val="00595F1F"/>
    <w:rsid w:val="00595FD3"/>
    <w:rsid w:val="005961E6"/>
    <w:rsid w:val="005962D1"/>
    <w:rsid w:val="005962D9"/>
    <w:rsid w:val="005964AC"/>
    <w:rsid w:val="005968D1"/>
    <w:rsid w:val="005969B9"/>
    <w:rsid w:val="00596AB6"/>
    <w:rsid w:val="00596B6E"/>
    <w:rsid w:val="00596C3B"/>
    <w:rsid w:val="00596C54"/>
    <w:rsid w:val="00596C6E"/>
    <w:rsid w:val="00596DA6"/>
    <w:rsid w:val="00596E8A"/>
    <w:rsid w:val="005970A5"/>
    <w:rsid w:val="005970C5"/>
    <w:rsid w:val="005971C5"/>
    <w:rsid w:val="005973E9"/>
    <w:rsid w:val="00597439"/>
    <w:rsid w:val="0059747E"/>
    <w:rsid w:val="00597767"/>
    <w:rsid w:val="00597857"/>
    <w:rsid w:val="00597895"/>
    <w:rsid w:val="005978E6"/>
    <w:rsid w:val="00597A69"/>
    <w:rsid w:val="00597AC1"/>
    <w:rsid w:val="00597DB4"/>
    <w:rsid w:val="00597E46"/>
    <w:rsid w:val="00597E8E"/>
    <w:rsid w:val="00597EF7"/>
    <w:rsid w:val="00597F6F"/>
    <w:rsid w:val="005A00DE"/>
    <w:rsid w:val="005A0110"/>
    <w:rsid w:val="005A02E1"/>
    <w:rsid w:val="005A0434"/>
    <w:rsid w:val="005A045C"/>
    <w:rsid w:val="005A0503"/>
    <w:rsid w:val="005A068A"/>
    <w:rsid w:val="005A0938"/>
    <w:rsid w:val="005A094A"/>
    <w:rsid w:val="005A09E8"/>
    <w:rsid w:val="005A0B81"/>
    <w:rsid w:val="005A0DFD"/>
    <w:rsid w:val="005A0E52"/>
    <w:rsid w:val="005A1176"/>
    <w:rsid w:val="005A1356"/>
    <w:rsid w:val="005A1474"/>
    <w:rsid w:val="005A17D4"/>
    <w:rsid w:val="005A18AF"/>
    <w:rsid w:val="005A1AD9"/>
    <w:rsid w:val="005A1B78"/>
    <w:rsid w:val="005A1B7F"/>
    <w:rsid w:val="005A1C93"/>
    <w:rsid w:val="005A1CFC"/>
    <w:rsid w:val="005A1EB6"/>
    <w:rsid w:val="005A1FCC"/>
    <w:rsid w:val="005A20E7"/>
    <w:rsid w:val="005A2110"/>
    <w:rsid w:val="005A25C3"/>
    <w:rsid w:val="005A26ED"/>
    <w:rsid w:val="005A2862"/>
    <w:rsid w:val="005A2C1D"/>
    <w:rsid w:val="005A32CF"/>
    <w:rsid w:val="005A336A"/>
    <w:rsid w:val="005A34B5"/>
    <w:rsid w:val="005A352E"/>
    <w:rsid w:val="005A3B74"/>
    <w:rsid w:val="005A3CA6"/>
    <w:rsid w:val="005A3CF8"/>
    <w:rsid w:val="005A3D99"/>
    <w:rsid w:val="005A3DC9"/>
    <w:rsid w:val="005A3E20"/>
    <w:rsid w:val="005A40B7"/>
    <w:rsid w:val="005A41AF"/>
    <w:rsid w:val="005A44D3"/>
    <w:rsid w:val="005A4590"/>
    <w:rsid w:val="005A4655"/>
    <w:rsid w:val="005A4ABB"/>
    <w:rsid w:val="005A4E49"/>
    <w:rsid w:val="005A4FB1"/>
    <w:rsid w:val="005A5341"/>
    <w:rsid w:val="005A5635"/>
    <w:rsid w:val="005A5648"/>
    <w:rsid w:val="005A5752"/>
    <w:rsid w:val="005A575E"/>
    <w:rsid w:val="005A5A23"/>
    <w:rsid w:val="005A5E6F"/>
    <w:rsid w:val="005A6000"/>
    <w:rsid w:val="005A634A"/>
    <w:rsid w:val="005A6363"/>
    <w:rsid w:val="005A651F"/>
    <w:rsid w:val="005A65FB"/>
    <w:rsid w:val="005A669B"/>
    <w:rsid w:val="005A676A"/>
    <w:rsid w:val="005A69BC"/>
    <w:rsid w:val="005A69CA"/>
    <w:rsid w:val="005A6C33"/>
    <w:rsid w:val="005A6CD3"/>
    <w:rsid w:val="005A6DED"/>
    <w:rsid w:val="005A7381"/>
    <w:rsid w:val="005A7548"/>
    <w:rsid w:val="005A755E"/>
    <w:rsid w:val="005A765F"/>
    <w:rsid w:val="005A791D"/>
    <w:rsid w:val="005A7BB0"/>
    <w:rsid w:val="005A7CC0"/>
    <w:rsid w:val="005A7F68"/>
    <w:rsid w:val="005B014F"/>
    <w:rsid w:val="005B01F5"/>
    <w:rsid w:val="005B05A4"/>
    <w:rsid w:val="005B0733"/>
    <w:rsid w:val="005B0828"/>
    <w:rsid w:val="005B083E"/>
    <w:rsid w:val="005B09C9"/>
    <w:rsid w:val="005B0A34"/>
    <w:rsid w:val="005B0A62"/>
    <w:rsid w:val="005B0AB0"/>
    <w:rsid w:val="005B0AE1"/>
    <w:rsid w:val="005B1077"/>
    <w:rsid w:val="005B108F"/>
    <w:rsid w:val="005B1466"/>
    <w:rsid w:val="005B15B0"/>
    <w:rsid w:val="005B1643"/>
    <w:rsid w:val="005B186E"/>
    <w:rsid w:val="005B19AD"/>
    <w:rsid w:val="005B1B10"/>
    <w:rsid w:val="005B1B67"/>
    <w:rsid w:val="005B1C08"/>
    <w:rsid w:val="005B1C4D"/>
    <w:rsid w:val="005B1F4C"/>
    <w:rsid w:val="005B1FC0"/>
    <w:rsid w:val="005B2022"/>
    <w:rsid w:val="005B2080"/>
    <w:rsid w:val="005B2093"/>
    <w:rsid w:val="005B20B8"/>
    <w:rsid w:val="005B20ED"/>
    <w:rsid w:val="005B229C"/>
    <w:rsid w:val="005B2318"/>
    <w:rsid w:val="005B236A"/>
    <w:rsid w:val="005B2455"/>
    <w:rsid w:val="005B24B5"/>
    <w:rsid w:val="005B2842"/>
    <w:rsid w:val="005B2847"/>
    <w:rsid w:val="005B2928"/>
    <w:rsid w:val="005B2BBC"/>
    <w:rsid w:val="005B2C46"/>
    <w:rsid w:val="005B2C8B"/>
    <w:rsid w:val="005B2F4B"/>
    <w:rsid w:val="005B2FD5"/>
    <w:rsid w:val="005B3166"/>
    <w:rsid w:val="005B344B"/>
    <w:rsid w:val="005B3809"/>
    <w:rsid w:val="005B3AD2"/>
    <w:rsid w:val="005B400B"/>
    <w:rsid w:val="005B4032"/>
    <w:rsid w:val="005B4192"/>
    <w:rsid w:val="005B43A7"/>
    <w:rsid w:val="005B43B1"/>
    <w:rsid w:val="005B4892"/>
    <w:rsid w:val="005B48BC"/>
    <w:rsid w:val="005B48E8"/>
    <w:rsid w:val="005B4A72"/>
    <w:rsid w:val="005B4D8C"/>
    <w:rsid w:val="005B4E75"/>
    <w:rsid w:val="005B5015"/>
    <w:rsid w:val="005B5016"/>
    <w:rsid w:val="005B506C"/>
    <w:rsid w:val="005B5171"/>
    <w:rsid w:val="005B5A1D"/>
    <w:rsid w:val="005B5A7A"/>
    <w:rsid w:val="005B5C01"/>
    <w:rsid w:val="005B5C97"/>
    <w:rsid w:val="005B5E47"/>
    <w:rsid w:val="005B5FF8"/>
    <w:rsid w:val="005B5FF9"/>
    <w:rsid w:val="005B60AC"/>
    <w:rsid w:val="005B620F"/>
    <w:rsid w:val="005B6383"/>
    <w:rsid w:val="005B6425"/>
    <w:rsid w:val="005B6537"/>
    <w:rsid w:val="005B669E"/>
    <w:rsid w:val="005B6745"/>
    <w:rsid w:val="005B68C8"/>
    <w:rsid w:val="005B69A9"/>
    <w:rsid w:val="005B6CF8"/>
    <w:rsid w:val="005B6DB0"/>
    <w:rsid w:val="005B6FC4"/>
    <w:rsid w:val="005B71FD"/>
    <w:rsid w:val="005B728A"/>
    <w:rsid w:val="005B7424"/>
    <w:rsid w:val="005B749D"/>
    <w:rsid w:val="005B757A"/>
    <w:rsid w:val="005B7622"/>
    <w:rsid w:val="005B76BE"/>
    <w:rsid w:val="005B76CA"/>
    <w:rsid w:val="005B7728"/>
    <w:rsid w:val="005B7745"/>
    <w:rsid w:val="005B774D"/>
    <w:rsid w:val="005B783F"/>
    <w:rsid w:val="005B79D4"/>
    <w:rsid w:val="005B79FD"/>
    <w:rsid w:val="005B7B71"/>
    <w:rsid w:val="005C0011"/>
    <w:rsid w:val="005C0259"/>
    <w:rsid w:val="005C0332"/>
    <w:rsid w:val="005C0427"/>
    <w:rsid w:val="005C0613"/>
    <w:rsid w:val="005C07AE"/>
    <w:rsid w:val="005C07C8"/>
    <w:rsid w:val="005C0AD3"/>
    <w:rsid w:val="005C0B16"/>
    <w:rsid w:val="005C0DC0"/>
    <w:rsid w:val="005C1000"/>
    <w:rsid w:val="005C1177"/>
    <w:rsid w:val="005C1350"/>
    <w:rsid w:val="005C1749"/>
    <w:rsid w:val="005C18B6"/>
    <w:rsid w:val="005C195F"/>
    <w:rsid w:val="005C1B82"/>
    <w:rsid w:val="005C1BF1"/>
    <w:rsid w:val="005C1CA2"/>
    <w:rsid w:val="005C1DAE"/>
    <w:rsid w:val="005C1DEB"/>
    <w:rsid w:val="005C1DFE"/>
    <w:rsid w:val="005C1E25"/>
    <w:rsid w:val="005C1F87"/>
    <w:rsid w:val="005C204D"/>
    <w:rsid w:val="005C2116"/>
    <w:rsid w:val="005C21A6"/>
    <w:rsid w:val="005C2253"/>
    <w:rsid w:val="005C2605"/>
    <w:rsid w:val="005C2B13"/>
    <w:rsid w:val="005C2B67"/>
    <w:rsid w:val="005C2D27"/>
    <w:rsid w:val="005C3058"/>
    <w:rsid w:val="005C33AB"/>
    <w:rsid w:val="005C3485"/>
    <w:rsid w:val="005C34AB"/>
    <w:rsid w:val="005C34D6"/>
    <w:rsid w:val="005C364D"/>
    <w:rsid w:val="005C3674"/>
    <w:rsid w:val="005C36D8"/>
    <w:rsid w:val="005C3A4C"/>
    <w:rsid w:val="005C3B29"/>
    <w:rsid w:val="005C3B6F"/>
    <w:rsid w:val="005C3BC7"/>
    <w:rsid w:val="005C3ECA"/>
    <w:rsid w:val="005C4262"/>
    <w:rsid w:val="005C4479"/>
    <w:rsid w:val="005C4507"/>
    <w:rsid w:val="005C457C"/>
    <w:rsid w:val="005C47F1"/>
    <w:rsid w:val="005C4861"/>
    <w:rsid w:val="005C4BED"/>
    <w:rsid w:val="005C4C1E"/>
    <w:rsid w:val="005C4DF9"/>
    <w:rsid w:val="005C4E96"/>
    <w:rsid w:val="005C4ED0"/>
    <w:rsid w:val="005C4F11"/>
    <w:rsid w:val="005C5046"/>
    <w:rsid w:val="005C505F"/>
    <w:rsid w:val="005C5064"/>
    <w:rsid w:val="005C5076"/>
    <w:rsid w:val="005C50DB"/>
    <w:rsid w:val="005C5189"/>
    <w:rsid w:val="005C52A7"/>
    <w:rsid w:val="005C5333"/>
    <w:rsid w:val="005C5399"/>
    <w:rsid w:val="005C5643"/>
    <w:rsid w:val="005C5912"/>
    <w:rsid w:val="005C5AA3"/>
    <w:rsid w:val="005C5B1A"/>
    <w:rsid w:val="005C5BF0"/>
    <w:rsid w:val="005C5C1B"/>
    <w:rsid w:val="005C5DD3"/>
    <w:rsid w:val="005C5EDD"/>
    <w:rsid w:val="005C5F84"/>
    <w:rsid w:val="005C5FB2"/>
    <w:rsid w:val="005C63B0"/>
    <w:rsid w:val="005C6471"/>
    <w:rsid w:val="005C6506"/>
    <w:rsid w:val="005C652C"/>
    <w:rsid w:val="005C6905"/>
    <w:rsid w:val="005C69F8"/>
    <w:rsid w:val="005C6A3F"/>
    <w:rsid w:val="005C6BE9"/>
    <w:rsid w:val="005C6C3B"/>
    <w:rsid w:val="005C6F65"/>
    <w:rsid w:val="005C6F71"/>
    <w:rsid w:val="005C6FC0"/>
    <w:rsid w:val="005C7100"/>
    <w:rsid w:val="005C71A1"/>
    <w:rsid w:val="005C723C"/>
    <w:rsid w:val="005C7537"/>
    <w:rsid w:val="005C7571"/>
    <w:rsid w:val="005C78E0"/>
    <w:rsid w:val="005C7CA0"/>
    <w:rsid w:val="005D03F9"/>
    <w:rsid w:val="005D0491"/>
    <w:rsid w:val="005D055B"/>
    <w:rsid w:val="005D0566"/>
    <w:rsid w:val="005D070A"/>
    <w:rsid w:val="005D0713"/>
    <w:rsid w:val="005D087D"/>
    <w:rsid w:val="005D089F"/>
    <w:rsid w:val="005D08F2"/>
    <w:rsid w:val="005D0928"/>
    <w:rsid w:val="005D0947"/>
    <w:rsid w:val="005D0B04"/>
    <w:rsid w:val="005D0CCB"/>
    <w:rsid w:val="005D0CF7"/>
    <w:rsid w:val="005D0E4B"/>
    <w:rsid w:val="005D0F0B"/>
    <w:rsid w:val="005D0F8F"/>
    <w:rsid w:val="005D0FEF"/>
    <w:rsid w:val="005D103A"/>
    <w:rsid w:val="005D103F"/>
    <w:rsid w:val="005D131C"/>
    <w:rsid w:val="005D131D"/>
    <w:rsid w:val="005D1A69"/>
    <w:rsid w:val="005D1B82"/>
    <w:rsid w:val="005D1D71"/>
    <w:rsid w:val="005D20CA"/>
    <w:rsid w:val="005D2153"/>
    <w:rsid w:val="005D21D7"/>
    <w:rsid w:val="005D2224"/>
    <w:rsid w:val="005D22F3"/>
    <w:rsid w:val="005D2439"/>
    <w:rsid w:val="005D25F2"/>
    <w:rsid w:val="005D2655"/>
    <w:rsid w:val="005D27E1"/>
    <w:rsid w:val="005D284A"/>
    <w:rsid w:val="005D3210"/>
    <w:rsid w:val="005D331D"/>
    <w:rsid w:val="005D3415"/>
    <w:rsid w:val="005D37F5"/>
    <w:rsid w:val="005D38E6"/>
    <w:rsid w:val="005D3939"/>
    <w:rsid w:val="005D394C"/>
    <w:rsid w:val="005D3A15"/>
    <w:rsid w:val="005D3BAB"/>
    <w:rsid w:val="005D3BF8"/>
    <w:rsid w:val="005D3CC5"/>
    <w:rsid w:val="005D3D64"/>
    <w:rsid w:val="005D3D77"/>
    <w:rsid w:val="005D42A5"/>
    <w:rsid w:val="005D44A8"/>
    <w:rsid w:val="005D467D"/>
    <w:rsid w:val="005D47E8"/>
    <w:rsid w:val="005D493B"/>
    <w:rsid w:val="005D49AB"/>
    <w:rsid w:val="005D4AEC"/>
    <w:rsid w:val="005D4B28"/>
    <w:rsid w:val="005D4CE9"/>
    <w:rsid w:val="005D4F90"/>
    <w:rsid w:val="005D4F9D"/>
    <w:rsid w:val="005D5282"/>
    <w:rsid w:val="005D5577"/>
    <w:rsid w:val="005D5650"/>
    <w:rsid w:val="005D5B8A"/>
    <w:rsid w:val="005D5BBE"/>
    <w:rsid w:val="005D5F8E"/>
    <w:rsid w:val="005D5F95"/>
    <w:rsid w:val="005D6038"/>
    <w:rsid w:val="005D61D6"/>
    <w:rsid w:val="005D63DB"/>
    <w:rsid w:val="005D6570"/>
    <w:rsid w:val="005D65E6"/>
    <w:rsid w:val="005D671A"/>
    <w:rsid w:val="005D684E"/>
    <w:rsid w:val="005D689D"/>
    <w:rsid w:val="005D6A8F"/>
    <w:rsid w:val="005D6B4C"/>
    <w:rsid w:val="005D6B4D"/>
    <w:rsid w:val="005D6EBE"/>
    <w:rsid w:val="005D6FA6"/>
    <w:rsid w:val="005D739F"/>
    <w:rsid w:val="005D7597"/>
    <w:rsid w:val="005D7DE2"/>
    <w:rsid w:val="005D7E22"/>
    <w:rsid w:val="005D7E25"/>
    <w:rsid w:val="005E0052"/>
    <w:rsid w:val="005E0175"/>
    <w:rsid w:val="005E0205"/>
    <w:rsid w:val="005E0234"/>
    <w:rsid w:val="005E04EE"/>
    <w:rsid w:val="005E075F"/>
    <w:rsid w:val="005E0902"/>
    <w:rsid w:val="005E0937"/>
    <w:rsid w:val="005E099C"/>
    <w:rsid w:val="005E09D6"/>
    <w:rsid w:val="005E0ADE"/>
    <w:rsid w:val="005E0C7C"/>
    <w:rsid w:val="005E0DB2"/>
    <w:rsid w:val="005E0DB7"/>
    <w:rsid w:val="005E1010"/>
    <w:rsid w:val="005E103E"/>
    <w:rsid w:val="005E107C"/>
    <w:rsid w:val="005E13AE"/>
    <w:rsid w:val="005E13D0"/>
    <w:rsid w:val="005E17AC"/>
    <w:rsid w:val="005E18D8"/>
    <w:rsid w:val="005E18DE"/>
    <w:rsid w:val="005E1AF5"/>
    <w:rsid w:val="005E1C90"/>
    <w:rsid w:val="005E1E28"/>
    <w:rsid w:val="005E1EF8"/>
    <w:rsid w:val="005E1FAA"/>
    <w:rsid w:val="005E21A7"/>
    <w:rsid w:val="005E22CC"/>
    <w:rsid w:val="005E2477"/>
    <w:rsid w:val="005E26D3"/>
    <w:rsid w:val="005E27E7"/>
    <w:rsid w:val="005E29D6"/>
    <w:rsid w:val="005E2A7C"/>
    <w:rsid w:val="005E2E12"/>
    <w:rsid w:val="005E319D"/>
    <w:rsid w:val="005E3320"/>
    <w:rsid w:val="005E35E0"/>
    <w:rsid w:val="005E37E3"/>
    <w:rsid w:val="005E3A19"/>
    <w:rsid w:val="005E3A94"/>
    <w:rsid w:val="005E3E5D"/>
    <w:rsid w:val="005E3E78"/>
    <w:rsid w:val="005E3EE9"/>
    <w:rsid w:val="005E3F3D"/>
    <w:rsid w:val="005E40D2"/>
    <w:rsid w:val="005E41F8"/>
    <w:rsid w:val="005E4378"/>
    <w:rsid w:val="005E4397"/>
    <w:rsid w:val="005E4597"/>
    <w:rsid w:val="005E45E0"/>
    <w:rsid w:val="005E46A4"/>
    <w:rsid w:val="005E4A00"/>
    <w:rsid w:val="005E4C47"/>
    <w:rsid w:val="005E4CC3"/>
    <w:rsid w:val="005E4D4B"/>
    <w:rsid w:val="005E522F"/>
    <w:rsid w:val="005E530E"/>
    <w:rsid w:val="005E5438"/>
    <w:rsid w:val="005E546D"/>
    <w:rsid w:val="005E5484"/>
    <w:rsid w:val="005E5976"/>
    <w:rsid w:val="005E59C0"/>
    <w:rsid w:val="005E5A1F"/>
    <w:rsid w:val="005E5AC6"/>
    <w:rsid w:val="005E5BC3"/>
    <w:rsid w:val="005E5DE3"/>
    <w:rsid w:val="005E5F0F"/>
    <w:rsid w:val="005E630B"/>
    <w:rsid w:val="005E638C"/>
    <w:rsid w:val="005E641B"/>
    <w:rsid w:val="005E64DF"/>
    <w:rsid w:val="005E6707"/>
    <w:rsid w:val="005E676C"/>
    <w:rsid w:val="005E6781"/>
    <w:rsid w:val="005E6816"/>
    <w:rsid w:val="005E688D"/>
    <w:rsid w:val="005E7275"/>
    <w:rsid w:val="005E7555"/>
    <w:rsid w:val="005E7654"/>
    <w:rsid w:val="005E7660"/>
    <w:rsid w:val="005E7870"/>
    <w:rsid w:val="005E7B82"/>
    <w:rsid w:val="005E7BD7"/>
    <w:rsid w:val="005E7C9D"/>
    <w:rsid w:val="005E7F1C"/>
    <w:rsid w:val="005F011D"/>
    <w:rsid w:val="005F018C"/>
    <w:rsid w:val="005F0387"/>
    <w:rsid w:val="005F04E3"/>
    <w:rsid w:val="005F0515"/>
    <w:rsid w:val="005F0575"/>
    <w:rsid w:val="005F07AE"/>
    <w:rsid w:val="005F07F4"/>
    <w:rsid w:val="005F087E"/>
    <w:rsid w:val="005F0884"/>
    <w:rsid w:val="005F0917"/>
    <w:rsid w:val="005F0A48"/>
    <w:rsid w:val="005F0AF9"/>
    <w:rsid w:val="005F0C71"/>
    <w:rsid w:val="005F0CB8"/>
    <w:rsid w:val="005F0F9E"/>
    <w:rsid w:val="005F1179"/>
    <w:rsid w:val="005F14B3"/>
    <w:rsid w:val="005F1535"/>
    <w:rsid w:val="005F1712"/>
    <w:rsid w:val="005F18B0"/>
    <w:rsid w:val="005F19DC"/>
    <w:rsid w:val="005F1A1A"/>
    <w:rsid w:val="005F1E8D"/>
    <w:rsid w:val="005F1F2C"/>
    <w:rsid w:val="005F2525"/>
    <w:rsid w:val="005F276E"/>
    <w:rsid w:val="005F2A5A"/>
    <w:rsid w:val="005F2E21"/>
    <w:rsid w:val="005F3464"/>
    <w:rsid w:val="005F3498"/>
    <w:rsid w:val="005F34FD"/>
    <w:rsid w:val="005F35BF"/>
    <w:rsid w:val="005F35C5"/>
    <w:rsid w:val="005F3825"/>
    <w:rsid w:val="005F3CF8"/>
    <w:rsid w:val="005F3DE2"/>
    <w:rsid w:val="005F4150"/>
    <w:rsid w:val="005F4156"/>
    <w:rsid w:val="005F41D7"/>
    <w:rsid w:val="005F4311"/>
    <w:rsid w:val="005F455E"/>
    <w:rsid w:val="005F45F8"/>
    <w:rsid w:val="005F4819"/>
    <w:rsid w:val="005F4839"/>
    <w:rsid w:val="005F4932"/>
    <w:rsid w:val="005F4CD2"/>
    <w:rsid w:val="005F4DC7"/>
    <w:rsid w:val="005F4E43"/>
    <w:rsid w:val="005F5398"/>
    <w:rsid w:val="005F554C"/>
    <w:rsid w:val="005F5670"/>
    <w:rsid w:val="005F56EA"/>
    <w:rsid w:val="005F5704"/>
    <w:rsid w:val="005F59F5"/>
    <w:rsid w:val="005F5E9C"/>
    <w:rsid w:val="005F5F9B"/>
    <w:rsid w:val="005F604F"/>
    <w:rsid w:val="005F62AE"/>
    <w:rsid w:val="005F630B"/>
    <w:rsid w:val="005F6950"/>
    <w:rsid w:val="005F6954"/>
    <w:rsid w:val="005F6AAA"/>
    <w:rsid w:val="005F6B8F"/>
    <w:rsid w:val="005F6CEE"/>
    <w:rsid w:val="005F6D59"/>
    <w:rsid w:val="005F6E05"/>
    <w:rsid w:val="005F70A2"/>
    <w:rsid w:val="005F7150"/>
    <w:rsid w:val="005F7152"/>
    <w:rsid w:val="005F71F1"/>
    <w:rsid w:val="005F7379"/>
    <w:rsid w:val="005F7696"/>
    <w:rsid w:val="005F76B6"/>
    <w:rsid w:val="005F772A"/>
    <w:rsid w:val="005F773C"/>
    <w:rsid w:val="005F7846"/>
    <w:rsid w:val="005F798C"/>
    <w:rsid w:val="005F7A88"/>
    <w:rsid w:val="005F7D68"/>
    <w:rsid w:val="005F7EB1"/>
    <w:rsid w:val="005F7FC4"/>
    <w:rsid w:val="006000DE"/>
    <w:rsid w:val="00600264"/>
    <w:rsid w:val="006002DE"/>
    <w:rsid w:val="0060048C"/>
    <w:rsid w:val="00600839"/>
    <w:rsid w:val="00600951"/>
    <w:rsid w:val="006009C1"/>
    <w:rsid w:val="00600CA6"/>
    <w:rsid w:val="00600CB3"/>
    <w:rsid w:val="00600E4F"/>
    <w:rsid w:val="00600FAF"/>
    <w:rsid w:val="006010AF"/>
    <w:rsid w:val="00601A02"/>
    <w:rsid w:val="00601A5F"/>
    <w:rsid w:val="00601B09"/>
    <w:rsid w:val="00601CE1"/>
    <w:rsid w:val="00601FF4"/>
    <w:rsid w:val="00602011"/>
    <w:rsid w:val="006020BD"/>
    <w:rsid w:val="0060226D"/>
    <w:rsid w:val="0060229A"/>
    <w:rsid w:val="00602329"/>
    <w:rsid w:val="0060244A"/>
    <w:rsid w:val="0060251F"/>
    <w:rsid w:val="006027F6"/>
    <w:rsid w:val="006029AE"/>
    <w:rsid w:val="006029D6"/>
    <w:rsid w:val="00602C2F"/>
    <w:rsid w:val="00602CBA"/>
    <w:rsid w:val="00602D6D"/>
    <w:rsid w:val="00602E40"/>
    <w:rsid w:val="00603035"/>
    <w:rsid w:val="006030D8"/>
    <w:rsid w:val="006030F3"/>
    <w:rsid w:val="006031C7"/>
    <w:rsid w:val="00603293"/>
    <w:rsid w:val="0060359F"/>
    <w:rsid w:val="0060361E"/>
    <w:rsid w:val="006036AE"/>
    <w:rsid w:val="00603743"/>
    <w:rsid w:val="006037FD"/>
    <w:rsid w:val="00603ABD"/>
    <w:rsid w:val="00603BA5"/>
    <w:rsid w:val="00603C6C"/>
    <w:rsid w:val="00603FD9"/>
    <w:rsid w:val="0060402D"/>
    <w:rsid w:val="00604206"/>
    <w:rsid w:val="0060422E"/>
    <w:rsid w:val="006044F8"/>
    <w:rsid w:val="0060464F"/>
    <w:rsid w:val="00604818"/>
    <w:rsid w:val="00604825"/>
    <w:rsid w:val="00604C85"/>
    <w:rsid w:val="00604E50"/>
    <w:rsid w:val="00605076"/>
    <w:rsid w:val="006050A9"/>
    <w:rsid w:val="006050BC"/>
    <w:rsid w:val="006051FA"/>
    <w:rsid w:val="00605347"/>
    <w:rsid w:val="0060539B"/>
    <w:rsid w:val="00605589"/>
    <w:rsid w:val="006055FB"/>
    <w:rsid w:val="006058B2"/>
    <w:rsid w:val="00605BAC"/>
    <w:rsid w:val="00605E70"/>
    <w:rsid w:val="00605F6B"/>
    <w:rsid w:val="006060FF"/>
    <w:rsid w:val="0060623A"/>
    <w:rsid w:val="00606324"/>
    <w:rsid w:val="00606403"/>
    <w:rsid w:val="006066C4"/>
    <w:rsid w:val="006067E2"/>
    <w:rsid w:val="006068FF"/>
    <w:rsid w:val="00606D92"/>
    <w:rsid w:val="00606DD3"/>
    <w:rsid w:val="00606E3B"/>
    <w:rsid w:val="00607260"/>
    <w:rsid w:val="0060744C"/>
    <w:rsid w:val="006076BC"/>
    <w:rsid w:val="00607920"/>
    <w:rsid w:val="00607A01"/>
    <w:rsid w:val="00607A09"/>
    <w:rsid w:val="00607AC4"/>
    <w:rsid w:val="00607F5C"/>
    <w:rsid w:val="006102BE"/>
    <w:rsid w:val="00610459"/>
    <w:rsid w:val="00610498"/>
    <w:rsid w:val="006105CC"/>
    <w:rsid w:val="00610880"/>
    <w:rsid w:val="0061090D"/>
    <w:rsid w:val="006109D8"/>
    <w:rsid w:val="00610A41"/>
    <w:rsid w:val="00610B2C"/>
    <w:rsid w:val="00610CBD"/>
    <w:rsid w:val="00610E90"/>
    <w:rsid w:val="0061101B"/>
    <w:rsid w:val="00611038"/>
    <w:rsid w:val="00611092"/>
    <w:rsid w:val="00611394"/>
    <w:rsid w:val="00611489"/>
    <w:rsid w:val="00611613"/>
    <w:rsid w:val="0061171E"/>
    <w:rsid w:val="00611BA7"/>
    <w:rsid w:val="00611BE6"/>
    <w:rsid w:val="00611C89"/>
    <w:rsid w:val="00611D8C"/>
    <w:rsid w:val="00611F50"/>
    <w:rsid w:val="00611FBF"/>
    <w:rsid w:val="006120AD"/>
    <w:rsid w:val="00612161"/>
    <w:rsid w:val="00612428"/>
    <w:rsid w:val="00612496"/>
    <w:rsid w:val="006124DD"/>
    <w:rsid w:val="0061271B"/>
    <w:rsid w:val="006129F9"/>
    <w:rsid w:val="00612AE9"/>
    <w:rsid w:val="00612DF1"/>
    <w:rsid w:val="0061330C"/>
    <w:rsid w:val="00613311"/>
    <w:rsid w:val="0061333A"/>
    <w:rsid w:val="0061350F"/>
    <w:rsid w:val="00613660"/>
    <w:rsid w:val="006136CB"/>
    <w:rsid w:val="006136CF"/>
    <w:rsid w:val="006138B5"/>
    <w:rsid w:val="006139BE"/>
    <w:rsid w:val="006139DB"/>
    <w:rsid w:val="00613D0F"/>
    <w:rsid w:val="00613DC5"/>
    <w:rsid w:val="00613F0C"/>
    <w:rsid w:val="00614263"/>
    <w:rsid w:val="006143CA"/>
    <w:rsid w:val="00614528"/>
    <w:rsid w:val="006146A9"/>
    <w:rsid w:val="00614EE7"/>
    <w:rsid w:val="00614F5E"/>
    <w:rsid w:val="00615306"/>
    <w:rsid w:val="0061543A"/>
    <w:rsid w:val="006157F9"/>
    <w:rsid w:val="0061593F"/>
    <w:rsid w:val="006159D2"/>
    <w:rsid w:val="00615F28"/>
    <w:rsid w:val="006161BF"/>
    <w:rsid w:val="006162AE"/>
    <w:rsid w:val="00616722"/>
    <w:rsid w:val="00616C8F"/>
    <w:rsid w:val="00616DBC"/>
    <w:rsid w:val="00616E47"/>
    <w:rsid w:val="00616EB4"/>
    <w:rsid w:val="00616FA3"/>
    <w:rsid w:val="00616FE8"/>
    <w:rsid w:val="006172D0"/>
    <w:rsid w:val="006174E9"/>
    <w:rsid w:val="006175D1"/>
    <w:rsid w:val="00617782"/>
    <w:rsid w:val="00617C01"/>
    <w:rsid w:val="00617CA9"/>
    <w:rsid w:val="00617EDC"/>
    <w:rsid w:val="00617F10"/>
    <w:rsid w:val="006202AD"/>
    <w:rsid w:val="006202F0"/>
    <w:rsid w:val="00620787"/>
    <w:rsid w:val="00620A15"/>
    <w:rsid w:val="00620C23"/>
    <w:rsid w:val="00620C33"/>
    <w:rsid w:val="00620D37"/>
    <w:rsid w:val="00620F02"/>
    <w:rsid w:val="00620FBB"/>
    <w:rsid w:val="00621164"/>
    <w:rsid w:val="00621299"/>
    <w:rsid w:val="006212BB"/>
    <w:rsid w:val="00621341"/>
    <w:rsid w:val="006213AE"/>
    <w:rsid w:val="006214ED"/>
    <w:rsid w:val="0062151F"/>
    <w:rsid w:val="0062158D"/>
    <w:rsid w:val="00621633"/>
    <w:rsid w:val="006216B9"/>
    <w:rsid w:val="006217BB"/>
    <w:rsid w:val="0062188C"/>
    <w:rsid w:val="0062197C"/>
    <w:rsid w:val="006219D2"/>
    <w:rsid w:val="00621C53"/>
    <w:rsid w:val="00621D38"/>
    <w:rsid w:val="00621FCA"/>
    <w:rsid w:val="0062208E"/>
    <w:rsid w:val="00622240"/>
    <w:rsid w:val="00622371"/>
    <w:rsid w:val="0062256E"/>
    <w:rsid w:val="00622744"/>
    <w:rsid w:val="00622A70"/>
    <w:rsid w:val="00622B42"/>
    <w:rsid w:val="00622B64"/>
    <w:rsid w:val="00622D4A"/>
    <w:rsid w:val="00623387"/>
    <w:rsid w:val="00623398"/>
    <w:rsid w:val="00623499"/>
    <w:rsid w:val="00623A4B"/>
    <w:rsid w:val="00623AB6"/>
    <w:rsid w:val="00623C27"/>
    <w:rsid w:val="00623C8C"/>
    <w:rsid w:val="00623EF0"/>
    <w:rsid w:val="00624086"/>
    <w:rsid w:val="006240FB"/>
    <w:rsid w:val="006244BA"/>
    <w:rsid w:val="00624518"/>
    <w:rsid w:val="00624595"/>
    <w:rsid w:val="00624629"/>
    <w:rsid w:val="0062473C"/>
    <w:rsid w:val="006248C5"/>
    <w:rsid w:val="00624D12"/>
    <w:rsid w:val="00624D27"/>
    <w:rsid w:val="00624DEE"/>
    <w:rsid w:val="00624ECD"/>
    <w:rsid w:val="00624F8E"/>
    <w:rsid w:val="00624FBB"/>
    <w:rsid w:val="00625193"/>
    <w:rsid w:val="0062549C"/>
    <w:rsid w:val="0062552B"/>
    <w:rsid w:val="006257E6"/>
    <w:rsid w:val="0062584A"/>
    <w:rsid w:val="00625E62"/>
    <w:rsid w:val="00625EFA"/>
    <w:rsid w:val="006260BF"/>
    <w:rsid w:val="0062617A"/>
    <w:rsid w:val="00626618"/>
    <w:rsid w:val="00626922"/>
    <w:rsid w:val="00626934"/>
    <w:rsid w:val="00626A70"/>
    <w:rsid w:val="00626AA8"/>
    <w:rsid w:val="00626BF3"/>
    <w:rsid w:val="00626C3B"/>
    <w:rsid w:val="00626C81"/>
    <w:rsid w:val="00626E41"/>
    <w:rsid w:val="00626FE6"/>
    <w:rsid w:val="0062756B"/>
    <w:rsid w:val="0062760D"/>
    <w:rsid w:val="0062762F"/>
    <w:rsid w:val="006276E2"/>
    <w:rsid w:val="00627A69"/>
    <w:rsid w:val="00627AC6"/>
    <w:rsid w:val="00627BAF"/>
    <w:rsid w:val="00627BEE"/>
    <w:rsid w:val="00627E69"/>
    <w:rsid w:val="00627F74"/>
    <w:rsid w:val="00630173"/>
    <w:rsid w:val="00630281"/>
    <w:rsid w:val="00630284"/>
    <w:rsid w:val="0063067D"/>
    <w:rsid w:val="00630704"/>
    <w:rsid w:val="00630868"/>
    <w:rsid w:val="006308F9"/>
    <w:rsid w:val="0063094C"/>
    <w:rsid w:val="00630A33"/>
    <w:rsid w:val="00630D0D"/>
    <w:rsid w:val="00630D19"/>
    <w:rsid w:val="00630D45"/>
    <w:rsid w:val="00630DB8"/>
    <w:rsid w:val="00630E75"/>
    <w:rsid w:val="00630ED4"/>
    <w:rsid w:val="00631033"/>
    <w:rsid w:val="00631349"/>
    <w:rsid w:val="00631351"/>
    <w:rsid w:val="006315F0"/>
    <w:rsid w:val="00631632"/>
    <w:rsid w:val="00631633"/>
    <w:rsid w:val="006316E3"/>
    <w:rsid w:val="00631863"/>
    <w:rsid w:val="0063197A"/>
    <w:rsid w:val="006319EF"/>
    <w:rsid w:val="00631CC6"/>
    <w:rsid w:val="00631D28"/>
    <w:rsid w:val="00631D47"/>
    <w:rsid w:val="00631D5B"/>
    <w:rsid w:val="00632129"/>
    <w:rsid w:val="00632134"/>
    <w:rsid w:val="0063239C"/>
    <w:rsid w:val="00632603"/>
    <w:rsid w:val="006328E1"/>
    <w:rsid w:val="00632A28"/>
    <w:rsid w:val="00632BAF"/>
    <w:rsid w:val="00632BDB"/>
    <w:rsid w:val="00632D87"/>
    <w:rsid w:val="00632EA7"/>
    <w:rsid w:val="006331C1"/>
    <w:rsid w:val="006331EB"/>
    <w:rsid w:val="0063337C"/>
    <w:rsid w:val="006337EB"/>
    <w:rsid w:val="00633A8B"/>
    <w:rsid w:val="00634062"/>
    <w:rsid w:val="0063406A"/>
    <w:rsid w:val="00634079"/>
    <w:rsid w:val="00634165"/>
    <w:rsid w:val="006341FB"/>
    <w:rsid w:val="00634237"/>
    <w:rsid w:val="00634273"/>
    <w:rsid w:val="006344C9"/>
    <w:rsid w:val="0063465B"/>
    <w:rsid w:val="00634702"/>
    <w:rsid w:val="00634735"/>
    <w:rsid w:val="0063498E"/>
    <w:rsid w:val="006349E4"/>
    <w:rsid w:val="00634C00"/>
    <w:rsid w:val="00634C19"/>
    <w:rsid w:val="00634C6D"/>
    <w:rsid w:val="00634DEC"/>
    <w:rsid w:val="00634EAD"/>
    <w:rsid w:val="00634FF1"/>
    <w:rsid w:val="00635255"/>
    <w:rsid w:val="00635365"/>
    <w:rsid w:val="00635408"/>
    <w:rsid w:val="00635415"/>
    <w:rsid w:val="00635495"/>
    <w:rsid w:val="0063556E"/>
    <w:rsid w:val="00635AFA"/>
    <w:rsid w:val="00635F60"/>
    <w:rsid w:val="00635F70"/>
    <w:rsid w:val="0063616E"/>
    <w:rsid w:val="00636596"/>
    <w:rsid w:val="006367D7"/>
    <w:rsid w:val="0063688B"/>
    <w:rsid w:val="00636941"/>
    <w:rsid w:val="00636B23"/>
    <w:rsid w:val="00636CB1"/>
    <w:rsid w:val="00636D2B"/>
    <w:rsid w:val="00636D76"/>
    <w:rsid w:val="00636D77"/>
    <w:rsid w:val="00636D86"/>
    <w:rsid w:val="00636E90"/>
    <w:rsid w:val="00636F94"/>
    <w:rsid w:val="0063709E"/>
    <w:rsid w:val="00637310"/>
    <w:rsid w:val="006375A4"/>
    <w:rsid w:val="006375A8"/>
    <w:rsid w:val="00637677"/>
    <w:rsid w:val="006377A9"/>
    <w:rsid w:val="00637832"/>
    <w:rsid w:val="0063797A"/>
    <w:rsid w:val="00637984"/>
    <w:rsid w:val="006379C4"/>
    <w:rsid w:val="00637CFC"/>
    <w:rsid w:val="00637E96"/>
    <w:rsid w:val="0064002D"/>
    <w:rsid w:val="00640032"/>
    <w:rsid w:val="006400DF"/>
    <w:rsid w:val="006401E1"/>
    <w:rsid w:val="006405AA"/>
    <w:rsid w:val="006407DE"/>
    <w:rsid w:val="006407E9"/>
    <w:rsid w:val="0064080D"/>
    <w:rsid w:val="00640896"/>
    <w:rsid w:val="00640B38"/>
    <w:rsid w:val="00640F49"/>
    <w:rsid w:val="0064103E"/>
    <w:rsid w:val="00641054"/>
    <w:rsid w:val="00641269"/>
    <w:rsid w:val="0064133E"/>
    <w:rsid w:val="0064133F"/>
    <w:rsid w:val="00641501"/>
    <w:rsid w:val="00641542"/>
    <w:rsid w:val="00641656"/>
    <w:rsid w:val="0064171A"/>
    <w:rsid w:val="006417AF"/>
    <w:rsid w:val="0064180B"/>
    <w:rsid w:val="00641839"/>
    <w:rsid w:val="00641A75"/>
    <w:rsid w:val="00641B88"/>
    <w:rsid w:val="00641BE8"/>
    <w:rsid w:val="00641E0A"/>
    <w:rsid w:val="00642020"/>
    <w:rsid w:val="006420EC"/>
    <w:rsid w:val="006424AD"/>
    <w:rsid w:val="00642599"/>
    <w:rsid w:val="006426AD"/>
    <w:rsid w:val="00642775"/>
    <w:rsid w:val="006427B0"/>
    <w:rsid w:val="006427C3"/>
    <w:rsid w:val="00642A9A"/>
    <w:rsid w:val="00642AE1"/>
    <w:rsid w:val="00642BB2"/>
    <w:rsid w:val="00642DFE"/>
    <w:rsid w:val="00642E30"/>
    <w:rsid w:val="00642E49"/>
    <w:rsid w:val="00642F29"/>
    <w:rsid w:val="00642F3E"/>
    <w:rsid w:val="0064301D"/>
    <w:rsid w:val="0064309E"/>
    <w:rsid w:val="006430AC"/>
    <w:rsid w:val="00643185"/>
    <w:rsid w:val="006434DA"/>
    <w:rsid w:val="006435EC"/>
    <w:rsid w:val="0064366D"/>
    <w:rsid w:val="006438BB"/>
    <w:rsid w:val="00643B9B"/>
    <w:rsid w:val="00643CF7"/>
    <w:rsid w:val="00643D41"/>
    <w:rsid w:val="00643D4A"/>
    <w:rsid w:val="00644254"/>
    <w:rsid w:val="00644343"/>
    <w:rsid w:val="00644441"/>
    <w:rsid w:val="00644470"/>
    <w:rsid w:val="00644479"/>
    <w:rsid w:val="006444A0"/>
    <w:rsid w:val="006444C6"/>
    <w:rsid w:val="00644517"/>
    <w:rsid w:val="006448D5"/>
    <w:rsid w:val="006449E1"/>
    <w:rsid w:val="00644CA2"/>
    <w:rsid w:val="00644D44"/>
    <w:rsid w:val="00644DC2"/>
    <w:rsid w:val="0064514E"/>
    <w:rsid w:val="00645165"/>
    <w:rsid w:val="00645193"/>
    <w:rsid w:val="006453CB"/>
    <w:rsid w:val="006453ED"/>
    <w:rsid w:val="0064542E"/>
    <w:rsid w:val="00645451"/>
    <w:rsid w:val="006455B6"/>
    <w:rsid w:val="00645602"/>
    <w:rsid w:val="0064561B"/>
    <w:rsid w:val="00645633"/>
    <w:rsid w:val="00645783"/>
    <w:rsid w:val="00645A42"/>
    <w:rsid w:val="00645D2E"/>
    <w:rsid w:val="00645D36"/>
    <w:rsid w:val="00645DDC"/>
    <w:rsid w:val="00645E35"/>
    <w:rsid w:val="00645F2A"/>
    <w:rsid w:val="00646059"/>
    <w:rsid w:val="00646257"/>
    <w:rsid w:val="00646489"/>
    <w:rsid w:val="006464EC"/>
    <w:rsid w:val="00646591"/>
    <w:rsid w:val="00646803"/>
    <w:rsid w:val="00646A98"/>
    <w:rsid w:val="00646B5F"/>
    <w:rsid w:val="00646BB6"/>
    <w:rsid w:val="00646DE6"/>
    <w:rsid w:val="00646ED7"/>
    <w:rsid w:val="0064733C"/>
    <w:rsid w:val="0064737E"/>
    <w:rsid w:val="00647595"/>
    <w:rsid w:val="006475EA"/>
    <w:rsid w:val="00647A9F"/>
    <w:rsid w:val="00647AAF"/>
    <w:rsid w:val="00647CD5"/>
    <w:rsid w:val="00647F06"/>
    <w:rsid w:val="00650005"/>
    <w:rsid w:val="00650341"/>
    <w:rsid w:val="006505F5"/>
    <w:rsid w:val="0065064C"/>
    <w:rsid w:val="006508A6"/>
    <w:rsid w:val="00650E86"/>
    <w:rsid w:val="00650EFE"/>
    <w:rsid w:val="0065104E"/>
    <w:rsid w:val="0065122A"/>
    <w:rsid w:val="00651278"/>
    <w:rsid w:val="006512D0"/>
    <w:rsid w:val="00651361"/>
    <w:rsid w:val="00651441"/>
    <w:rsid w:val="006516F0"/>
    <w:rsid w:val="006517A2"/>
    <w:rsid w:val="006518F5"/>
    <w:rsid w:val="0065194C"/>
    <w:rsid w:val="00651A3A"/>
    <w:rsid w:val="00651B2C"/>
    <w:rsid w:val="00651D79"/>
    <w:rsid w:val="00651EA4"/>
    <w:rsid w:val="00652703"/>
    <w:rsid w:val="0065275B"/>
    <w:rsid w:val="00652857"/>
    <w:rsid w:val="00652877"/>
    <w:rsid w:val="00652A56"/>
    <w:rsid w:val="00652B07"/>
    <w:rsid w:val="00652CD6"/>
    <w:rsid w:val="00652DA1"/>
    <w:rsid w:val="00653141"/>
    <w:rsid w:val="00653553"/>
    <w:rsid w:val="006535EE"/>
    <w:rsid w:val="006536A7"/>
    <w:rsid w:val="006536BC"/>
    <w:rsid w:val="00653D2A"/>
    <w:rsid w:val="00653D56"/>
    <w:rsid w:val="00653D5A"/>
    <w:rsid w:val="00653EE1"/>
    <w:rsid w:val="00653FB7"/>
    <w:rsid w:val="0065419D"/>
    <w:rsid w:val="0065421F"/>
    <w:rsid w:val="006542E4"/>
    <w:rsid w:val="006545D0"/>
    <w:rsid w:val="00654663"/>
    <w:rsid w:val="0065486A"/>
    <w:rsid w:val="00654933"/>
    <w:rsid w:val="00654B34"/>
    <w:rsid w:val="00654B70"/>
    <w:rsid w:val="00654BA5"/>
    <w:rsid w:val="00654C7A"/>
    <w:rsid w:val="0065532A"/>
    <w:rsid w:val="006553CC"/>
    <w:rsid w:val="006554A4"/>
    <w:rsid w:val="0065559A"/>
    <w:rsid w:val="00655645"/>
    <w:rsid w:val="006556A7"/>
    <w:rsid w:val="0065573D"/>
    <w:rsid w:val="00655AF2"/>
    <w:rsid w:val="00655BCA"/>
    <w:rsid w:val="00655C03"/>
    <w:rsid w:val="00655E7E"/>
    <w:rsid w:val="0065609E"/>
    <w:rsid w:val="00656144"/>
    <w:rsid w:val="0065629F"/>
    <w:rsid w:val="00656362"/>
    <w:rsid w:val="00656694"/>
    <w:rsid w:val="00656901"/>
    <w:rsid w:val="006569DA"/>
    <w:rsid w:val="00656D08"/>
    <w:rsid w:val="00656E2C"/>
    <w:rsid w:val="00656FF1"/>
    <w:rsid w:val="006571C4"/>
    <w:rsid w:val="006572E9"/>
    <w:rsid w:val="0065741E"/>
    <w:rsid w:val="00657444"/>
    <w:rsid w:val="0065746A"/>
    <w:rsid w:val="006576FE"/>
    <w:rsid w:val="006577C6"/>
    <w:rsid w:val="00657949"/>
    <w:rsid w:val="00657ACB"/>
    <w:rsid w:val="00657C50"/>
    <w:rsid w:val="00657DDD"/>
    <w:rsid w:val="00657E2A"/>
    <w:rsid w:val="00657E82"/>
    <w:rsid w:val="00657FF6"/>
    <w:rsid w:val="00660009"/>
    <w:rsid w:val="00660011"/>
    <w:rsid w:val="006600B9"/>
    <w:rsid w:val="006601BB"/>
    <w:rsid w:val="00660266"/>
    <w:rsid w:val="006602FB"/>
    <w:rsid w:val="0066045E"/>
    <w:rsid w:val="006606E0"/>
    <w:rsid w:val="00660730"/>
    <w:rsid w:val="00660C7E"/>
    <w:rsid w:val="00660D4F"/>
    <w:rsid w:val="00661651"/>
    <w:rsid w:val="00661AB5"/>
    <w:rsid w:val="00661BA4"/>
    <w:rsid w:val="00661DB0"/>
    <w:rsid w:val="00661E2D"/>
    <w:rsid w:val="00661EE4"/>
    <w:rsid w:val="00662222"/>
    <w:rsid w:val="00662348"/>
    <w:rsid w:val="006623D3"/>
    <w:rsid w:val="006625FA"/>
    <w:rsid w:val="00662B73"/>
    <w:rsid w:val="00662DA2"/>
    <w:rsid w:val="00662DA3"/>
    <w:rsid w:val="00662E62"/>
    <w:rsid w:val="00662F21"/>
    <w:rsid w:val="00662FEF"/>
    <w:rsid w:val="0066338B"/>
    <w:rsid w:val="006633A2"/>
    <w:rsid w:val="0066340D"/>
    <w:rsid w:val="006634FD"/>
    <w:rsid w:val="00663563"/>
    <w:rsid w:val="00663624"/>
    <w:rsid w:val="00663946"/>
    <w:rsid w:val="00663A51"/>
    <w:rsid w:val="00663A6E"/>
    <w:rsid w:val="00663C10"/>
    <w:rsid w:val="00663D9B"/>
    <w:rsid w:val="00663F09"/>
    <w:rsid w:val="00663FEB"/>
    <w:rsid w:val="006640C2"/>
    <w:rsid w:val="0066474A"/>
    <w:rsid w:val="00664919"/>
    <w:rsid w:val="00664B90"/>
    <w:rsid w:val="00664CBE"/>
    <w:rsid w:val="0066504A"/>
    <w:rsid w:val="00665147"/>
    <w:rsid w:val="0066519C"/>
    <w:rsid w:val="0066528E"/>
    <w:rsid w:val="006652DD"/>
    <w:rsid w:val="0066564E"/>
    <w:rsid w:val="00665E0E"/>
    <w:rsid w:val="0066637B"/>
    <w:rsid w:val="00666582"/>
    <w:rsid w:val="006668AF"/>
    <w:rsid w:val="00666A7B"/>
    <w:rsid w:val="00666A7E"/>
    <w:rsid w:val="00666ACB"/>
    <w:rsid w:val="00666C21"/>
    <w:rsid w:val="00666D62"/>
    <w:rsid w:val="00666F48"/>
    <w:rsid w:val="0066705B"/>
    <w:rsid w:val="006670A4"/>
    <w:rsid w:val="006670B2"/>
    <w:rsid w:val="0066750F"/>
    <w:rsid w:val="00667804"/>
    <w:rsid w:val="0066784A"/>
    <w:rsid w:val="006678ED"/>
    <w:rsid w:val="006679B0"/>
    <w:rsid w:val="00667C80"/>
    <w:rsid w:val="00667C85"/>
    <w:rsid w:val="00667EE4"/>
    <w:rsid w:val="006700CB"/>
    <w:rsid w:val="0067059C"/>
    <w:rsid w:val="00670849"/>
    <w:rsid w:val="00670AC9"/>
    <w:rsid w:val="00670B5E"/>
    <w:rsid w:val="00670D14"/>
    <w:rsid w:val="00671017"/>
    <w:rsid w:val="00671096"/>
    <w:rsid w:val="0067115D"/>
    <w:rsid w:val="006711A5"/>
    <w:rsid w:val="0067120B"/>
    <w:rsid w:val="0067140F"/>
    <w:rsid w:val="0067150E"/>
    <w:rsid w:val="00671596"/>
    <w:rsid w:val="00671687"/>
    <w:rsid w:val="00671986"/>
    <w:rsid w:val="00671F3E"/>
    <w:rsid w:val="00671F43"/>
    <w:rsid w:val="00671FF3"/>
    <w:rsid w:val="00672293"/>
    <w:rsid w:val="006722CF"/>
    <w:rsid w:val="006722D9"/>
    <w:rsid w:val="00672483"/>
    <w:rsid w:val="00672508"/>
    <w:rsid w:val="00672514"/>
    <w:rsid w:val="00672635"/>
    <w:rsid w:val="006726D3"/>
    <w:rsid w:val="006727F1"/>
    <w:rsid w:val="006728B7"/>
    <w:rsid w:val="006729D5"/>
    <w:rsid w:val="00672A10"/>
    <w:rsid w:val="00672A3B"/>
    <w:rsid w:val="00672A9B"/>
    <w:rsid w:val="00672DB7"/>
    <w:rsid w:val="00673047"/>
    <w:rsid w:val="0067334A"/>
    <w:rsid w:val="006734E3"/>
    <w:rsid w:val="00673740"/>
    <w:rsid w:val="00673D33"/>
    <w:rsid w:val="00673D52"/>
    <w:rsid w:val="00673EC5"/>
    <w:rsid w:val="0067408F"/>
    <w:rsid w:val="0067448F"/>
    <w:rsid w:val="006744C1"/>
    <w:rsid w:val="00674581"/>
    <w:rsid w:val="0067459F"/>
    <w:rsid w:val="006748A9"/>
    <w:rsid w:val="00674983"/>
    <w:rsid w:val="00674CFC"/>
    <w:rsid w:val="00674DE7"/>
    <w:rsid w:val="006751BA"/>
    <w:rsid w:val="0067530A"/>
    <w:rsid w:val="0067542E"/>
    <w:rsid w:val="0067546B"/>
    <w:rsid w:val="00675584"/>
    <w:rsid w:val="006756CC"/>
    <w:rsid w:val="006757F4"/>
    <w:rsid w:val="00675878"/>
    <w:rsid w:val="00675C71"/>
    <w:rsid w:val="00675C83"/>
    <w:rsid w:val="00675D49"/>
    <w:rsid w:val="00675FD5"/>
    <w:rsid w:val="00676084"/>
    <w:rsid w:val="006760B1"/>
    <w:rsid w:val="00676112"/>
    <w:rsid w:val="00676158"/>
    <w:rsid w:val="006764AC"/>
    <w:rsid w:val="006766A6"/>
    <w:rsid w:val="00676C81"/>
    <w:rsid w:val="00676CEB"/>
    <w:rsid w:val="00676E7D"/>
    <w:rsid w:val="00676F9C"/>
    <w:rsid w:val="00677034"/>
    <w:rsid w:val="00677179"/>
    <w:rsid w:val="00677224"/>
    <w:rsid w:val="0067732C"/>
    <w:rsid w:val="00677379"/>
    <w:rsid w:val="006773C5"/>
    <w:rsid w:val="00677487"/>
    <w:rsid w:val="006777A2"/>
    <w:rsid w:val="00677899"/>
    <w:rsid w:val="00677AC7"/>
    <w:rsid w:val="00677D51"/>
    <w:rsid w:val="00677D9F"/>
    <w:rsid w:val="00677EBB"/>
    <w:rsid w:val="00677ED8"/>
    <w:rsid w:val="006801E6"/>
    <w:rsid w:val="006801FF"/>
    <w:rsid w:val="0068070E"/>
    <w:rsid w:val="00680884"/>
    <w:rsid w:val="00680E40"/>
    <w:rsid w:val="00681073"/>
    <w:rsid w:val="00681104"/>
    <w:rsid w:val="006815F5"/>
    <w:rsid w:val="00681B9B"/>
    <w:rsid w:val="00681D34"/>
    <w:rsid w:val="00681D6F"/>
    <w:rsid w:val="00681FCB"/>
    <w:rsid w:val="006821A0"/>
    <w:rsid w:val="00682734"/>
    <w:rsid w:val="006829C3"/>
    <w:rsid w:val="00682B03"/>
    <w:rsid w:val="00682DBC"/>
    <w:rsid w:val="006830DE"/>
    <w:rsid w:val="006835B3"/>
    <w:rsid w:val="00683702"/>
    <w:rsid w:val="00683778"/>
    <w:rsid w:val="006837AE"/>
    <w:rsid w:val="00683BFA"/>
    <w:rsid w:val="00683D07"/>
    <w:rsid w:val="00683D82"/>
    <w:rsid w:val="00683FFE"/>
    <w:rsid w:val="0068403B"/>
    <w:rsid w:val="00684049"/>
    <w:rsid w:val="00684210"/>
    <w:rsid w:val="006842F0"/>
    <w:rsid w:val="0068431A"/>
    <w:rsid w:val="00684345"/>
    <w:rsid w:val="006845FD"/>
    <w:rsid w:val="006846A1"/>
    <w:rsid w:val="00684949"/>
    <w:rsid w:val="0068495F"/>
    <w:rsid w:val="00684A33"/>
    <w:rsid w:val="00684E73"/>
    <w:rsid w:val="00684EE3"/>
    <w:rsid w:val="0068521E"/>
    <w:rsid w:val="006856D3"/>
    <w:rsid w:val="00685871"/>
    <w:rsid w:val="006859F7"/>
    <w:rsid w:val="00685E79"/>
    <w:rsid w:val="00685EA4"/>
    <w:rsid w:val="0068601F"/>
    <w:rsid w:val="00686201"/>
    <w:rsid w:val="00686271"/>
    <w:rsid w:val="0068636C"/>
    <w:rsid w:val="0068637E"/>
    <w:rsid w:val="00686443"/>
    <w:rsid w:val="00686975"/>
    <w:rsid w:val="00686A26"/>
    <w:rsid w:val="00686B31"/>
    <w:rsid w:val="00686B54"/>
    <w:rsid w:val="00686C16"/>
    <w:rsid w:val="00686E4B"/>
    <w:rsid w:val="00686E5E"/>
    <w:rsid w:val="00686F92"/>
    <w:rsid w:val="00687023"/>
    <w:rsid w:val="0068714C"/>
    <w:rsid w:val="0068797B"/>
    <w:rsid w:val="00687A8E"/>
    <w:rsid w:val="00687BB3"/>
    <w:rsid w:val="00687C9B"/>
    <w:rsid w:val="00687CF8"/>
    <w:rsid w:val="00690535"/>
    <w:rsid w:val="0069054C"/>
    <w:rsid w:val="0069054D"/>
    <w:rsid w:val="00690864"/>
    <w:rsid w:val="006909D0"/>
    <w:rsid w:val="00690A20"/>
    <w:rsid w:val="00690BCA"/>
    <w:rsid w:val="00690C6D"/>
    <w:rsid w:val="00690CF6"/>
    <w:rsid w:val="00690E74"/>
    <w:rsid w:val="00690FA6"/>
    <w:rsid w:val="006911F5"/>
    <w:rsid w:val="00691294"/>
    <w:rsid w:val="00691363"/>
    <w:rsid w:val="006913B9"/>
    <w:rsid w:val="00691593"/>
    <w:rsid w:val="0069159E"/>
    <w:rsid w:val="006917C3"/>
    <w:rsid w:val="006919D3"/>
    <w:rsid w:val="00691D8F"/>
    <w:rsid w:val="00691E7D"/>
    <w:rsid w:val="00691EC0"/>
    <w:rsid w:val="00691F19"/>
    <w:rsid w:val="0069222F"/>
    <w:rsid w:val="0069228B"/>
    <w:rsid w:val="0069233C"/>
    <w:rsid w:val="006923B4"/>
    <w:rsid w:val="006923F5"/>
    <w:rsid w:val="0069254B"/>
    <w:rsid w:val="00692799"/>
    <w:rsid w:val="006927A2"/>
    <w:rsid w:val="006927EB"/>
    <w:rsid w:val="006928B3"/>
    <w:rsid w:val="0069302D"/>
    <w:rsid w:val="0069304F"/>
    <w:rsid w:val="00693079"/>
    <w:rsid w:val="006932EC"/>
    <w:rsid w:val="00693755"/>
    <w:rsid w:val="006938F9"/>
    <w:rsid w:val="006939E5"/>
    <w:rsid w:val="00693B51"/>
    <w:rsid w:val="00693BA4"/>
    <w:rsid w:val="00693BAA"/>
    <w:rsid w:val="00693E00"/>
    <w:rsid w:val="006941C5"/>
    <w:rsid w:val="006941FD"/>
    <w:rsid w:val="006943F2"/>
    <w:rsid w:val="00694498"/>
    <w:rsid w:val="006946B9"/>
    <w:rsid w:val="0069472A"/>
    <w:rsid w:val="00694E43"/>
    <w:rsid w:val="00694E71"/>
    <w:rsid w:val="00694F4C"/>
    <w:rsid w:val="00694FCF"/>
    <w:rsid w:val="006950A3"/>
    <w:rsid w:val="00695163"/>
    <w:rsid w:val="00695270"/>
    <w:rsid w:val="006955F3"/>
    <w:rsid w:val="006955FA"/>
    <w:rsid w:val="00695680"/>
    <w:rsid w:val="0069569A"/>
    <w:rsid w:val="00695875"/>
    <w:rsid w:val="006958BA"/>
    <w:rsid w:val="006959AF"/>
    <w:rsid w:val="006959C5"/>
    <w:rsid w:val="00695AE6"/>
    <w:rsid w:val="00695B1D"/>
    <w:rsid w:val="00695C0E"/>
    <w:rsid w:val="00695E1A"/>
    <w:rsid w:val="00695E49"/>
    <w:rsid w:val="00695E8B"/>
    <w:rsid w:val="00695F2D"/>
    <w:rsid w:val="00695F8E"/>
    <w:rsid w:val="00696154"/>
    <w:rsid w:val="006961E5"/>
    <w:rsid w:val="00696254"/>
    <w:rsid w:val="00696332"/>
    <w:rsid w:val="00696578"/>
    <w:rsid w:val="006965B2"/>
    <w:rsid w:val="00696708"/>
    <w:rsid w:val="006968AF"/>
    <w:rsid w:val="00696972"/>
    <w:rsid w:val="00696BEB"/>
    <w:rsid w:val="00696D96"/>
    <w:rsid w:val="00696DB3"/>
    <w:rsid w:val="00696DD3"/>
    <w:rsid w:val="0069712F"/>
    <w:rsid w:val="0069734F"/>
    <w:rsid w:val="0069739A"/>
    <w:rsid w:val="006974DD"/>
    <w:rsid w:val="006975BF"/>
    <w:rsid w:val="0069780B"/>
    <w:rsid w:val="006978FD"/>
    <w:rsid w:val="00697931"/>
    <w:rsid w:val="0069796A"/>
    <w:rsid w:val="006A043B"/>
    <w:rsid w:val="006A0499"/>
    <w:rsid w:val="006A0715"/>
    <w:rsid w:val="006A0763"/>
    <w:rsid w:val="006A0931"/>
    <w:rsid w:val="006A093C"/>
    <w:rsid w:val="006A09FD"/>
    <w:rsid w:val="006A0D2C"/>
    <w:rsid w:val="006A1015"/>
    <w:rsid w:val="006A118A"/>
    <w:rsid w:val="006A12C2"/>
    <w:rsid w:val="006A1525"/>
    <w:rsid w:val="006A18C7"/>
    <w:rsid w:val="006A18FF"/>
    <w:rsid w:val="006A1CD6"/>
    <w:rsid w:val="006A1F51"/>
    <w:rsid w:val="006A20F2"/>
    <w:rsid w:val="006A2215"/>
    <w:rsid w:val="006A239B"/>
    <w:rsid w:val="006A2499"/>
    <w:rsid w:val="006A2675"/>
    <w:rsid w:val="006A274C"/>
    <w:rsid w:val="006A2934"/>
    <w:rsid w:val="006A29AD"/>
    <w:rsid w:val="006A2A65"/>
    <w:rsid w:val="006A2BF1"/>
    <w:rsid w:val="006A2E18"/>
    <w:rsid w:val="006A2E2C"/>
    <w:rsid w:val="006A2E88"/>
    <w:rsid w:val="006A31AA"/>
    <w:rsid w:val="006A3564"/>
    <w:rsid w:val="006A36D0"/>
    <w:rsid w:val="006A3704"/>
    <w:rsid w:val="006A371A"/>
    <w:rsid w:val="006A37B0"/>
    <w:rsid w:val="006A3AF5"/>
    <w:rsid w:val="006A3B2F"/>
    <w:rsid w:val="006A3B6E"/>
    <w:rsid w:val="006A3CCA"/>
    <w:rsid w:val="006A3DF0"/>
    <w:rsid w:val="006A3EB7"/>
    <w:rsid w:val="006A3EE3"/>
    <w:rsid w:val="006A3FBB"/>
    <w:rsid w:val="006A4204"/>
    <w:rsid w:val="006A437A"/>
    <w:rsid w:val="006A4480"/>
    <w:rsid w:val="006A45A4"/>
    <w:rsid w:val="006A45AD"/>
    <w:rsid w:val="006A465E"/>
    <w:rsid w:val="006A466D"/>
    <w:rsid w:val="006A49F3"/>
    <w:rsid w:val="006A4A69"/>
    <w:rsid w:val="006A4D3C"/>
    <w:rsid w:val="006A4F64"/>
    <w:rsid w:val="006A4FAE"/>
    <w:rsid w:val="006A5090"/>
    <w:rsid w:val="006A55B1"/>
    <w:rsid w:val="006A5852"/>
    <w:rsid w:val="006A586A"/>
    <w:rsid w:val="006A5A17"/>
    <w:rsid w:val="006A5DEC"/>
    <w:rsid w:val="006A5EDB"/>
    <w:rsid w:val="006A6371"/>
    <w:rsid w:val="006A63C6"/>
    <w:rsid w:val="006A666E"/>
    <w:rsid w:val="006A66CF"/>
    <w:rsid w:val="006A66F5"/>
    <w:rsid w:val="006A6D00"/>
    <w:rsid w:val="006A6D43"/>
    <w:rsid w:val="006A6FC3"/>
    <w:rsid w:val="006A700F"/>
    <w:rsid w:val="006A723A"/>
    <w:rsid w:val="006A7388"/>
    <w:rsid w:val="006A76CE"/>
    <w:rsid w:val="006A7AF8"/>
    <w:rsid w:val="006A7BD3"/>
    <w:rsid w:val="006A7BD5"/>
    <w:rsid w:val="006A7FA0"/>
    <w:rsid w:val="006A7FFE"/>
    <w:rsid w:val="006B04AD"/>
    <w:rsid w:val="006B04F4"/>
    <w:rsid w:val="006B05D2"/>
    <w:rsid w:val="006B06B8"/>
    <w:rsid w:val="006B07BD"/>
    <w:rsid w:val="006B088E"/>
    <w:rsid w:val="006B0AD0"/>
    <w:rsid w:val="006B0CB2"/>
    <w:rsid w:val="006B12A5"/>
    <w:rsid w:val="006B15BB"/>
    <w:rsid w:val="006B161F"/>
    <w:rsid w:val="006B1705"/>
    <w:rsid w:val="006B189A"/>
    <w:rsid w:val="006B18F7"/>
    <w:rsid w:val="006B1A05"/>
    <w:rsid w:val="006B1E72"/>
    <w:rsid w:val="006B1FDA"/>
    <w:rsid w:val="006B1FF1"/>
    <w:rsid w:val="006B20B4"/>
    <w:rsid w:val="006B228B"/>
    <w:rsid w:val="006B23E6"/>
    <w:rsid w:val="006B2508"/>
    <w:rsid w:val="006B2750"/>
    <w:rsid w:val="006B285C"/>
    <w:rsid w:val="006B2F86"/>
    <w:rsid w:val="006B30F9"/>
    <w:rsid w:val="006B31C5"/>
    <w:rsid w:val="006B3623"/>
    <w:rsid w:val="006B3860"/>
    <w:rsid w:val="006B3875"/>
    <w:rsid w:val="006B3A3E"/>
    <w:rsid w:val="006B3D72"/>
    <w:rsid w:val="006B3DD7"/>
    <w:rsid w:val="006B3E1A"/>
    <w:rsid w:val="006B3F89"/>
    <w:rsid w:val="006B4012"/>
    <w:rsid w:val="006B420F"/>
    <w:rsid w:val="006B4246"/>
    <w:rsid w:val="006B42AD"/>
    <w:rsid w:val="006B42C1"/>
    <w:rsid w:val="006B433E"/>
    <w:rsid w:val="006B4416"/>
    <w:rsid w:val="006B44BA"/>
    <w:rsid w:val="006B45CC"/>
    <w:rsid w:val="006B4709"/>
    <w:rsid w:val="006B479E"/>
    <w:rsid w:val="006B4960"/>
    <w:rsid w:val="006B4AE7"/>
    <w:rsid w:val="006B4F33"/>
    <w:rsid w:val="006B4FB9"/>
    <w:rsid w:val="006B52CF"/>
    <w:rsid w:val="006B53BB"/>
    <w:rsid w:val="006B5457"/>
    <w:rsid w:val="006B549B"/>
    <w:rsid w:val="006B558F"/>
    <w:rsid w:val="006B55E1"/>
    <w:rsid w:val="006B5F58"/>
    <w:rsid w:val="006B615C"/>
    <w:rsid w:val="006B6272"/>
    <w:rsid w:val="006B6352"/>
    <w:rsid w:val="006B6409"/>
    <w:rsid w:val="006B6411"/>
    <w:rsid w:val="006B65B8"/>
    <w:rsid w:val="006B660C"/>
    <w:rsid w:val="006B67E4"/>
    <w:rsid w:val="006B68A4"/>
    <w:rsid w:val="006B6A39"/>
    <w:rsid w:val="006B6C94"/>
    <w:rsid w:val="006B6E18"/>
    <w:rsid w:val="006B7063"/>
    <w:rsid w:val="006B7175"/>
    <w:rsid w:val="006B71DF"/>
    <w:rsid w:val="006B71E4"/>
    <w:rsid w:val="006B721D"/>
    <w:rsid w:val="006B72B5"/>
    <w:rsid w:val="006B749B"/>
    <w:rsid w:val="006B78C3"/>
    <w:rsid w:val="006B79DF"/>
    <w:rsid w:val="006B7A4F"/>
    <w:rsid w:val="006B7A63"/>
    <w:rsid w:val="006B7BFC"/>
    <w:rsid w:val="006B7E31"/>
    <w:rsid w:val="006C0079"/>
    <w:rsid w:val="006C03FD"/>
    <w:rsid w:val="006C06B0"/>
    <w:rsid w:val="006C06BF"/>
    <w:rsid w:val="006C07C9"/>
    <w:rsid w:val="006C0891"/>
    <w:rsid w:val="006C0938"/>
    <w:rsid w:val="006C0C13"/>
    <w:rsid w:val="006C109B"/>
    <w:rsid w:val="006C10BE"/>
    <w:rsid w:val="006C10DB"/>
    <w:rsid w:val="006C154D"/>
    <w:rsid w:val="006C155D"/>
    <w:rsid w:val="006C1802"/>
    <w:rsid w:val="006C180B"/>
    <w:rsid w:val="006C18E9"/>
    <w:rsid w:val="006C1C11"/>
    <w:rsid w:val="006C1CAF"/>
    <w:rsid w:val="006C20F0"/>
    <w:rsid w:val="006C227C"/>
    <w:rsid w:val="006C22A9"/>
    <w:rsid w:val="006C2335"/>
    <w:rsid w:val="006C279B"/>
    <w:rsid w:val="006C282B"/>
    <w:rsid w:val="006C2A69"/>
    <w:rsid w:val="006C2B2D"/>
    <w:rsid w:val="006C2DFC"/>
    <w:rsid w:val="006C3167"/>
    <w:rsid w:val="006C3265"/>
    <w:rsid w:val="006C37E3"/>
    <w:rsid w:val="006C3915"/>
    <w:rsid w:val="006C3B18"/>
    <w:rsid w:val="006C3BAA"/>
    <w:rsid w:val="006C3BB1"/>
    <w:rsid w:val="006C4590"/>
    <w:rsid w:val="006C478E"/>
    <w:rsid w:val="006C4949"/>
    <w:rsid w:val="006C497E"/>
    <w:rsid w:val="006C4B84"/>
    <w:rsid w:val="006C4C23"/>
    <w:rsid w:val="006C50B9"/>
    <w:rsid w:val="006C538A"/>
    <w:rsid w:val="006C53C4"/>
    <w:rsid w:val="006C54F6"/>
    <w:rsid w:val="006C5588"/>
    <w:rsid w:val="006C5676"/>
    <w:rsid w:val="006C586B"/>
    <w:rsid w:val="006C5A37"/>
    <w:rsid w:val="006C5B06"/>
    <w:rsid w:val="006C5E52"/>
    <w:rsid w:val="006C6496"/>
    <w:rsid w:val="006C6894"/>
    <w:rsid w:val="006C6C52"/>
    <w:rsid w:val="006C6D4C"/>
    <w:rsid w:val="006C6FB6"/>
    <w:rsid w:val="006C7055"/>
    <w:rsid w:val="006C72BE"/>
    <w:rsid w:val="006C7423"/>
    <w:rsid w:val="006C7557"/>
    <w:rsid w:val="006C7893"/>
    <w:rsid w:val="006C7A79"/>
    <w:rsid w:val="006C7B3F"/>
    <w:rsid w:val="006C7CAC"/>
    <w:rsid w:val="006C7E96"/>
    <w:rsid w:val="006C7F22"/>
    <w:rsid w:val="006C7FF0"/>
    <w:rsid w:val="006C7FFD"/>
    <w:rsid w:val="006D0030"/>
    <w:rsid w:val="006D00A8"/>
    <w:rsid w:val="006D021C"/>
    <w:rsid w:val="006D02A6"/>
    <w:rsid w:val="006D0311"/>
    <w:rsid w:val="006D03CE"/>
    <w:rsid w:val="006D0403"/>
    <w:rsid w:val="006D04EE"/>
    <w:rsid w:val="006D05D1"/>
    <w:rsid w:val="006D060B"/>
    <w:rsid w:val="006D081E"/>
    <w:rsid w:val="006D082F"/>
    <w:rsid w:val="006D0841"/>
    <w:rsid w:val="006D0842"/>
    <w:rsid w:val="006D08A4"/>
    <w:rsid w:val="006D0ABA"/>
    <w:rsid w:val="006D0AD6"/>
    <w:rsid w:val="006D0B94"/>
    <w:rsid w:val="006D10E8"/>
    <w:rsid w:val="006D11BC"/>
    <w:rsid w:val="006D14AA"/>
    <w:rsid w:val="006D14C9"/>
    <w:rsid w:val="006D16B8"/>
    <w:rsid w:val="006D171C"/>
    <w:rsid w:val="006D1757"/>
    <w:rsid w:val="006D1960"/>
    <w:rsid w:val="006D19B1"/>
    <w:rsid w:val="006D19B3"/>
    <w:rsid w:val="006D1A45"/>
    <w:rsid w:val="006D1AB7"/>
    <w:rsid w:val="006D1B28"/>
    <w:rsid w:val="006D1D33"/>
    <w:rsid w:val="006D1E96"/>
    <w:rsid w:val="006D2113"/>
    <w:rsid w:val="006D2244"/>
    <w:rsid w:val="006D2345"/>
    <w:rsid w:val="006D23AF"/>
    <w:rsid w:val="006D23F7"/>
    <w:rsid w:val="006D2410"/>
    <w:rsid w:val="006D2582"/>
    <w:rsid w:val="006D264F"/>
    <w:rsid w:val="006D269F"/>
    <w:rsid w:val="006D26BA"/>
    <w:rsid w:val="006D2732"/>
    <w:rsid w:val="006D27A8"/>
    <w:rsid w:val="006D288F"/>
    <w:rsid w:val="006D28E7"/>
    <w:rsid w:val="006D2925"/>
    <w:rsid w:val="006D2BDC"/>
    <w:rsid w:val="006D2BF4"/>
    <w:rsid w:val="006D2C25"/>
    <w:rsid w:val="006D2D01"/>
    <w:rsid w:val="006D3209"/>
    <w:rsid w:val="006D3281"/>
    <w:rsid w:val="006D32ED"/>
    <w:rsid w:val="006D338F"/>
    <w:rsid w:val="006D3671"/>
    <w:rsid w:val="006D367F"/>
    <w:rsid w:val="006D3750"/>
    <w:rsid w:val="006D385A"/>
    <w:rsid w:val="006D3E1B"/>
    <w:rsid w:val="006D3ECB"/>
    <w:rsid w:val="006D4267"/>
    <w:rsid w:val="006D42F4"/>
    <w:rsid w:val="006D42FE"/>
    <w:rsid w:val="006D44C1"/>
    <w:rsid w:val="006D47C3"/>
    <w:rsid w:val="006D4A27"/>
    <w:rsid w:val="006D4BC8"/>
    <w:rsid w:val="006D4C43"/>
    <w:rsid w:val="006D4ED6"/>
    <w:rsid w:val="006D5048"/>
    <w:rsid w:val="006D5371"/>
    <w:rsid w:val="006D53AD"/>
    <w:rsid w:val="006D53F8"/>
    <w:rsid w:val="006D5482"/>
    <w:rsid w:val="006D54EF"/>
    <w:rsid w:val="006D55EE"/>
    <w:rsid w:val="006D565A"/>
    <w:rsid w:val="006D57B1"/>
    <w:rsid w:val="006D5873"/>
    <w:rsid w:val="006D5948"/>
    <w:rsid w:val="006D59CA"/>
    <w:rsid w:val="006D5C87"/>
    <w:rsid w:val="006D5D77"/>
    <w:rsid w:val="006D5E4D"/>
    <w:rsid w:val="006D60FF"/>
    <w:rsid w:val="006D6189"/>
    <w:rsid w:val="006D634A"/>
    <w:rsid w:val="006D64FB"/>
    <w:rsid w:val="006D6608"/>
    <w:rsid w:val="006D66CF"/>
    <w:rsid w:val="006D6756"/>
    <w:rsid w:val="006D6762"/>
    <w:rsid w:val="006D69F7"/>
    <w:rsid w:val="006D6A00"/>
    <w:rsid w:val="006D6A36"/>
    <w:rsid w:val="006D6A3F"/>
    <w:rsid w:val="006D6BC7"/>
    <w:rsid w:val="006D6CC1"/>
    <w:rsid w:val="006D6CE9"/>
    <w:rsid w:val="006D6D44"/>
    <w:rsid w:val="006D6E77"/>
    <w:rsid w:val="006D6E86"/>
    <w:rsid w:val="006D6EA4"/>
    <w:rsid w:val="006D6F8D"/>
    <w:rsid w:val="006D718B"/>
    <w:rsid w:val="006D7550"/>
    <w:rsid w:val="006D772A"/>
    <w:rsid w:val="006D7983"/>
    <w:rsid w:val="006D7AED"/>
    <w:rsid w:val="006D7B3C"/>
    <w:rsid w:val="006D7B9F"/>
    <w:rsid w:val="006D7CD4"/>
    <w:rsid w:val="006D7D33"/>
    <w:rsid w:val="006D7E0E"/>
    <w:rsid w:val="006E051A"/>
    <w:rsid w:val="006E062C"/>
    <w:rsid w:val="006E06AA"/>
    <w:rsid w:val="006E08B0"/>
    <w:rsid w:val="006E08B2"/>
    <w:rsid w:val="006E0948"/>
    <w:rsid w:val="006E0A05"/>
    <w:rsid w:val="006E0CA0"/>
    <w:rsid w:val="006E0E60"/>
    <w:rsid w:val="006E0F95"/>
    <w:rsid w:val="006E1136"/>
    <w:rsid w:val="006E13DD"/>
    <w:rsid w:val="006E144A"/>
    <w:rsid w:val="006E1574"/>
    <w:rsid w:val="006E17BC"/>
    <w:rsid w:val="006E19C9"/>
    <w:rsid w:val="006E1A52"/>
    <w:rsid w:val="006E1BB6"/>
    <w:rsid w:val="006E1C01"/>
    <w:rsid w:val="006E1DDC"/>
    <w:rsid w:val="006E1ED2"/>
    <w:rsid w:val="006E1FD8"/>
    <w:rsid w:val="006E21B3"/>
    <w:rsid w:val="006E24E6"/>
    <w:rsid w:val="006E26FA"/>
    <w:rsid w:val="006E274D"/>
    <w:rsid w:val="006E27AA"/>
    <w:rsid w:val="006E2A42"/>
    <w:rsid w:val="006E2BD1"/>
    <w:rsid w:val="006E2C19"/>
    <w:rsid w:val="006E3148"/>
    <w:rsid w:val="006E31E0"/>
    <w:rsid w:val="006E357D"/>
    <w:rsid w:val="006E3C03"/>
    <w:rsid w:val="006E3C8B"/>
    <w:rsid w:val="006E3F02"/>
    <w:rsid w:val="006E421D"/>
    <w:rsid w:val="006E4260"/>
    <w:rsid w:val="006E45F1"/>
    <w:rsid w:val="006E465B"/>
    <w:rsid w:val="006E4674"/>
    <w:rsid w:val="006E4777"/>
    <w:rsid w:val="006E48E4"/>
    <w:rsid w:val="006E4A67"/>
    <w:rsid w:val="006E4A9E"/>
    <w:rsid w:val="006E4AAD"/>
    <w:rsid w:val="006E4AFC"/>
    <w:rsid w:val="006E4B08"/>
    <w:rsid w:val="006E4B96"/>
    <w:rsid w:val="006E4CDF"/>
    <w:rsid w:val="006E4EBE"/>
    <w:rsid w:val="006E4F9F"/>
    <w:rsid w:val="006E51DB"/>
    <w:rsid w:val="006E547D"/>
    <w:rsid w:val="006E5870"/>
    <w:rsid w:val="006E5B06"/>
    <w:rsid w:val="006E6069"/>
    <w:rsid w:val="006E61F2"/>
    <w:rsid w:val="006E6231"/>
    <w:rsid w:val="006E62A0"/>
    <w:rsid w:val="006E62A1"/>
    <w:rsid w:val="006E6311"/>
    <w:rsid w:val="006E633A"/>
    <w:rsid w:val="006E64D0"/>
    <w:rsid w:val="006E6543"/>
    <w:rsid w:val="006E6693"/>
    <w:rsid w:val="006E66A2"/>
    <w:rsid w:val="006E67EB"/>
    <w:rsid w:val="006E67EF"/>
    <w:rsid w:val="006E6869"/>
    <w:rsid w:val="006E696D"/>
    <w:rsid w:val="006E6C55"/>
    <w:rsid w:val="006E6E54"/>
    <w:rsid w:val="006E7163"/>
    <w:rsid w:val="006E71C2"/>
    <w:rsid w:val="006E7345"/>
    <w:rsid w:val="006E74B5"/>
    <w:rsid w:val="006E7728"/>
    <w:rsid w:val="006E7A3A"/>
    <w:rsid w:val="006E7A8D"/>
    <w:rsid w:val="006E7B36"/>
    <w:rsid w:val="006E7DB7"/>
    <w:rsid w:val="006E7DB9"/>
    <w:rsid w:val="006E7F37"/>
    <w:rsid w:val="006E7F82"/>
    <w:rsid w:val="006E7F8E"/>
    <w:rsid w:val="006F00FE"/>
    <w:rsid w:val="006F02AB"/>
    <w:rsid w:val="006F0428"/>
    <w:rsid w:val="006F053B"/>
    <w:rsid w:val="006F0682"/>
    <w:rsid w:val="006F0845"/>
    <w:rsid w:val="006F0ABA"/>
    <w:rsid w:val="006F0C46"/>
    <w:rsid w:val="006F10F2"/>
    <w:rsid w:val="006F113D"/>
    <w:rsid w:val="006F116A"/>
    <w:rsid w:val="006F1246"/>
    <w:rsid w:val="006F12FB"/>
    <w:rsid w:val="006F13B0"/>
    <w:rsid w:val="006F143F"/>
    <w:rsid w:val="006F14DF"/>
    <w:rsid w:val="006F14E0"/>
    <w:rsid w:val="006F170C"/>
    <w:rsid w:val="006F19CD"/>
    <w:rsid w:val="006F1C87"/>
    <w:rsid w:val="006F1CA5"/>
    <w:rsid w:val="006F1F25"/>
    <w:rsid w:val="006F20D5"/>
    <w:rsid w:val="006F225A"/>
    <w:rsid w:val="006F2485"/>
    <w:rsid w:val="006F2537"/>
    <w:rsid w:val="006F267A"/>
    <w:rsid w:val="006F2725"/>
    <w:rsid w:val="006F2786"/>
    <w:rsid w:val="006F2884"/>
    <w:rsid w:val="006F2AC7"/>
    <w:rsid w:val="006F2D35"/>
    <w:rsid w:val="006F2D92"/>
    <w:rsid w:val="006F2E39"/>
    <w:rsid w:val="006F2E49"/>
    <w:rsid w:val="006F2F69"/>
    <w:rsid w:val="006F3064"/>
    <w:rsid w:val="006F30EC"/>
    <w:rsid w:val="006F3313"/>
    <w:rsid w:val="006F34B4"/>
    <w:rsid w:val="006F3504"/>
    <w:rsid w:val="006F366D"/>
    <w:rsid w:val="006F3B03"/>
    <w:rsid w:val="006F3CF5"/>
    <w:rsid w:val="006F3D1F"/>
    <w:rsid w:val="006F3E13"/>
    <w:rsid w:val="006F3E86"/>
    <w:rsid w:val="006F41B5"/>
    <w:rsid w:val="006F4383"/>
    <w:rsid w:val="006F44BE"/>
    <w:rsid w:val="006F46A9"/>
    <w:rsid w:val="006F476B"/>
    <w:rsid w:val="006F4850"/>
    <w:rsid w:val="006F4AC2"/>
    <w:rsid w:val="006F4B87"/>
    <w:rsid w:val="006F4C00"/>
    <w:rsid w:val="006F4F5A"/>
    <w:rsid w:val="006F50D0"/>
    <w:rsid w:val="006F51B3"/>
    <w:rsid w:val="006F524F"/>
    <w:rsid w:val="006F535B"/>
    <w:rsid w:val="006F553E"/>
    <w:rsid w:val="006F5727"/>
    <w:rsid w:val="006F5A3D"/>
    <w:rsid w:val="006F5A5B"/>
    <w:rsid w:val="006F5D35"/>
    <w:rsid w:val="006F5DB9"/>
    <w:rsid w:val="006F5E28"/>
    <w:rsid w:val="006F5EA0"/>
    <w:rsid w:val="006F5FB1"/>
    <w:rsid w:val="006F60A4"/>
    <w:rsid w:val="006F61D1"/>
    <w:rsid w:val="006F634C"/>
    <w:rsid w:val="006F6511"/>
    <w:rsid w:val="006F656A"/>
    <w:rsid w:val="006F69A4"/>
    <w:rsid w:val="006F6A34"/>
    <w:rsid w:val="006F6BB0"/>
    <w:rsid w:val="006F6D85"/>
    <w:rsid w:val="006F6FC0"/>
    <w:rsid w:val="006F7305"/>
    <w:rsid w:val="006F738E"/>
    <w:rsid w:val="006F7489"/>
    <w:rsid w:val="006F7520"/>
    <w:rsid w:val="006F7671"/>
    <w:rsid w:val="006F76CF"/>
    <w:rsid w:val="006F7748"/>
    <w:rsid w:val="006F78CB"/>
    <w:rsid w:val="006F78FF"/>
    <w:rsid w:val="006F7B7F"/>
    <w:rsid w:val="006F7DEB"/>
    <w:rsid w:val="006F7F48"/>
    <w:rsid w:val="006F7F54"/>
    <w:rsid w:val="00700346"/>
    <w:rsid w:val="00700817"/>
    <w:rsid w:val="00700888"/>
    <w:rsid w:val="00700984"/>
    <w:rsid w:val="00700A12"/>
    <w:rsid w:val="00700B76"/>
    <w:rsid w:val="00700F21"/>
    <w:rsid w:val="0070122A"/>
    <w:rsid w:val="0070134D"/>
    <w:rsid w:val="00701368"/>
    <w:rsid w:val="007013A1"/>
    <w:rsid w:val="007015A4"/>
    <w:rsid w:val="00701852"/>
    <w:rsid w:val="00701AA3"/>
    <w:rsid w:val="00701C33"/>
    <w:rsid w:val="00702072"/>
    <w:rsid w:val="007020CF"/>
    <w:rsid w:val="007020FB"/>
    <w:rsid w:val="00702109"/>
    <w:rsid w:val="007021BF"/>
    <w:rsid w:val="00702209"/>
    <w:rsid w:val="00702285"/>
    <w:rsid w:val="00702429"/>
    <w:rsid w:val="007024AA"/>
    <w:rsid w:val="007024B4"/>
    <w:rsid w:val="007026FB"/>
    <w:rsid w:val="00702A94"/>
    <w:rsid w:val="00702B7C"/>
    <w:rsid w:val="00702CB5"/>
    <w:rsid w:val="00702D34"/>
    <w:rsid w:val="00702D8F"/>
    <w:rsid w:val="00702FF1"/>
    <w:rsid w:val="0070310B"/>
    <w:rsid w:val="00703260"/>
    <w:rsid w:val="007033DA"/>
    <w:rsid w:val="007035FD"/>
    <w:rsid w:val="007036F2"/>
    <w:rsid w:val="00703749"/>
    <w:rsid w:val="00703857"/>
    <w:rsid w:val="007038D9"/>
    <w:rsid w:val="007039A5"/>
    <w:rsid w:val="007039CD"/>
    <w:rsid w:val="00703B86"/>
    <w:rsid w:val="00703C0B"/>
    <w:rsid w:val="00703D49"/>
    <w:rsid w:val="00703E73"/>
    <w:rsid w:val="00704075"/>
    <w:rsid w:val="007040B2"/>
    <w:rsid w:val="00704175"/>
    <w:rsid w:val="007045EB"/>
    <w:rsid w:val="007049DA"/>
    <w:rsid w:val="007049E9"/>
    <w:rsid w:val="00704AA3"/>
    <w:rsid w:val="00704B67"/>
    <w:rsid w:val="0070523D"/>
    <w:rsid w:val="007053DC"/>
    <w:rsid w:val="00705B4C"/>
    <w:rsid w:val="00705C2C"/>
    <w:rsid w:val="00705D2D"/>
    <w:rsid w:val="00705DBD"/>
    <w:rsid w:val="00705DF6"/>
    <w:rsid w:val="007060A9"/>
    <w:rsid w:val="00706290"/>
    <w:rsid w:val="00706431"/>
    <w:rsid w:val="00706483"/>
    <w:rsid w:val="007065A3"/>
    <w:rsid w:val="0070660E"/>
    <w:rsid w:val="00706659"/>
    <w:rsid w:val="00706691"/>
    <w:rsid w:val="0070682C"/>
    <w:rsid w:val="00706897"/>
    <w:rsid w:val="0070696D"/>
    <w:rsid w:val="00706CCA"/>
    <w:rsid w:val="00706D6F"/>
    <w:rsid w:val="00706FC3"/>
    <w:rsid w:val="00707103"/>
    <w:rsid w:val="00707357"/>
    <w:rsid w:val="007078D4"/>
    <w:rsid w:val="00707934"/>
    <w:rsid w:val="007079CA"/>
    <w:rsid w:val="007079DF"/>
    <w:rsid w:val="00707D41"/>
    <w:rsid w:val="00707DCB"/>
    <w:rsid w:val="00707EBF"/>
    <w:rsid w:val="0071003B"/>
    <w:rsid w:val="00710059"/>
    <w:rsid w:val="007100D0"/>
    <w:rsid w:val="0071018A"/>
    <w:rsid w:val="00710268"/>
    <w:rsid w:val="00710325"/>
    <w:rsid w:val="007103E6"/>
    <w:rsid w:val="00710688"/>
    <w:rsid w:val="007106E1"/>
    <w:rsid w:val="00710724"/>
    <w:rsid w:val="0071082E"/>
    <w:rsid w:val="00710AE2"/>
    <w:rsid w:val="00710AF5"/>
    <w:rsid w:val="00710D81"/>
    <w:rsid w:val="00710DAA"/>
    <w:rsid w:val="00710FD4"/>
    <w:rsid w:val="00710FF8"/>
    <w:rsid w:val="00711131"/>
    <w:rsid w:val="0071113C"/>
    <w:rsid w:val="0071125F"/>
    <w:rsid w:val="007114B1"/>
    <w:rsid w:val="00711558"/>
    <w:rsid w:val="00711695"/>
    <w:rsid w:val="0071171C"/>
    <w:rsid w:val="007117F1"/>
    <w:rsid w:val="00711841"/>
    <w:rsid w:val="007119BB"/>
    <w:rsid w:val="00711E68"/>
    <w:rsid w:val="00711F2E"/>
    <w:rsid w:val="00711F4F"/>
    <w:rsid w:val="007120C1"/>
    <w:rsid w:val="00712108"/>
    <w:rsid w:val="00712472"/>
    <w:rsid w:val="0071251C"/>
    <w:rsid w:val="0071262F"/>
    <w:rsid w:val="00712814"/>
    <w:rsid w:val="0071291F"/>
    <w:rsid w:val="00712DB0"/>
    <w:rsid w:val="00712ED5"/>
    <w:rsid w:val="007130A8"/>
    <w:rsid w:val="007131C1"/>
    <w:rsid w:val="007132DB"/>
    <w:rsid w:val="007136F6"/>
    <w:rsid w:val="007139C7"/>
    <w:rsid w:val="007139C8"/>
    <w:rsid w:val="00713AA0"/>
    <w:rsid w:val="00713C0F"/>
    <w:rsid w:val="00713D6F"/>
    <w:rsid w:val="00713D80"/>
    <w:rsid w:val="00713DA0"/>
    <w:rsid w:val="00713E95"/>
    <w:rsid w:val="00713FB4"/>
    <w:rsid w:val="007140CE"/>
    <w:rsid w:val="00714134"/>
    <w:rsid w:val="0071447A"/>
    <w:rsid w:val="00714D29"/>
    <w:rsid w:val="00714D51"/>
    <w:rsid w:val="00714E2E"/>
    <w:rsid w:val="00714F0F"/>
    <w:rsid w:val="0071524A"/>
    <w:rsid w:val="00715315"/>
    <w:rsid w:val="00715454"/>
    <w:rsid w:val="00715598"/>
    <w:rsid w:val="00715918"/>
    <w:rsid w:val="00715944"/>
    <w:rsid w:val="0071597E"/>
    <w:rsid w:val="007159E1"/>
    <w:rsid w:val="00715A43"/>
    <w:rsid w:val="00715AFC"/>
    <w:rsid w:val="00715C17"/>
    <w:rsid w:val="00715EA1"/>
    <w:rsid w:val="00716079"/>
    <w:rsid w:val="00716111"/>
    <w:rsid w:val="00716324"/>
    <w:rsid w:val="0071632B"/>
    <w:rsid w:val="00716515"/>
    <w:rsid w:val="0071654C"/>
    <w:rsid w:val="0071658B"/>
    <w:rsid w:val="00716599"/>
    <w:rsid w:val="00716611"/>
    <w:rsid w:val="00716BD5"/>
    <w:rsid w:val="007170FB"/>
    <w:rsid w:val="00717117"/>
    <w:rsid w:val="007171DA"/>
    <w:rsid w:val="00717634"/>
    <w:rsid w:val="00717636"/>
    <w:rsid w:val="007177A7"/>
    <w:rsid w:val="0071787D"/>
    <w:rsid w:val="00717909"/>
    <w:rsid w:val="00717AC8"/>
    <w:rsid w:val="00717B35"/>
    <w:rsid w:val="00720025"/>
    <w:rsid w:val="00720049"/>
    <w:rsid w:val="00720059"/>
    <w:rsid w:val="00720161"/>
    <w:rsid w:val="007202E4"/>
    <w:rsid w:val="00720346"/>
    <w:rsid w:val="007203F6"/>
    <w:rsid w:val="007206D6"/>
    <w:rsid w:val="0072092E"/>
    <w:rsid w:val="007209E5"/>
    <w:rsid w:val="00720AED"/>
    <w:rsid w:val="00720B99"/>
    <w:rsid w:val="00720BBE"/>
    <w:rsid w:val="00720BEB"/>
    <w:rsid w:val="00720CEA"/>
    <w:rsid w:val="00720FA5"/>
    <w:rsid w:val="007212CD"/>
    <w:rsid w:val="0072133A"/>
    <w:rsid w:val="00721456"/>
    <w:rsid w:val="007218B8"/>
    <w:rsid w:val="00721A52"/>
    <w:rsid w:val="00721C39"/>
    <w:rsid w:val="00721C41"/>
    <w:rsid w:val="00721D29"/>
    <w:rsid w:val="00721F26"/>
    <w:rsid w:val="00722030"/>
    <w:rsid w:val="007220CA"/>
    <w:rsid w:val="007220DF"/>
    <w:rsid w:val="0072222B"/>
    <w:rsid w:val="007223C6"/>
    <w:rsid w:val="007225A7"/>
    <w:rsid w:val="007225DC"/>
    <w:rsid w:val="0072269A"/>
    <w:rsid w:val="007229EC"/>
    <w:rsid w:val="00722DAD"/>
    <w:rsid w:val="00722EDA"/>
    <w:rsid w:val="00723482"/>
    <w:rsid w:val="0072386A"/>
    <w:rsid w:val="007238EB"/>
    <w:rsid w:val="00723B03"/>
    <w:rsid w:val="00723BF5"/>
    <w:rsid w:val="00723D0C"/>
    <w:rsid w:val="00723DC2"/>
    <w:rsid w:val="00724230"/>
    <w:rsid w:val="00724231"/>
    <w:rsid w:val="00724C8E"/>
    <w:rsid w:val="00724D03"/>
    <w:rsid w:val="00724DD6"/>
    <w:rsid w:val="00725255"/>
    <w:rsid w:val="007252C6"/>
    <w:rsid w:val="007254F5"/>
    <w:rsid w:val="0072569C"/>
    <w:rsid w:val="0072579D"/>
    <w:rsid w:val="00725BA7"/>
    <w:rsid w:val="00725FF9"/>
    <w:rsid w:val="0072616C"/>
    <w:rsid w:val="0072627E"/>
    <w:rsid w:val="007263C5"/>
    <w:rsid w:val="0072658C"/>
    <w:rsid w:val="007265B2"/>
    <w:rsid w:val="007265E0"/>
    <w:rsid w:val="00726841"/>
    <w:rsid w:val="007268C1"/>
    <w:rsid w:val="00726908"/>
    <w:rsid w:val="00726A22"/>
    <w:rsid w:val="00726A37"/>
    <w:rsid w:val="00726B2F"/>
    <w:rsid w:val="00726BE1"/>
    <w:rsid w:val="00726D3A"/>
    <w:rsid w:val="00727077"/>
    <w:rsid w:val="00727294"/>
    <w:rsid w:val="0072770C"/>
    <w:rsid w:val="0072774F"/>
    <w:rsid w:val="007278F0"/>
    <w:rsid w:val="0072791D"/>
    <w:rsid w:val="0072791E"/>
    <w:rsid w:val="00727A6E"/>
    <w:rsid w:val="00727B71"/>
    <w:rsid w:val="00727CB2"/>
    <w:rsid w:val="00727CC1"/>
    <w:rsid w:val="00727DCA"/>
    <w:rsid w:val="00727F5D"/>
    <w:rsid w:val="00727F71"/>
    <w:rsid w:val="00727FA3"/>
    <w:rsid w:val="0073025E"/>
    <w:rsid w:val="007306DB"/>
    <w:rsid w:val="007307A2"/>
    <w:rsid w:val="007307C3"/>
    <w:rsid w:val="00730901"/>
    <w:rsid w:val="00730BA9"/>
    <w:rsid w:val="00730CBB"/>
    <w:rsid w:val="00730DA6"/>
    <w:rsid w:val="00730E39"/>
    <w:rsid w:val="00730F99"/>
    <w:rsid w:val="00730FEE"/>
    <w:rsid w:val="007314E7"/>
    <w:rsid w:val="00731635"/>
    <w:rsid w:val="00731676"/>
    <w:rsid w:val="007316C6"/>
    <w:rsid w:val="00731861"/>
    <w:rsid w:val="00731A63"/>
    <w:rsid w:val="00731F29"/>
    <w:rsid w:val="00732390"/>
    <w:rsid w:val="0073268E"/>
    <w:rsid w:val="0073269A"/>
    <w:rsid w:val="0073276F"/>
    <w:rsid w:val="00733177"/>
    <w:rsid w:val="007333F3"/>
    <w:rsid w:val="00733507"/>
    <w:rsid w:val="00733524"/>
    <w:rsid w:val="0073364F"/>
    <w:rsid w:val="00733656"/>
    <w:rsid w:val="007336F9"/>
    <w:rsid w:val="00733786"/>
    <w:rsid w:val="007338BC"/>
    <w:rsid w:val="007339C0"/>
    <w:rsid w:val="00733CE0"/>
    <w:rsid w:val="00733D56"/>
    <w:rsid w:val="00733FCC"/>
    <w:rsid w:val="00734148"/>
    <w:rsid w:val="00734222"/>
    <w:rsid w:val="0073425F"/>
    <w:rsid w:val="00734282"/>
    <w:rsid w:val="0073428C"/>
    <w:rsid w:val="00734805"/>
    <w:rsid w:val="00734A85"/>
    <w:rsid w:val="00734AEA"/>
    <w:rsid w:val="00734B15"/>
    <w:rsid w:val="00734BB3"/>
    <w:rsid w:val="00734EE5"/>
    <w:rsid w:val="0073513A"/>
    <w:rsid w:val="00735176"/>
    <w:rsid w:val="007352A9"/>
    <w:rsid w:val="007354FE"/>
    <w:rsid w:val="00735712"/>
    <w:rsid w:val="00735787"/>
    <w:rsid w:val="00735B50"/>
    <w:rsid w:val="00735BCC"/>
    <w:rsid w:val="00735EA3"/>
    <w:rsid w:val="00735FA4"/>
    <w:rsid w:val="007360ED"/>
    <w:rsid w:val="0073615A"/>
    <w:rsid w:val="00736329"/>
    <w:rsid w:val="00736690"/>
    <w:rsid w:val="007366F7"/>
    <w:rsid w:val="00736BBC"/>
    <w:rsid w:val="00736F9B"/>
    <w:rsid w:val="007370DF"/>
    <w:rsid w:val="007370F7"/>
    <w:rsid w:val="00737144"/>
    <w:rsid w:val="00737183"/>
    <w:rsid w:val="007371B3"/>
    <w:rsid w:val="007371FE"/>
    <w:rsid w:val="007374F9"/>
    <w:rsid w:val="0073780C"/>
    <w:rsid w:val="007378ED"/>
    <w:rsid w:val="00737A2D"/>
    <w:rsid w:val="00737AE1"/>
    <w:rsid w:val="007401D1"/>
    <w:rsid w:val="007402E0"/>
    <w:rsid w:val="00740388"/>
    <w:rsid w:val="0074065B"/>
    <w:rsid w:val="007406DD"/>
    <w:rsid w:val="0074095E"/>
    <w:rsid w:val="00740A05"/>
    <w:rsid w:val="00740AA2"/>
    <w:rsid w:val="00740B3E"/>
    <w:rsid w:val="00740BD8"/>
    <w:rsid w:val="00740C2A"/>
    <w:rsid w:val="00740CC2"/>
    <w:rsid w:val="00740E18"/>
    <w:rsid w:val="007410B0"/>
    <w:rsid w:val="007414C7"/>
    <w:rsid w:val="0074185D"/>
    <w:rsid w:val="00741886"/>
    <w:rsid w:val="00741AF6"/>
    <w:rsid w:val="00741BD9"/>
    <w:rsid w:val="00741E60"/>
    <w:rsid w:val="00741FE5"/>
    <w:rsid w:val="00742514"/>
    <w:rsid w:val="0074259A"/>
    <w:rsid w:val="007425AE"/>
    <w:rsid w:val="00742900"/>
    <w:rsid w:val="00742913"/>
    <w:rsid w:val="00742B39"/>
    <w:rsid w:val="00742E14"/>
    <w:rsid w:val="00742EF3"/>
    <w:rsid w:val="00743039"/>
    <w:rsid w:val="00743316"/>
    <w:rsid w:val="0074342B"/>
    <w:rsid w:val="007434CA"/>
    <w:rsid w:val="00743519"/>
    <w:rsid w:val="00743CD7"/>
    <w:rsid w:val="00743D9D"/>
    <w:rsid w:val="00743E3E"/>
    <w:rsid w:val="00743F71"/>
    <w:rsid w:val="007443E7"/>
    <w:rsid w:val="00744437"/>
    <w:rsid w:val="007444B2"/>
    <w:rsid w:val="0074458D"/>
    <w:rsid w:val="00744714"/>
    <w:rsid w:val="00744777"/>
    <w:rsid w:val="007448FB"/>
    <w:rsid w:val="0074497D"/>
    <w:rsid w:val="007449B5"/>
    <w:rsid w:val="007449F9"/>
    <w:rsid w:val="00744B32"/>
    <w:rsid w:val="00744C64"/>
    <w:rsid w:val="00744DD6"/>
    <w:rsid w:val="00744F5E"/>
    <w:rsid w:val="00744FD0"/>
    <w:rsid w:val="00745036"/>
    <w:rsid w:val="00745055"/>
    <w:rsid w:val="007450EC"/>
    <w:rsid w:val="007451F3"/>
    <w:rsid w:val="00745271"/>
    <w:rsid w:val="007454DD"/>
    <w:rsid w:val="00745605"/>
    <w:rsid w:val="00745777"/>
    <w:rsid w:val="007457AC"/>
    <w:rsid w:val="007458BF"/>
    <w:rsid w:val="007458F5"/>
    <w:rsid w:val="007458FD"/>
    <w:rsid w:val="007459A3"/>
    <w:rsid w:val="00745BCE"/>
    <w:rsid w:val="00745C5E"/>
    <w:rsid w:val="00745D89"/>
    <w:rsid w:val="00745DB7"/>
    <w:rsid w:val="007460B5"/>
    <w:rsid w:val="0074618E"/>
    <w:rsid w:val="0074622F"/>
    <w:rsid w:val="007463BB"/>
    <w:rsid w:val="0074648E"/>
    <w:rsid w:val="00746502"/>
    <w:rsid w:val="0074655D"/>
    <w:rsid w:val="0074663F"/>
    <w:rsid w:val="00746891"/>
    <w:rsid w:val="0074697D"/>
    <w:rsid w:val="00746A43"/>
    <w:rsid w:val="00746D18"/>
    <w:rsid w:val="00746DB3"/>
    <w:rsid w:val="00746F2B"/>
    <w:rsid w:val="00746F6C"/>
    <w:rsid w:val="00747466"/>
    <w:rsid w:val="007474D5"/>
    <w:rsid w:val="0074791D"/>
    <w:rsid w:val="00747B4A"/>
    <w:rsid w:val="00747E15"/>
    <w:rsid w:val="00747F85"/>
    <w:rsid w:val="00747F8A"/>
    <w:rsid w:val="007500D0"/>
    <w:rsid w:val="00750232"/>
    <w:rsid w:val="007504F7"/>
    <w:rsid w:val="00750572"/>
    <w:rsid w:val="0075068A"/>
    <w:rsid w:val="007507A7"/>
    <w:rsid w:val="00750819"/>
    <w:rsid w:val="00750DF8"/>
    <w:rsid w:val="00750EEA"/>
    <w:rsid w:val="00750FD6"/>
    <w:rsid w:val="00751141"/>
    <w:rsid w:val="00751327"/>
    <w:rsid w:val="00751460"/>
    <w:rsid w:val="007515F2"/>
    <w:rsid w:val="00751634"/>
    <w:rsid w:val="00751670"/>
    <w:rsid w:val="0075185B"/>
    <w:rsid w:val="00751CD1"/>
    <w:rsid w:val="00751E5B"/>
    <w:rsid w:val="00751F19"/>
    <w:rsid w:val="00751FAF"/>
    <w:rsid w:val="007520A8"/>
    <w:rsid w:val="00752297"/>
    <w:rsid w:val="00752534"/>
    <w:rsid w:val="00752771"/>
    <w:rsid w:val="007527C9"/>
    <w:rsid w:val="00752940"/>
    <w:rsid w:val="00752B62"/>
    <w:rsid w:val="00752B8E"/>
    <w:rsid w:val="00752EDE"/>
    <w:rsid w:val="0075315C"/>
    <w:rsid w:val="0075333C"/>
    <w:rsid w:val="00753370"/>
    <w:rsid w:val="007533A2"/>
    <w:rsid w:val="00753663"/>
    <w:rsid w:val="00753884"/>
    <w:rsid w:val="007538F5"/>
    <w:rsid w:val="0075393C"/>
    <w:rsid w:val="00753F01"/>
    <w:rsid w:val="00754019"/>
    <w:rsid w:val="0075408C"/>
    <w:rsid w:val="007541EB"/>
    <w:rsid w:val="007542D8"/>
    <w:rsid w:val="007543F2"/>
    <w:rsid w:val="0075459B"/>
    <w:rsid w:val="007547F9"/>
    <w:rsid w:val="0075493F"/>
    <w:rsid w:val="007549BC"/>
    <w:rsid w:val="007549C3"/>
    <w:rsid w:val="00754A27"/>
    <w:rsid w:val="00754AB9"/>
    <w:rsid w:val="00754C2C"/>
    <w:rsid w:val="0075505A"/>
    <w:rsid w:val="00755091"/>
    <w:rsid w:val="007551F5"/>
    <w:rsid w:val="0075520A"/>
    <w:rsid w:val="00755309"/>
    <w:rsid w:val="0075546B"/>
    <w:rsid w:val="00755753"/>
    <w:rsid w:val="007557AD"/>
    <w:rsid w:val="00755A2E"/>
    <w:rsid w:val="00755C43"/>
    <w:rsid w:val="00755D58"/>
    <w:rsid w:val="00755FA8"/>
    <w:rsid w:val="00756224"/>
    <w:rsid w:val="00756288"/>
    <w:rsid w:val="007563AF"/>
    <w:rsid w:val="00756590"/>
    <w:rsid w:val="00756597"/>
    <w:rsid w:val="007565E2"/>
    <w:rsid w:val="007566CD"/>
    <w:rsid w:val="00756948"/>
    <w:rsid w:val="00756A9F"/>
    <w:rsid w:val="00756AED"/>
    <w:rsid w:val="00756BCD"/>
    <w:rsid w:val="00756CEC"/>
    <w:rsid w:val="00756D17"/>
    <w:rsid w:val="00756F76"/>
    <w:rsid w:val="007571BE"/>
    <w:rsid w:val="007573A5"/>
    <w:rsid w:val="007573F3"/>
    <w:rsid w:val="007573FB"/>
    <w:rsid w:val="007576B6"/>
    <w:rsid w:val="00757969"/>
    <w:rsid w:val="00757A6D"/>
    <w:rsid w:val="00757B41"/>
    <w:rsid w:val="00757BD9"/>
    <w:rsid w:val="00757CF8"/>
    <w:rsid w:val="00757D54"/>
    <w:rsid w:val="00757DB7"/>
    <w:rsid w:val="00760166"/>
    <w:rsid w:val="0076028D"/>
    <w:rsid w:val="0076028F"/>
    <w:rsid w:val="00760318"/>
    <w:rsid w:val="00760451"/>
    <w:rsid w:val="00760688"/>
    <w:rsid w:val="00760C39"/>
    <w:rsid w:val="00761008"/>
    <w:rsid w:val="007613F0"/>
    <w:rsid w:val="00761AB1"/>
    <w:rsid w:val="00761CB2"/>
    <w:rsid w:val="00761E47"/>
    <w:rsid w:val="00761F4E"/>
    <w:rsid w:val="00761F9C"/>
    <w:rsid w:val="00761FFC"/>
    <w:rsid w:val="007622CD"/>
    <w:rsid w:val="00762346"/>
    <w:rsid w:val="007623D6"/>
    <w:rsid w:val="0076241B"/>
    <w:rsid w:val="0076262D"/>
    <w:rsid w:val="00762667"/>
    <w:rsid w:val="0076274A"/>
    <w:rsid w:val="007627E0"/>
    <w:rsid w:val="007628E6"/>
    <w:rsid w:val="00762A48"/>
    <w:rsid w:val="00762FAE"/>
    <w:rsid w:val="00762FB5"/>
    <w:rsid w:val="00763126"/>
    <w:rsid w:val="007631B5"/>
    <w:rsid w:val="007631C4"/>
    <w:rsid w:val="00763253"/>
    <w:rsid w:val="00763335"/>
    <w:rsid w:val="0076346E"/>
    <w:rsid w:val="007634F3"/>
    <w:rsid w:val="00763600"/>
    <w:rsid w:val="0076361A"/>
    <w:rsid w:val="007636C9"/>
    <w:rsid w:val="00763900"/>
    <w:rsid w:val="00763C0C"/>
    <w:rsid w:val="00763E52"/>
    <w:rsid w:val="00763FD2"/>
    <w:rsid w:val="00764030"/>
    <w:rsid w:val="007640C5"/>
    <w:rsid w:val="007641BF"/>
    <w:rsid w:val="007645AD"/>
    <w:rsid w:val="0076464A"/>
    <w:rsid w:val="007648F0"/>
    <w:rsid w:val="00764CE6"/>
    <w:rsid w:val="00764F2A"/>
    <w:rsid w:val="00764FC8"/>
    <w:rsid w:val="007650B7"/>
    <w:rsid w:val="0076535B"/>
    <w:rsid w:val="0076571E"/>
    <w:rsid w:val="007657AB"/>
    <w:rsid w:val="00765B46"/>
    <w:rsid w:val="00765C72"/>
    <w:rsid w:val="00765CC6"/>
    <w:rsid w:val="00765CEF"/>
    <w:rsid w:val="00765EAA"/>
    <w:rsid w:val="0076633A"/>
    <w:rsid w:val="007667A9"/>
    <w:rsid w:val="00766811"/>
    <w:rsid w:val="0076699D"/>
    <w:rsid w:val="00766BC6"/>
    <w:rsid w:val="00766C37"/>
    <w:rsid w:val="00766E5F"/>
    <w:rsid w:val="0076703C"/>
    <w:rsid w:val="0076723E"/>
    <w:rsid w:val="00767300"/>
    <w:rsid w:val="0076731C"/>
    <w:rsid w:val="007677FB"/>
    <w:rsid w:val="007679BB"/>
    <w:rsid w:val="007679D1"/>
    <w:rsid w:val="00767BBF"/>
    <w:rsid w:val="00767BC8"/>
    <w:rsid w:val="00767C3A"/>
    <w:rsid w:val="00767F49"/>
    <w:rsid w:val="007700F3"/>
    <w:rsid w:val="0077067F"/>
    <w:rsid w:val="00770BB2"/>
    <w:rsid w:val="00770D87"/>
    <w:rsid w:val="007712B5"/>
    <w:rsid w:val="0077133E"/>
    <w:rsid w:val="00771554"/>
    <w:rsid w:val="007716CA"/>
    <w:rsid w:val="007718D6"/>
    <w:rsid w:val="0077193F"/>
    <w:rsid w:val="00771B64"/>
    <w:rsid w:val="00771EB2"/>
    <w:rsid w:val="00771F69"/>
    <w:rsid w:val="00772315"/>
    <w:rsid w:val="00772340"/>
    <w:rsid w:val="00772894"/>
    <w:rsid w:val="007728B0"/>
    <w:rsid w:val="00772A11"/>
    <w:rsid w:val="00772A31"/>
    <w:rsid w:val="00772FC4"/>
    <w:rsid w:val="0077313D"/>
    <w:rsid w:val="007733AA"/>
    <w:rsid w:val="007734C1"/>
    <w:rsid w:val="007735B1"/>
    <w:rsid w:val="0077364E"/>
    <w:rsid w:val="00773CA1"/>
    <w:rsid w:val="00774132"/>
    <w:rsid w:val="007742FC"/>
    <w:rsid w:val="007743F9"/>
    <w:rsid w:val="007744E8"/>
    <w:rsid w:val="00774508"/>
    <w:rsid w:val="00774534"/>
    <w:rsid w:val="0077467D"/>
    <w:rsid w:val="00774751"/>
    <w:rsid w:val="00774760"/>
    <w:rsid w:val="00774880"/>
    <w:rsid w:val="0077499A"/>
    <w:rsid w:val="00774AB3"/>
    <w:rsid w:val="00774AE7"/>
    <w:rsid w:val="00774BD4"/>
    <w:rsid w:val="00774D7D"/>
    <w:rsid w:val="00774ED1"/>
    <w:rsid w:val="0077503D"/>
    <w:rsid w:val="00775183"/>
    <w:rsid w:val="00775266"/>
    <w:rsid w:val="00775488"/>
    <w:rsid w:val="007756FC"/>
    <w:rsid w:val="007756FF"/>
    <w:rsid w:val="007758F9"/>
    <w:rsid w:val="0077599B"/>
    <w:rsid w:val="00775EFA"/>
    <w:rsid w:val="00775FD2"/>
    <w:rsid w:val="0077615E"/>
    <w:rsid w:val="00776197"/>
    <w:rsid w:val="007763ED"/>
    <w:rsid w:val="007764E2"/>
    <w:rsid w:val="00776579"/>
    <w:rsid w:val="00776766"/>
    <w:rsid w:val="007767DD"/>
    <w:rsid w:val="00776815"/>
    <w:rsid w:val="007768C9"/>
    <w:rsid w:val="00776B83"/>
    <w:rsid w:val="00776CC5"/>
    <w:rsid w:val="00776EDA"/>
    <w:rsid w:val="00776FC4"/>
    <w:rsid w:val="0077706B"/>
    <w:rsid w:val="0077712B"/>
    <w:rsid w:val="0077729B"/>
    <w:rsid w:val="007774CF"/>
    <w:rsid w:val="0077766B"/>
    <w:rsid w:val="007776A2"/>
    <w:rsid w:val="00777A25"/>
    <w:rsid w:val="00777C85"/>
    <w:rsid w:val="00777D5B"/>
    <w:rsid w:val="00777E3D"/>
    <w:rsid w:val="00777EB2"/>
    <w:rsid w:val="00777EFD"/>
    <w:rsid w:val="0078003B"/>
    <w:rsid w:val="007800DF"/>
    <w:rsid w:val="007800E0"/>
    <w:rsid w:val="007800F7"/>
    <w:rsid w:val="0078010C"/>
    <w:rsid w:val="00780161"/>
    <w:rsid w:val="0078023E"/>
    <w:rsid w:val="00780567"/>
    <w:rsid w:val="00780659"/>
    <w:rsid w:val="0078069A"/>
    <w:rsid w:val="007806D5"/>
    <w:rsid w:val="00780864"/>
    <w:rsid w:val="00780956"/>
    <w:rsid w:val="0078095B"/>
    <w:rsid w:val="0078099E"/>
    <w:rsid w:val="00780BE9"/>
    <w:rsid w:val="00780CA1"/>
    <w:rsid w:val="00781027"/>
    <w:rsid w:val="0078116C"/>
    <w:rsid w:val="0078137D"/>
    <w:rsid w:val="007813B9"/>
    <w:rsid w:val="007813D4"/>
    <w:rsid w:val="00781600"/>
    <w:rsid w:val="00781615"/>
    <w:rsid w:val="0078170F"/>
    <w:rsid w:val="00781783"/>
    <w:rsid w:val="00781971"/>
    <w:rsid w:val="00781C46"/>
    <w:rsid w:val="00781C65"/>
    <w:rsid w:val="00781D6B"/>
    <w:rsid w:val="00781DFC"/>
    <w:rsid w:val="007821CB"/>
    <w:rsid w:val="00782490"/>
    <w:rsid w:val="007824A8"/>
    <w:rsid w:val="007824C9"/>
    <w:rsid w:val="00782765"/>
    <w:rsid w:val="007828D1"/>
    <w:rsid w:val="00782A11"/>
    <w:rsid w:val="00782AB1"/>
    <w:rsid w:val="00782DAA"/>
    <w:rsid w:val="00782E53"/>
    <w:rsid w:val="00782E5C"/>
    <w:rsid w:val="00782E77"/>
    <w:rsid w:val="00782F1F"/>
    <w:rsid w:val="00782FD4"/>
    <w:rsid w:val="0078303E"/>
    <w:rsid w:val="00783102"/>
    <w:rsid w:val="00783163"/>
    <w:rsid w:val="0078337E"/>
    <w:rsid w:val="007833AC"/>
    <w:rsid w:val="00783408"/>
    <w:rsid w:val="00783BC5"/>
    <w:rsid w:val="00783BDD"/>
    <w:rsid w:val="007840A4"/>
    <w:rsid w:val="007843BA"/>
    <w:rsid w:val="00784425"/>
    <w:rsid w:val="00784815"/>
    <w:rsid w:val="00784870"/>
    <w:rsid w:val="00784B5C"/>
    <w:rsid w:val="00784BBE"/>
    <w:rsid w:val="00784D77"/>
    <w:rsid w:val="00784EF8"/>
    <w:rsid w:val="00784EFF"/>
    <w:rsid w:val="00784F88"/>
    <w:rsid w:val="007853A8"/>
    <w:rsid w:val="0078546D"/>
    <w:rsid w:val="00785771"/>
    <w:rsid w:val="00785B0D"/>
    <w:rsid w:val="00786111"/>
    <w:rsid w:val="007863C4"/>
    <w:rsid w:val="007863D7"/>
    <w:rsid w:val="007865C7"/>
    <w:rsid w:val="00786667"/>
    <w:rsid w:val="007866FA"/>
    <w:rsid w:val="0078673E"/>
    <w:rsid w:val="00786860"/>
    <w:rsid w:val="0078692B"/>
    <w:rsid w:val="007869EB"/>
    <w:rsid w:val="00786A04"/>
    <w:rsid w:val="00786ABD"/>
    <w:rsid w:val="00786B96"/>
    <w:rsid w:val="00786CF3"/>
    <w:rsid w:val="00786DA8"/>
    <w:rsid w:val="00786E27"/>
    <w:rsid w:val="00786ECA"/>
    <w:rsid w:val="00787339"/>
    <w:rsid w:val="007873F2"/>
    <w:rsid w:val="0078746F"/>
    <w:rsid w:val="00787479"/>
    <w:rsid w:val="00787677"/>
    <w:rsid w:val="00787819"/>
    <w:rsid w:val="00787B7D"/>
    <w:rsid w:val="00787D97"/>
    <w:rsid w:val="00787EA6"/>
    <w:rsid w:val="00790221"/>
    <w:rsid w:val="00790357"/>
    <w:rsid w:val="007903AE"/>
    <w:rsid w:val="007906AD"/>
    <w:rsid w:val="007909FF"/>
    <w:rsid w:val="00790A52"/>
    <w:rsid w:val="00790A63"/>
    <w:rsid w:val="00790C1B"/>
    <w:rsid w:val="00790C59"/>
    <w:rsid w:val="00790DA5"/>
    <w:rsid w:val="00790E36"/>
    <w:rsid w:val="00791102"/>
    <w:rsid w:val="00791252"/>
    <w:rsid w:val="007912C4"/>
    <w:rsid w:val="00791341"/>
    <w:rsid w:val="0079182A"/>
    <w:rsid w:val="0079199C"/>
    <w:rsid w:val="00791A0F"/>
    <w:rsid w:val="00791BE6"/>
    <w:rsid w:val="00791C6B"/>
    <w:rsid w:val="00792058"/>
    <w:rsid w:val="0079227B"/>
    <w:rsid w:val="00792331"/>
    <w:rsid w:val="00792630"/>
    <w:rsid w:val="00792632"/>
    <w:rsid w:val="00792760"/>
    <w:rsid w:val="00792830"/>
    <w:rsid w:val="00792A1C"/>
    <w:rsid w:val="00792D40"/>
    <w:rsid w:val="00792DE9"/>
    <w:rsid w:val="00792DF8"/>
    <w:rsid w:val="0079312F"/>
    <w:rsid w:val="00793417"/>
    <w:rsid w:val="00793469"/>
    <w:rsid w:val="007934C9"/>
    <w:rsid w:val="007937C5"/>
    <w:rsid w:val="00793945"/>
    <w:rsid w:val="00793BDA"/>
    <w:rsid w:val="00793D58"/>
    <w:rsid w:val="00793D87"/>
    <w:rsid w:val="00793E17"/>
    <w:rsid w:val="00793F15"/>
    <w:rsid w:val="00794063"/>
    <w:rsid w:val="00794321"/>
    <w:rsid w:val="00794398"/>
    <w:rsid w:val="00794537"/>
    <w:rsid w:val="0079466E"/>
    <w:rsid w:val="007946CF"/>
    <w:rsid w:val="0079472E"/>
    <w:rsid w:val="00794880"/>
    <w:rsid w:val="00794AF5"/>
    <w:rsid w:val="00794B4D"/>
    <w:rsid w:val="00794BE0"/>
    <w:rsid w:val="00794DB3"/>
    <w:rsid w:val="0079556A"/>
    <w:rsid w:val="007957D5"/>
    <w:rsid w:val="007957F7"/>
    <w:rsid w:val="007957F9"/>
    <w:rsid w:val="0079587A"/>
    <w:rsid w:val="007958AA"/>
    <w:rsid w:val="007958B8"/>
    <w:rsid w:val="007958FF"/>
    <w:rsid w:val="00795B43"/>
    <w:rsid w:val="00795BCD"/>
    <w:rsid w:val="00795FFE"/>
    <w:rsid w:val="0079600B"/>
    <w:rsid w:val="00796061"/>
    <w:rsid w:val="00796314"/>
    <w:rsid w:val="00796320"/>
    <w:rsid w:val="00796374"/>
    <w:rsid w:val="0079637B"/>
    <w:rsid w:val="0079654C"/>
    <w:rsid w:val="007966DE"/>
    <w:rsid w:val="00796767"/>
    <w:rsid w:val="007969E0"/>
    <w:rsid w:val="00796A3F"/>
    <w:rsid w:val="00796C16"/>
    <w:rsid w:val="00796C54"/>
    <w:rsid w:val="00796EAF"/>
    <w:rsid w:val="007970AA"/>
    <w:rsid w:val="007971C7"/>
    <w:rsid w:val="0079720E"/>
    <w:rsid w:val="007972D3"/>
    <w:rsid w:val="00797333"/>
    <w:rsid w:val="0079738C"/>
    <w:rsid w:val="007973D0"/>
    <w:rsid w:val="00797437"/>
    <w:rsid w:val="00797642"/>
    <w:rsid w:val="0079775E"/>
    <w:rsid w:val="00797C2A"/>
    <w:rsid w:val="00797C3E"/>
    <w:rsid w:val="00797D96"/>
    <w:rsid w:val="00797E27"/>
    <w:rsid w:val="007A0035"/>
    <w:rsid w:val="007A0177"/>
    <w:rsid w:val="007A0343"/>
    <w:rsid w:val="007A079B"/>
    <w:rsid w:val="007A0847"/>
    <w:rsid w:val="007A0877"/>
    <w:rsid w:val="007A0C1E"/>
    <w:rsid w:val="007A11EF"/>
    <w:rsid w:val="007A166A"/>
    <w:rsid w:val="007A173E"/>
    <w:rsid w:val="007A1ACD"/>
    <w:rsid w:val="007A1DDD"/>
    <w:rsid w:val="007A2478"/>
    <w:rsid w:val="007A27EB"/>
    <w:rsid w:val="007A2CE4"/>
    <w:rsid w:val="007A2DBF"/>
    <w:rsid w:val="007A3065"/>
    <w:rsid w:val="007A342C"/>
    <w:rsid w:val="007A3499"/>
    <w:rsid w:val="007A3784"/>
    <w:rsid w:val="007A3980"/>
    <w:rsid w:val="007A39F7"/>
    <w:rsid w:val="007A3AD0"/>
    <w:rsid w:val="007A3AD7"/>
    <w:rsid w:val="007A3C6D"/>
    <w:rsid w:val="007A3F61"/>
    <w:rsid w:val="007A3FF3"/>
    <w:rsid w:val="007A4345"/>
    <w:rsid w:val="007A449B"/>
    <w:rsid w:val="007A467D"/>
    <w:rsid w:val="007A482C"/>
    <w:rsid w:val="007A4A79"/>
    <w:rsid w:val="007A4AF0"/>
    <w:rsid w:val="007A4E41"/>
    <w:rsid w:val="007A4EB9"/>
    <w:rsid w:val="007A4FF1"/>
    <w:rsid w:val="007A501E"/>
    <w:rsid w:val="007A5032"/>
    <w:rsid w:val="007A503F"/>
    <w:rsid w:val="007A51D0"/>
    <w:rsid w:val="007A51FE"/>
    <w:rsid w:val="007A5230"/>
    <w:rsid w:val="007A54AF"/>
    <w:rsid w:val="007A556D"/>
    <w:rsid w:val="007A5668"/>
    <w:rsid w:val="007A5825"/>
    <w:rsid w:val="007A58CC"/>
    <w:rsid w:val="007A5B11"/>
    <w:rsid w:val="007A5CBB"/>
    <w:rsid w:val="007A5DF0"/>
    <w:rsid w:val="007A5E4B"/>
    <w:rsid w:val="007A6328"/>
    <w:rsid w:val="007A6334"/>
    <w:rsid w:val="007A6416"/>
    <w:rsid w:val="007A6618"/>
    <w:rsid w:val="007A6640"/>
    <w:rsid w:val="007A66AC"/>
    <w:rsid w:val="007A6881"/>
    <w:rsid w:val="007A6965"/>
    <w:rsid w:val="007A6A29"/>
    <w:rsid w:val="007A6E61"/>
    <w:rsid w:val="007A6E73"/>
    <w:rsid w:val="007A6E95"/>
    <w:rsid w:val="007A6FE3"/>
    <w:rsid w:val="007A71C1"/>
    <w:rsid w:val="007A73AB"/>
    <w:rsid w:val="007A7572"/>
    <w:rsid w:val="007A763E"/>
    <w:rsid w:val="007A764F"/>
    <w:rsid w:val="007A76AE"/>
    <w:rsid w:val="007A7A0F"/>
    <w:rsid w:val="007A7A7C"/>
    <w:rsid w:val="007A7B43"/>
    <w:rsid w:val="007A7BDE"/>
    <w:rsid w:val="007A7E93"/>
    <w:rsid w:val="007B0091"/>
    <w:rsid w:val="007B0124"/>
    <w:rsid w:val="007B0150"/>
    <w:rsid w:val="007B01F7"/>
    <w:rsid w:val="007B0247"/>
    <w:rsid w:val="007B03FC"/>
    <w:rsid w:val="007B0445"/>
    <w:rsid w:val="007B04F0"/>
    <w:rsid w:val="007B057E"/>
    <w:rsid w:val="007B0659"/>
    <w:rsid w:val="007B0669"/>
    <w:rsid w:val="007B07E9"/>
    <w:rsid w:val="007B0813"/>
    <w:rsid w:val="007B0B24"/>
    <w:rsid w:val="007B0CD7"/>
    <w:rsid w:val="007B0DEB"/>
    <w:rsid w:val="007B0E3D"/>
    <w:rsid w:val="007B0EC1"/>
    <w:rsid w:val="007B100A"/>
    <w:rsid w:val="007B1011"/>
    <w:rsid w:val="007B10D6"/>
    <w:rsid w:val="007B1137"/>
    <w:rsid w:val="007B11A3"/>
    <w:rsid w:val="007B1338"/>
    <w:rsid w:val="007B17D7"/>
    <w:rsid w:val="007B18E2"/>
    <w:rsid w:val="007B1AA7"/>
    <w:rsid w:val="007B1B40"/>
    <w:rsid w:val="007B1B80"/>
    <w:rsid w:val="007B1D0D"/>
    <w:rsid w:val="007B1EDD"/>
    <w:rsid w:val="007B21A5"/>
    <w:rsid w:val="007B2548"/>
    <w:rsid w:val="007B2598"/>
    <w:rsid w:val="007B25B3"/>
    <w:rsid w:val="007B2755"/>
    <w:rsid w:val="007B27FE"/>
    <w:rsid w:val="007B2937"/>
    <w:rsid w:val="007B29DC"/>
    <w:rsid w:val="007B2AD6"/>
    <w:rsid w:val="007B2C20"/>
    <w:rsid w:val="007B2D59"/>
    <w:rsid w:val="007B2E37"/>
    <w:rsid w:val="007B2EED"/>
    <w:rsid w:val="007B2F43"/>
    <w:rsid w:val="007B2F4E"/>
    <w:rsid w:val="007B3045"/>
    <w:rsid w:val="007B323F"/>
    <w:rsid w:val="007B32AA"/>
    <w:rsid w:val="007B32EA"/>
    <w:rsid w:val="007B343F"/>
    <w:rsid w:val="007B363E"/>
    <w:rsid w:val="007B36C6"/>
    <w:rsid w:val="007B3938"/>
    <w:rsid w:val="007B3A66"/>
    <w:rsid w:val="007B3B73"/>
    <w:rsid w:val="007B3C0E"/>
    <w:rsid w:val="007B3D29"/>
    <w:rsid w:val="007B4158"/>
    <w:rsid w:val="007B4250"/>
    <w:rsid w:val="007B4304"/>
    <w:rsid w:val="007B43AE"/>
    <w:rsid w:val="007B4402"/>
    <w:rsid w:val="007B44D5"/>
    <w:rsid w:val="007B4599"/>
    <w:rsid w:val="007B4649"/>
    <w:rsid w:val="007B46AD"/>
    <w:rsid w:val="007B46C9"/>
    <w:rsid w:val="007B478B"/>
    <w:rsid w:val="007B4797"/>
    <w:rsid w:val="007B48D6"/>
    <w:rsid w:val="007B4994"/>
    <w:rsid w:val="007B49EE"/>
    <w:rsid w:val="007B4E0D"/>
    <w:rsid w:val="007B4E51"/>
    <w:rsid w:val="007B50C2"/>
    <w:rsid w:val="007B5109"/>
    <w:rsid w:val="007B529F"/>
    <w:rsid w:val="007B57E4"/>
    <w:rsid w:val="007B58BB"/>
    <w:rsid w:val="007B58FD"/>
    <w:rsid w:val="007B5B85"/>
    <w:rsid w:val="007B60E7"/>
    <w:rsid w:val="007B6415"/>
    <w:rsid w:val="007B65C6"/>
    <w:rsid w:val="007B6750"/>
    <w:rsid w:val="007B6788"/>
    <w:rsid w:val="007B681E"/>
    <w:rsid w:val="007B6912"/>
    <w:rsid w:val="007B6928"/>
    <w:rsid w:val="007B6A13"/>
    <w:rsid w:val="007B6A49"/>
    <w:rsid w:val="007B6B11"/>
    <w:rsid w:val="007B6B96"/>
    <w:rsid w:val="007B6C1C"/>
    <w:rsid w:val="007B6E3A"/>
    <w:rsid w:val="007B6ED6"/>
    <w:rsid w:val="007B7022"/>
    <w:rsid w:val="007B7093"/>
    <w:rsid w:val="007B70DA"/>
    <w:rsid w:val="007B71C2"/>
    <w:rsid w:val="007B72BA"/>
    <w:rsid w:val="007B73B0"/>
    <w:rsid w:val="007B73C0"/>
    <w:rsid w:val="007B73FA"/>
    <w:rsid w:val="007B7469"/>
    <w:rsid w:val="007B7493"/>
    <w:rsid w:val="007B7497"/>
    <w:rsid w:val="007B76DA"/>
    <w:rsid w:val="007B7AD0"/>
    <w:rsid w:val="007B7C95"/>
    <w:rsid w:val="007B7CDA"/>
    <w:rsid w:val="007B7E2A"/>
    <w:rsid w:val="007B7E71"/>
    <w:rsid w:val="007B7F3D"/>
    <w:rsid w:val="007B7F9C"/>
    <w:rsid w:val="007C01B0"/>
    <w:rsid w:val="007C01BF"/>
    <w:rsid w:val="007C027C"/>
    <w:rsid w:val="007C03D5"/>
    <w:rsid w:val="007C03E6"/>
    <w:rsid w:val="007C04C2"/>
    <w:rsid w:val="007C0602"/>
    <w:rsid w:val="007C0621"/>
    <w:rsid w:val="007C08EB"/>
    <w:rsid w:val="007C09EF"/>
    <w:rsid w:val="007C0C7B"/>
    <w:rsid w:val="007C0DAA"/>
    <w:rsid w:val="007C1032"/>
    <w:rsid w:val="007C1045"/>
    <w:rsid w:val="007C1110"/>
    <w:rsid w:val="007C12CB"/>
    <w:rsid w:val="007C151B"/>
    <w:rsid w:val="007C15AA"/>
    <w:rsid w:val="007C16DF"/>
    <w:rsid w:val="007C1A89"/>
    <w:rsid w:val="007C1F99"/>
    <w:rsid w:val="007C2040"/>
    <w:rsid w:val="007C2072"/>
    <w:rsid w:val="007C20B8"/>
    <w:rsid w:val="007C2298"/>
    <w:rsid w:val="007C23DA"/>
    <w:rsid w:val="007C270B"/>
    <w:rsid w:val="007C2790"/>
    <w:rsid w:val="007C2A4D"/>
    <w:rsid w:val="007C2DF2"/>
    <w:rsid w:val="007C3016"/>
    <w:rsid w:val="007C3324"/>
    <w:rsid w:val="007C33E3"/>
    <w:rsid w:val="007C3449"/>
    <w:rsid w:val="007C362F"/>
    <w:rsid w:val="007C3F91"/>
    <w:rsid w:val="007C41C7"/>
    <w:rsid w:val="007C42D6"/>
    <w:rsid w:val="007C444E"/>
    <w:rsid w:val="007C47FE"/>
    <w:rsid w:val="007C4C78"/>
    <w:rsid w:val="007C4D9B"/>
    <w:rsid w:val="007C5085"/>
    <w:rsid w:val="007C550A"/>
    <w:rsid w:val="007C5824"/>
    <w:rsid w:val="007C5A28"/>
    <w:rsid w:val="007C5C3C"/>
    <w:rsid w:val="007C5C5C"/>
    <w:rsid w:val="007C5D42"/>
    <w:rsid w:val="007C5E70"/>
    <w:rsid w:val="007C5EC2"/>
    <w:rsid w:val="007C5EFE"/>
    <w:rsid w:val="007C603C"/>
    <w:rsid w:val="007C62AF"/>
    <w:rsid w:val="007C62FF"/>
    <w:rsid w:val="007C6475"/>
    <w:rsid w:val="007C6609"/>
    <w:rsid w:val="007C6615"/>
    <w:rsid w:val="007C6706"/>
    <w:rsid w:val="007C67F7"/>
    <w:rsid w:val="007C6A86"/>
    <w:rsid w:val="007C6AEC"/>
    <w:rsid w:val="007C6B12"/>
    <w:rsid w:val="007C6D0A"/>
    <w:rsid w:val="007C6D1B"/>
    <w:rsid w:val="007C7271"/>
    <w:rsid w:val="007C72C5"/>
    <w:rsid w:val="007C72F4"/>
    <w:rsid w:val="007C743A"/>
    <w:rsid w:val="007C765A"/>
    <w:rsid w:val="007C766F"/>
    <w:rsid w:val="007C771F"/>
    <w:rsid w:val="007C7E7A"/>
    <w:rsid w:val="007C7FDE"/>
    <w:rsid w:val="007D00CB"/>
    <w:rsid w:val="007D014D"/>
    <w:rsid w:val="007D025B"/>
    <w:rsid w:val="007D0643"/>
    <w:rsid w:val="007D0730"/>
    <w:rsid w:val="007D0877"/>
    <w:rsid w:val="007D0ABC"/>
    <w:rsid w:val="007D0BE2"/>
    <w:rsid w:val="007D0DA2"/>
    <w:rsid w:val="007D0DA8"/>
    <w:rsid w:val="007D0EF7"/>
    <w:rsid w:val="007D0F19"/>
    <w:rsid w:val="007D0F8F"/>
    <w:rsid w:val="007D10A8"/>
    <w:rsid w:val="007D1384"/>
    <w:rsid w:val="007D1520"/>
    <w:rsid w:val="007D16A2"/>
    <w:rsid w:val="007D1807"/>
    <w:rsid w:val="007D189C"/>
    <w:rsid w:val="007D1B04"/>
    <w:rsid w:val="007D1E9C"/>
    <w:rsid w:val="007D1ED8"/>
    <w:rsid w:val="007D20CE"/>
    <w:rsid w:val="007D233F"/>
    <w:rsid w:val="007D24DA"/>
    <w:rsid w:val="007D24E3"/>
    <w:rsid w:val="007D25D5"/>
    <w:rsid w:val="007D274F"/>
    <w:rsid w:val="007D2780"/>
    <w:rsid w:val="007D28C0"/>
    <w:rsid w:val="007D29D2"/>
    <w:rsid w:val="007D2B63"/>
    <w:rsid w:val="007D2C0D"/>
    <w:rsid w:val="007D306D"/>
    <w:rsid w:val="007D31CF"/>
    <w:rsid w:val="007D3243"/>
    <w:rsid w:val="007D33EF"/>
    <w:rsid w:val="007D346B"/>
    <w:rsid w:val="007D387B"/>
    <w:rsid w:val="007D3882"/>
    <w:rsid w:val="007D38FF"/>
    <w:rsid w:val="007D3B29"/>
    <w:rsid w:val="007D3D92"/>
    <w:rsid w:val="007D3DE6"/>
    <w:rsid w:val="007D3E9D"/>
    <w:rsid w:val="007D439E"/>
    <w:rsid w:val="007D4743"/>
    <w:rsid w:val="007D47CA"/>
    <w:rsid w:val="007D48C7"/>
    <w:rsid w:val="007D49B2"/>
    <w:rsid w:val="007D4B1E"/>
    <w:rsid w:val="007D4B8C"/>
    <w:rsid w:val="007D4BF8"/>
    <w:rsid w:val="007D4E73"/>
    <w:rsid w:val="007D4ED6"/>
    <w:rsid w:val="007D4ED8"/>
    <w:rsid w:val="007D52C0"/>
    <w:rsid w:val="007D5672"/>
    <w:rsid w:val="007D57C1"/>
    <w:rsid w:val="007D593B"/>
    <w:rsid w:val="007D5B79"/>
    <w:rsid w:val="007D5B96"/>
    <w:rsid w:val="007D5E39"/>
    <w:rsid w:val="007D5EB5"/>
    <w:rsid w:val="007D632B"/>
    <w:rsid w:val="007D6484"/>
    <w:rsid w:val="007D6512"/>
    <w:rsid w:val="007D667F"/>
    <w:rsid w:val="007D6700"/>
    <w:rsid w:val="007D678E"/>
    <w:rsid w:val="007D69DC"/>
    <w:rsid w:val="007D6A00"/>
    <w:rsid w:val="007D6A85"/>
    <w:rsid w:val="007D6D40"/>
    <w:rsid w:val="007D6D7E"/>
    <w:rsid w:val="007D6D9E"/>
    <w:rsid w:val="007D6EC4"/>
    <w:rsid w:val="007D6EF6"/>
    <w:rsid w:val="007D6FFA"/>
    <w:rsid w:val="007D72B4"/>
    <w:rsid w:val="007D7346"/>
    <w:rsid w:val="007D74C3"/>
    <w:rsid w:val="007D75C7"/>
    <w:rsid w:val="007D7684"/>
    <w:rsid w:val="007D799D"/>
    <w:rsid w:val="007D7A0D"/>
    <w:rsid w:val="007D7DB1"/>
    <w:rsid w:val="007D7E21"/>
    <w:rsid w:val="007E0179"/>
    <w:rsid w:val="007E04FE"/>
    <w:rsid w:val="007E0524"/>
    <w:rsid w:val="007E057C"/>
    <w:rsid w:val="007E05A4"/>
    <w:rsid w:val="007E06C2"/>
    <w:rsid w:val="007E0734"/>
    <w:rsid w:val="007E0973"/>
    <w:rsid w:val="007E0A8F"/>
    <w:rsid w:val="007E0C3B"/>
    <w:rsid w:val="007E0F0E"/>
    <w:rsid w:val="007E1018"/>
    <w:rsid w:val="007E1166"/>
    <w:rsid w:val="007E121C"/>
    <w:rsid w:val="007E1234"/>
    <w:rsid w:val="007E131C"/>
    <w:rsid w:val="007E1386"/>
    <w:rsid w:val="007E1389"/>
    <w:rsid w:val="007E14DC"/>
    <w:rsid w:val="007E19A7"/>
    <w:rsid w:val="007E1ACD"/>
    <w:rsid w:val="007E1DE8"/>
    <w:rsid w:val="007E1E46"/>
    <w:rsid w:val="007E1F13"/>
    <w:rsid w:val="007E2211"/>
    <w:rsid w:val="007E2224"/>
    <w:rsid w:val="007E2294"/>
    <w:rsid w:val="007E23B1"/>
    <w:rsid w:val="007E2520"/>
    <w:rsid w:val="007E27EC"/>
    <w:rsid w:val="007E28FF"/>
    <w:rsid w:val="007E2997"/>
    <w:rsid w:val="007E29FB"/>
    <w:rsid w:val="007E2C68"/>
    <w:rsid w:val="007E2CBD"/>
    <w:rsid w:val="007E2DAB"/>
    <w:rsid w:val="007E2ED3"/>
    <w:rsid w:val="007E2F15"/>
    <w:rsid w:val="007E324B"/>
    <w:rsid w:val="007E3642"/>
    <w:rsid w:val="007E39E6"/>
    <w:rsid w:val="007E3B79"/>
    <w:rsid w:val="007E3F01"/>
    <w:rsid w:val="007E3FB2"/>
    <w:rsid w:val="007E3FF6"/>
    <w:rsid w:val="007E45C5"/>
    <w:rsid w:val="007E4757"/>
    <w:rsid w:val="007E483B"/>
    <w:rsid w:val="007E4A7B"/>
    <w:rsid w:val="007E4B70"/>
    <w:rsid w:val="007E51FC"/>
    <w:rsid w:val="007E588E"/>
    <w:rsid w:val="007E58A7"/>
    <w:rsid w:val="007E5ABA"/>
    <w:rsid w:val="007E5BB5"/>
    <w:rsid w:val="007E5C8C"/>
    <w:rsid w:val="007E5DE6"/>
    <w:rsid w:val="007E5ED5"/>
    <w:rsid w:val="007E601A"/>
    <w:rsid w:val="007E608E"/>
    <w:rsid w:val="007E6099"/>
    <w:rsid w:val="007E60F0"/>
    <w:rsid w:val="007E6234"/>
    <w:rsid w:val="007E6361"/>
    <w:rsid w:val="007E64AA"/>
    <w:rsid w:val="007E6608"/>
    <w:rsid w:val="007E68F2"/>
    <w:rsid w:val="007E6A43"/>
    <w:rsid w:val="007E6E42"/>
    <w:rsid w:val="007E6EE2"/>
    <w:rsid w:val="007E712A"/>
    <w:rsid w:val="007E71E9"/>
    <w:rsid w:val="007E722B"/>
    <w:rsid w:val="007E73AE"/>
    <w:rsid w:val="007E74DF"/>
    <w:rsid w:val="007E7781"/>
    <w:rsid w:val="007E794D"/>
    <w:rsid w:val="007E7A1F"/>
    <w:rsid w:val="007E7C3C"/>
    <w:rsid w:val="007E7C66"/>
    <w:rsid w:val="007E7D52"/>
    <w:rsid w:val="007E7F13"/>
    <w:rsid w:val="007F00D1"/>
    <w:rsid w:val="007F0102"/>
    <w:rsid w:val="007F018E"/>
    <w:rsid w:val="007F04EC"/>
    <w:rsid w:val="007F0738"/>
    <w:rsid w:val="007F07EB"/>
    <w:rsid w:val="007F0935"/>
    <w:rsid w:val="007F0A5A"/>
    <w:rsid w:val="007F0ED8"/>
    <w:rsid w:val="007F0F9D"/>
    <w:rsid w:val="007F11B3"/>
    <w:rsid w:val="007F1518"/>
    <w:rsid w:val="007F152E"/>
    <w:rsid w:val="007F184C"/>
    <w:rsid w:val="007F1983"/>
    <w:rsid w:val="007F1991"/>
    <w:rsid w:val="007F1A42"/>
    <w:rsid w:val="007F1A5F"/>
    <w:rsid w:val="007F1AAD"/>
    <w:rsid w:val="007F1B74"/>
    <w:rsid w:val="007F1D6B"/>
    <w:rsid w:val="007F1FD3"/>
    <w:rsid w:val="007F2062"/>
    <w:rsid w:val="007F21AA"/>
    <w:rsid w:val="007F22B8"/>
    <w:rsid w:val="007F2304"/>
    <w:rsid w:val="007F2612"/>
    <w:rsid w:val="007F2A43"/>
    <w:rsid w:val="007F2AC7"/>
    <w:rsid w:val="007F2AF0"/>
    <w:rsid w:val="007F2C84"/>
    <w:rsid w:val="007F2DCF"/>
    <w:rsid w:val="007F2E16"/>
    <w:rsid w:val="007F3114"/>
    <w:rsid w:val="007F315C"/>
    <w:rsid w:val="007F3277"/>
    <w:rsid w:val="007F3374"/>
    <w:rsid w:val="007F34E3"/>
    <w:rsid w:val="007F34E8"/>
    <w:rsid w:val="007F3678"/>
    <w:rsid w:val="007F36BC"/>
    <w:rsid w:val="007F36E6"/>
    <w:rsid w:val="007F3757"/>
    <w:rsid w:val="007F3924"/>
    <w:rsid w:val="007F3E5C"/>
    <w:rsid w:val="007F423A"/>
    <w:rsid w:val="007F4418"/>
    <w:rsid w:val="007F46EE"/>
    <w:rsid w:val="007F47F5"/>
    <w:rsid w:val="007F482D"/>
    <w:rsid w:val="007F4830"/>
    <w:rsid w:val="007F4864"/>
    <w:rsid w:val="007F489F"/>
    <w:rsid w:val="007F51CA"/>
    <w:rsid w:val="007F5515"/>
    <w:rsid w:val="007F5887"/>
    <w:rsid w:val="007F598A"/>
    <w:rsid w:val="007F5BF8"/>
    <w:rsid w:val="007F5C3F"/>
    <w:rsid w:val="007F5C56"/>
    <w:rsid w:val="007F607C"/>
    <w:rsid w:val="007F6291"/>
    <w:rsid w:val="007F62EA"/>
    <w:rsid w:val="007F6410"/>
    <w:rsid w:val="007F64FA"/>
    <w:rsid w:val="007F65EF"/>
    <w:rsid w:val="007F6687"/>
    <w:rsid w:val="007F66AE"/>
    <w:rsid w:val="007F6738"/>
    <w:rsid w:val="007F679E"/>
    <w:rsid w:val="007F68DA"/>
    <w:rsid w:val="007F6943"/>
    <w:rsid w:val="007F721F"/>
    <w:rsid w:val="007F7734"/>
    <w:rsid w:val="007F780E"/>
    <w:rsid w:val="007F796D"/>
    <w:rsid w:val="007F7D22"/>
    <w:rsid w:val="007F7D23"/>
    <w:rsid w:val="007F7DBD"/>
    <w:rsid w:val="007F7E3B"/>
    <w:rsid w:val="00800223"/>
    <w:rsid w:val="00800394"/>
    <w:rsid w:val="0080047A"/>
    <w:rsid w:val="00800586"/>
    <w:rsid w:val="008005E3"/>
    <w:rsid w:val="00800755"/>
    <w:rsid w:val="00800899"/>
    <w:rsid w:val="00800EF9"/>
    <w:rsid w:val="008016DA"/>
    <w:rsid w:val="0080170B"/>
    <w:rsid w:val="0080170D"/>
    <w:rsid w:val="008017D1"/>
    <w:rsid w:val="0080189E"/>
    <w:rsid w:val="00801D39"/>
    <w:rsid w:val="008021B5"/>
    <w:rsid w:val="008022D6"/>
    <w:rsid w:val="0080242E"/>
    <w:rsid w:val="008024E6"/>
    <w:rsid w:val="008025D0"/>
    <w:rsid w:val="00802650"/>
    <w:rsid w:val="0080269B"/>
    <w:rsid w:val="008028BC"/>
    <w:rsid w:val="008028E6"/>
    <w:rsid w:val="008028FB"/>
    <w:rsid w:val="00802AC4"/>
    <w:rsid w:val="00802ADD"/>
    <w:rsid w:val="00802BA3"/>
    <w:rsid w:val="00802F0D"/>
    <w:rsid w:val="00803219"/>
    <w:rsid w:val="008032AD"/>
    <w:rsid w:val="008034D8"/>
    <w:rsid w:val="0080366A"/>
    <w:rsid w:val="008036AC"/>
    <w:rsid w:val="00803769"/>
    <w:rsid w:val="00803AD0"/>
    <w:rsid w:val="00803B7A"/>
    <w:rsid w:val="00803BA2"/>
    <w:rsid w:val="00803BC8"/>
    <w:rsid w:val="00803BE3"/>
    <w:rsid w:val="00803C0E"/>
    <w:rsid w:val="00803C6C"/>
    <w:rsid w:val="00803EBC"/>
    <w:rsid w:val="00803EFD"/>
    <w:rsid w:val="00803FE9"/>
    <w:rsid w:val="00804004"/>
    <w:rsid w:val="00804090"/>
    <w:rsid w:val="008043E9"/>
    <w:rsid w:val="0080454D"/>
    <w:rsid w:val="00804574"/>
    <w:rsid w:val="0080480A"/>
    <w:rsid w:val="00804831"/>
    <w:rsid w:val="00804909"/>
    <w:rsid w:val="008049E2"/>
    <w:rsid w:val="00804AE8"/>
    <w:rsid w:val="00804D27"/>
    <w:rsid w:val="00804E8E"/>
    <w:rsid w:val="00804F4F"/>
    <w:rsid w:val="00804F6B"/>
    <w:rsid w:val="0080511C"/>
    <w:rsid w:val="00805240"/>
    <w:rsid w:val="0080534D"/>
    <w:rsid w:val="0080552D"/>
    <w:rsid w:val="00805562"/>
    <w:rsid w:val="008057B0"/>
    <w:rsid w:val="008057B6"/>
    <w:rsid w:val="008059ED"/>
    <w:rsid w:val="00805E7A"/>
    <w:rsid w:val="00805F11"/>
    <w:rsid w:val="0080613A"/>
    <w:rsid w:val="00806145"/>
    <w:rsid w:val="0080614F"/>
    <w:rsid w:val="0080620E"/>
    <w:rsid w:val="00806395"/>
    <w:rsid w:val="0080693E"/>
    <w:rsid w:val="00806A81"/>
    <w:rsid w:val="00806AC6"/>
    <w:rsid w:val="00806E26"/>
    <w:rsid w:val="00806F92"/>
    <w:rsid w:val="00807294"/>
    <w:rsid w:val="00807337"/>
    <w:rsid w:val="008076C9"/>
    <w:rsid w:val="0080774A"/>
    <w:rsid w:val="0080776C"/>
    <w:rsid w:val="008077F3"/>
    <w:rsid w:val="00807868"/>
    <w:rsid w:val="008078B8"/>
    <w:rsid w:val="00807956"/>
    <w:rsid w:val="00807A6F"/>
    <w:rsid w:val="00807B6B"/>
    <w:rsid w:val="00807CCA"/>
    <w:rsid w:val="00807CFA"/>
    <w:rsid w:val="00807D4E"/>
    <w:rsid w:val="00807F7C"/>
    <w:rsid w:val="0081021A"/>
    <w:rsid w:val="0081036A"/>
    <w:rsid w:val="00810427"/>
    <w:rsid w:val="008104E6"/>
    <w:rsid w:val="008107A7"/>
    <w:rsid w:val="00810A02"/>
    <w:rsid w:val="00810AAA"/>
    <w:rsid w:val="00810B4F"/>
    <w:rsid w:val="00810C93"/>
    <w:rsid w:val="00810F33"/>
    <w:rsid w:val="00811073"/>
    <w:rsid w:val="0081136A"/>
    <w:rsid w:val="0081156B"/>
    <w:rsid w:val="008115B6"/>
    <w:rsid w:val="008117EC"/>
    <w:rsid w:val="008118C0"/>
    <w:rsid w:val="008118C4"/>
    <w:rsid w:val="0081196F"/>
    <w:rsid w:val="00811B20"/>
    <w:rsid w:val="00811B37"/>
    <w:rsid w:val="00811C74"/>
    <w:rsid w:val="00811D54"/>
    <w:rsid w:val="00811E73"/>
    <w:rsid w:val="00812189"/>
    <w:rsid w:val="008121C4"/>
    <w:rsid w:val="008125CE"/>
    <w:rsid w:val="008125EE"/>
    <w:rsid w:val="008129A7"/>
    <w:rsid w:val="00812C01"/>
    <w:rsid w:val="00812C9D"/>
    <w:rsid w:val="00812E70"/>
    <w:rsid w:val="00812E7F"/>
    <w:rsid w:val="008133ED"/>
    <w:rsid w:val="008138C6"/>
    <w:rsid w:val="008139C2"/>
    <w:rsid w:val="00813A60"/>
    <w:rsid w:val="00813C8A"/>
    <w:rsid w:val="00813DC2"/>
    <w:rsid w:val="008145B9"/>
    <w:rsid w:val="008147F7"/>
    <w:rsid w:val="00814857"/>
    <w:rsid w:val="008148C5"/>
    <w:rsid w:val="00814D30"/>
    <w:rsid w:val="00814D32"/>
    <w:rsid w:val="00814DA0"/>
    <w:rsid w:val="00814EC5"/>
    <w:rsid w:val="00814F08"/>
    <w:rsid w:val="00814F47"/>
    <w:rsid w:val="00815685"/>
    <w:rsid w:val="0081584E"/>
    <w:rsid w:val="00815FFE"/>
    <w:rsid w:val="00816384"/>
    <w:rsid w:val="008163EA"/>
    <w:rsid w:val="00816453"/>
    <w:rsid w:val="0081696F"/>
    <w:rsid w:val="00816A46"/>
    <w:rsid w:val="00816ACB"/>
    <w:rsid w:val="00816C19"/>
    <w:rsid w:val="00816CEB"/>
    <w:rsid w:val="00816E21"/>
    <w:rsid w:val="00816E26"/>
    <w:rsid w:val="00816E5E"/>
    <w:rsid w:val="008174A5"/>
    <w:rsid w:val="008174B5"/>
    <w:rsid w:val="008174D6"/>
    <w:rsid w:val="008175EF"/>
    <w:rsid w:val="0081768A"/>
    <w:rsid w:val="008177E3"/>
    <w:rsid w:val="008177FD"/>
    <w:rsid w:val="00817A2B"/>
    <w:rsid w:val="00817AA0"/>
    <w:rsid w:val="00817D0B"/>
    <w:rsid w:val="00817DE1"/>
    <w:rsid w:val="00817E90"/>
    <w:rsid w:val="00820316"/>
    <w:rsid w:val="008204D7"/>
    <w:rsid w:val="00820814"/>
    <w:rsid w:val="00820AD1"/>
    <w:rsid w:val="00820BFE"/>
    <w:rsid w:val="00820C46"/>
    <w:rsid w:val="00820F62"/>
    <w:rsid w:val="0082103C"/>
    <w:rsid w:val="0082109B"/>
    <w:rsid w:val="008210BB"/>
    <w:rsid w:val="0082119F"/>
    <w:rsid w:val="0082129A"/>
    <w:rsid w:val="008212EE"/>
    <w:rsid w:val="008214FE"/>
    <w:rsid w:val="00821567"/>
    <w:rsid w:val="0082176F"/>
    <w:rsid w:val="008217E4"/>
    <w:rsid w:val="0082184F"/>
    <w:rsid w:val="008218DB"/>
    <w:rsid w:val="00821964"/>
    <w:rsid w:val="00821AE0"/>
    <w:rsid w:val="00821B5A"/>
    <w:rsid w:val="00821DDB"/>
    <w:rsid w:val="00821F90"/>
    <w:rsid w:val="008220EB"/>
    <w:rsid w:val="00822177"/>
    <w:rsid w:val="008221C9"/>
    <w:rsid w:val="0082225D"/>
    <w:rsid w:val="0082235F"/>
    <w:rsid w:val="008223D7"/>
    <w:rsid w:val="00822569"/>
    <w:rsid w:val="008225A7"/>
    <w:rsid w:val="00822735"/>
    <w:rsid w:val="0082293A"/>
    <w:rsid w:val="008229BC"/>
    <w:rsid w:val="00822B61"/>
    <w:rsid w:val="00822BA2"/>
    <w:rsid w:val="00822D2D"/>
    <w:rsid w:val="00822E5E"/>
    <w:rsid w:val="0082315C"/>
    <w:rsid w:val="008231A8"/>
    <w:rsid w:val="00823343"/>
    <w:rsid w:val="0082359C"/>
    <w:rsid w:val="008235C3"/>
    <w:rsid w:val="008235E8"/>
    <w:rsid w:val="00823600"/>
    <w:rsid w:val="00823887"/>
    <w:rsid w:val="00823B98"/>
    <w:rsid w:val="00823C2A"/>
    <w:rsid w:val="00823D79"/>
    <w:rsid w:val="00823F4E"/>
    <w:rsid w:val="00824012"/>
    <w:rsid w:val="0082410C"/>
    <w:rsid w:val="008242A9"/>
    <w:rsid w:val="00824631"/>
    <w:rsid w:val="00824832"/>
    <w:rsid w:val="0082485A"/>
    <w:rsid w:val="008248A8"/>
    <w:rsid w:val="00824A29"/>
    <w:rsid w:val="00824C2D"/>
    <w:rsid w:val="00824C50"/>
    <w:rsid w:val="00824CFE"/>
    <w:rsid w:val="00824D62"/>
    <w:rsid w:val="00824E32"/>
    <w:rsid w:val="00824EAD"/>
    <w:rsid w:val="00824EFD"/>
    <w:rsid w:val="00825037"/>
    <w:rsid w:val="00825693"/>
    <w:rsid w:val="00825706"/>
    <w:rsid w:val="00825767"/>
    <w:rsid w:val="0082598C"/>
    <w:rsid w:val="00825ADB"/>
    <w:rsid w:val="00825B1C"/>
    <w:rsid w:val="00825B9A"/>
    <w:rsid w:val="00825BA2"/>
    <w:rsid w:val="00825D4D"/>
    <w:rsid w:val="00825FE8"/>
    <w:rsid w:val="0082602E"/>
    <w:rsid w:val="0082639A"/>
    <w:rsid w:val="008265F2"/>
    <w:rsid w:val="008266BC"/>
    <w:rsid w:val="008267B7"/>
    <w:rsid w:val="00826847"/>
    <w:rsid w:val="00826878"/>
    <w:rsid w:val="00826896"/>
    <w:rsid w:val="008269D2"/>
    <w:rsid w:val="00826FE9"/>
    <w:rsid w:val="00827049"/>
    <w:rsid w:val="0082704D"/>
    <w:rsid w:val="00827057"/>
    <w:rsid w:val="008273F4"/>
    <w:rsid w:val="008274C2"/>
    <w:rsid w:val="008275FB"/>
    <w:rsid w:val="0082795F"/>
    <w:rsid w:val="00827960"/>
    <w:rsid w:val="00827A45"/>
    <w:rsid w:val="00827B49"/>
    <w:rsid w:val="00827B4E"/>
    <w:rsid w:val="00827E48"/>
    <w:rsid w:val="00827EA6"/>
    <w:rsid w:val="00827F51"/>
    <w:rsid w:val="0083006E"/>
    <w:rsid w:val="00830099"/>
    <w:rsid w:val="008302DE"/>
    <w:rsid w:val="0083065E"/>
    <w:rsid w:val="008306E8"/>
    <w:rsid w:val="00830973"/>
    <w:rsid w:val="00830F2F"/>
    <w:rsid w:val="00831012"/>
    <w:rsid w:val="00831273"/>
    <w:rsid w:val="00831438"/>
    <w:rsid w:val="00831710"/>
    <w:rsid w:val="00831963"/>
    <w:rsid w:val="00831B44"/>
    <w:rsid w:val="00831C3B"/>
    <w:rsid w:val="00831DF7"/>
    <w:rsid w:val="008321FA"/>
    <w:rsid w:val="0083220E"/>
    <w:rsid w:val="00832286"/>
    <w:rsid w:val="00832409"/>
    <w:rsid w:val="00832420"/>
    <w:rsid w:val="0083245C"/>
    <w:rsid w:val="00832485"/>
    <w:rsid w:val="008324D2"/>
    <w:rsid w:val="00832717"/>
    <w:rsid w:val="0083272C"/>
    <w:rsid w:val="00832919"/>
    <w:rsid w:val="00832AB7"/>
    <w:rsid w:val="00832AC5"/>
    <w:rsid w:val="00832C05"/>
    <w:rsid w:val="00832C53"/>
    <w:rsid w:val="00832D62"/>
    <w:rsid w:val="00832E71"/>
    <w:rsid w:val="00833185"/>
    <w:rsid w:val="00833200"/>
    <w:rsid w:val="00833236"/>
    <w:rsid w:val="008334C0"/>
    <w:rsid w:val="008334E2"/>
    <w:rsid w:val="0083365E"/>
    <w:rsid w:val="008338E3"/>
    <w:rsid w:val="00833B75"/>
    <w:rsid w:val="00833D47"/>
    <w:rsid w:val="00833EE3"/>
    <w:rsid w:val="00833F54"/>
    <w:rsid w:val="00834828"/>
    <w:rsid w:val="00834911"/>
    <w:rsid w:val="00834975"/>
    <w:rsid w:val="00834AB9"/>
    <w:rsid w:val="008350AA"/>
    <w:rsid w:val="0083513F"/>
    <w:rsid w:val="00835265"/>
    <w:rsid w:val="0083566B"/>
    <w:rsid w:val="0083577F"/>
    <w:rsid w:val="00835874"/>
    <w:rsid w:val="00835885"/>
    <w:rsid w:val="00835D23"/>
    <w:rsid w:val="00835DE5"/>
    <w:rsid w:val="00835E8E"/>
    <w:rsid w:val="00835F97"/>
    <w:rsid w:val="008360EB"/>
    <w:rsid w:val="0083617D"/>
    <w:rsid w:val="008361EB"/>
    <w:rsid w:val="00836239"/>
    <w:rsid w:val="008366DD"/>
    <w:rsid w:val="00836F21"/>
    <w:rsid w:val="008378FF"/>
    <w:rsid w:val="008379CA"/>
    <w:rsid w:val="00837B0C"/>
    <w:rsid w:val="00837B4F"/>
    <w:rsid w:val="00837C60"/>
    <w:rsid w:val="00837DB6"/>
    <w:rsid w:val="00837E64"/>
    <w:rsid w:val="00837EDC"/>
    <w:rsid w:val="00837F28"/>
    <w:rsid w:val="00837FA0"/>
    <w:rsid w:val="008401FB"/>
    <w:rsid w:val="0084039B"/>
    <w:rsid w:val="008405E0"/>
    <w:rsid w:val="008405E4"/>
    <w:rsid w:val="0084062E"/>
    <w:rsid w:val="008408B5"/>
    <w:rsid w:val="008409F7"/>
    <w:rsid w:val="00840A9A"/>
    <w:rsid w:val="00840BC0"/>
    <w:rsid w:val="00840D22"/>
    <w:rsid w:val="00840DAA"/>
    <w:rsid w:val="00840F99"/>
    <w:rsid w:val="008411D9"/>
    <w:rsid w:val="00841201"/>
    <w:rsid w:val="00841277"/>
    <w:rsid w:val="008412C7"/>
    <w:rsid w:val="008412FE"/>
    <w:rsid w:val="00841895"/>
    <w:rsid w:val="0084189A"/>
    <w:rsid w:val="0084197B"/>
    <w:rsid w:val="008419FC"/>
    <w:rsid w:val="00841BC1"/>
    <w:rsid w:val="00841DF0"/>
    <w:rsid w:val="00841E38"/>
    <w:rsid w:val="00841EBA"/>
    <w:rsid w:val="00841FAF"/>
    <w:rsid w:val="008420F4"/>
    <w:rsid w:val="008421F7"/>
    <w:rsid w:val="008422F4"/>
    <w:rsid w:val="0084237F"/>
    <w:rsid w:val="008424C0"/>
    <w:rsid w:val="008426B4"/>
    <w:rsid w:val="008426EC"/>
    <w:rsid w:val="0084278B"/>
    <w:rsid w:val="008428A9"/>
    <w:rsid w:val="008429C1"/>
    <w:rsid w:val="00842B07"/>
    <w:rsid w:val="00842B6F"/>
    <w:rsid w:val="00842D6E"/>
    <w:rsid w:val="00842D8D"/>
    <w:rsid w:val="00842E7E"/>
    <w:rsid w:val="00842F02"/>
    <w:rsid w:val="008431D0"/>
    <w:rsid w:val="00843A32"/>
    <w:rsid w:val="00843A6F"/>
    <w:rsid w:val="00843C18"/>
    <w:rsid w:val="00844017"/>
    <w:rsid w:val="008440FF"/>
    <w:rsid w:val="00844136"/>
    <w:rsid w:val="00844186"/>
    <w:rsid w:val="00844363"/>
    <w:rsid w:val="0084456E"/>
    <w:rsid w:val="00844BC9"/>
    <w:rsid w:val="00844C5D"/>
    <w:rsid w:val="00844CEE"/>
    <w:rsid w:val="00844DF4"/>
    <w:rsid w:val="00844FB9"/>
    <w:rsid w:val="0084506F"/>
    <w:rsid w:val="00845499"/>
    <w:rsid w:val="00845512"/>
    <w:rsid w:val="00845764"/>
    <w:rsid w:val="00845E57"/>
    <w:rsid w:val="00845F47"/>
    <w:rsid w:val="008468D0"/>
    <w:rsid w:val="00846BFF"/>
    <w:rsid w:val="00846DBD"/>
    <w:rsid w:val="00846DEB"/>
    <w:rsid w:val="00847082"/>
    <w:rsid w:val="00847350"/>
    <w:rsid w:val="008473CB"/>
    <w:rsid w:val="00847409"/>
    <w:rsid w:val="0084740A"/>
    <w:rsid w:val="0084749A"/>
    <w:rsid w:val="00847651"/>
    <w:rsid w:val="0084788E"/>
    <w:rsid w:val="00847C92"/>
    <w:rsid w:val="00847F8C"/>
    <w:rsid w:val="0085003A"/>
    <w:rsid w:val="008501FF"/>
    <w:rsid w:val="00850270"/>
    <w:rsid w:val="008502CA"/>
    <w:rsid w:val="0085042D"/>
    <w:rsid w:val="0085057D"/>
    <w:rsid w:val="0085060C"/>
    <w:rsid w:val="00850696"/>
    <w:rsid w:val="008507A0"/>
    <w:rsid w:val="00850862"/>
    <w:rsid w:val="0085094D"/>
    <w:rsid w:val="008509DB"/>
    <w:rsid w:val="00850DC9"/>
    <w:rsid w:val="00850E0F"/>
    <w:rsid w:val="00850F04"/>
    <w:rsid w:val="00850FCE"/>
    <w:rsid w:val="0085108B"/>
    <w:rsid w:val="008511B6"/>
    <w:rsid w:val="0085128B"/>
    <w:rsid w:val="008513E6"/>
    <w:rsid w:val="008514A5"/>
    <w:rsid w:val="008515AB"/>
    <w:rsid w:val="0085160C"/>
    <w:rsid w:val="008516A4"/>
    <w:rsid w:val="00851756"/>
    <w:rsid w:val="00851A7A"/>
    <w:rsid w:val="00851AC8"/>
    <w:rsid w:val="00851ED3"/>
    <w:rsid w:val="00851F09"/>
    <w:rsid w:val="008520F5"/>
    <w:rsid w:val="008521C0"/>
    <w:rsid w:val="008522CD"/>
    <w:rsid w:val="0085231B"/>
    <w:rsid w:val="00852349"/>
    <w:rsid w:val="00852451"/>
    <w:rsid w:val="00852994"/>
    <w:rsid w:val="008529C8"/>
    <w:rsid w:val="00852B16"/>
    <w:rsid w:val="00852CE0"/>
    <w:rsid w:val="00852DB6"/>
    <w:rsid w:val="00852E86"/>
    <w:rsid w:val="00852F90"/>
    <w:rsid w:val="00852FA7"/>
    <w:rsid w:val="00853056"/>
    <w:rsid w:val="00853067"/>
    <w:rsid w:val="0085321E"/>
    <w:rsid w:val="00853454"/>
    <w:rsid w:val="00853509"/>
    <w:rsid w:val="0085353E"/>
    <w:rsid w:val="00853631"/>
    <w:rsid w:val="0085365F"/>
    <w:rsid w:val="008537E7"/>
    <w:rsid w:val="0085395E"/>
    <w:rsid w:val="00853AD6"/>
    <w:rsid w:val="00853B95"/>
    <w:rsid w:val="00853C4B"/>
    <w:rsid w:val="00853DD9"/>
    <w:rsid w:val="00853E8B"/>
    <w:rsid w:val="00853FCB"/>
    <w:rsid w:val="0085417B"/>
    <w:rsid w:val="008541C8"/>
    <w:rsid w:val="008544C1"/>
    <w:rsid w:val="008547C9"/>
    <w:rsid w:val="0085491A"/>
    <w:rsid w:val="00854A85"/>
    <w:rsid w:val="00854B77"/>
    <w:rsid w:val="00855288"/>
    <w:rsid w:val="008552DA"/>
    <w:rsid w:val="008553B0"/>
    <w:rsid w:val="008554AC"/>
    <w:rsid w:val="0085557A"/>
    <w:rsid w:val="008559E2"/>
    <w:rsid w:val="00855E52"/>
    <w:rsid w:val="00855F31"/>
    <w:rsid w:val="00856058"/>
    <w:rsid w:val="00856292"/>
    <w:rsid w:val="008562C0"/>
    <w:rsid w:val="00856312"/>
    <w:rsid w:val="008566B0"/>
    <w:rsid w:val="008567BC"/>
    <w:rsid w:val="00856951"/>
    <w:rsid w:val="00856B85"/>
    <w:rsid w:val="00856D80"/>
    <w:rsid w:val="00856DFA"/>
    <w:rsid w:val="00856E32"/>
    <w:rsid w:val="00856E46"/>
    <w:rsid w:val="008571F6"/>
    <w:rsid w:val="00857394"/>
    <w:rsid w:val="008573EC"/>
    <w:rsid w:val="00857480"/>
    <w:rsid w:val="008574EE"/>
    <w:rsid w:val="008577D5"/>
    <w:rsid w:val="0085786B"/>
    <w:rsid w:val="00857878"/>
    <w:rsid w:val="00857A32"/>
    <w:rsid w:val="00857A59"/>
    <w:rsid w:val="00857CC5"/>
    <w:rsid w:val="00857D50"/>
    <w:rsid w:val="00857DC5"/>
    <w:rsid w:val="00857DE0"/>
    <w:rsid w:val="00857DFA"/>
    <w:rsid w:val="00857E1B"/>
    <w:rsid w:val="00857F13"/>
    <w:rsid w:val="00857F1F"/>
    <w:rsid w:val="00857F2A"/>
    <w:rsid w:val="00857F7F"/>
    <w:rsid w:val="00860130"/>
    <w:rsid w:val="00860416"/>
    <w:rsid w:val="00860684"/>
    <w:rsid w:val="008607E2"/>
    <w:rsid w:val="0086081B"/>
    <w:rsid w:val="00860981"/>
    <w:rsid w:val="00860B46"/>
    <w:rsid w:val="00860C31"/>
    <w:rsid w:val="00860D3F"/>
    <w:rsid w:val="00860EF7"/>
    <w:rsid w:val="00861057"/>
    <w:rsid w:val="00861830"/>
    <w:rsid w:val="008618CF"/>
    <w:rsid w:val="00861DD7"/>
    <w:rsid w:val="00861E9E"/>
    <w:rsid w:val="00861F69"/>
    <w:rsid w:val="00862097"/>
    <w:rsid w:val="008620C4"/>
    <w:rsid w:val="0086210B"/>
    <w:rsid w:val="008621A9"/>
    <w:rsid w:val="00862311"/>
    <w:rsid w:val="00862498"/>
    <w:rsid w:val="008624F4"/>
    <w:rsid w:val="008625B8"/>
    <w:rsid w:val="008625D1"/>
    <w:rsid w:val="008628BF"/>
    <w:rsid w:val="00862957"/>
    <w:rsid w:val="0086295E"/>
    <w:rsid w:val="008629F3"/>
    <w:rsid w:val="00862A5E"/>
    <w:rsid w:val="00862BA0"/>
    <w:rsid w:val="00862BBF"/>
    <w:rsid w:val="00862E19"/>
    <w:rsid w:val="00862EEF"/>
    <w:rsid w:val="00862EF2"/>
    <w:rsid w:val="00862FD9"/>
    <w:rsid w:val="00863151"/>
    <w:rsid w:val="008632E5"/>
    <w:rsid w:val="0086333B"/>
    <w:rsid w:val="008634C2"/>
    <w:rsid w:val="008635CF"/>
    <w:rsid w:val="0086370E"/>
    <w:rsid w:val="008638EF"/>
    <w:rsid w:val="00863963"/>
    <w:rsid w:val="008639EC"/>
    <w:rsid w:val="00863C09"/>
    <w:rsid w:val="00863C6C"/>
    <w:rsid w:val="00863CEC"/>
    <w:rsid w:val="00863CEE"/>
    <w:rsid w:val="00863D24"/>
    <w:rsid w:val="00863DCA"/>
    <w:rsid w:val="00863E97"/>
    <w:rsid w:val="00863F76"/>
    <w:rsid w:val="00863FB3"/>
    <w:rsid w:val="00863FE5"/>
    <w:rsid w:val="00863FE6"/>
    <w:rsid w:val="0086408C"/>
    <w:rsid w:val="00864258"/>
    <w:rsid w:val="008643E6"/>
    <w:rsid w:val="0086452C"/>
    <w:rsid w:val="0086453C"/>
    <w:rsid w:val="00864549"/>
    <w:rsid w:val="008646C1"/>
    <w:rsid w:val="008647DA"/>
    <w:rsid w:val="00864804"/>
    <w:rsid w:val="00864822"/>
    <w:rsid w:val="00864CA8"/>
    <w:rsid w:val="00864E47"/>
    <w:rsid w:val="00864EEA"/>
    <w:rsid w:val="00865024"/>
    <w:rsid w:val="00865027"/>
    <w:rsid w:val="00865242"/>
    <w:rsid w:val="008653C4"/>
    <w:rsid w:val="00865509"/>
    <w:rsid w:val="00865550"/>
    <w:rsid w:val="00865688"/>
    <w:rsid w:val="008656A4"/>
    <w:rsid w:val="00865866"/>
    <w:rsid w:val="008658BC"/>
    <w:rsid w:val="00865D60"/>
    <w:rsid w:val="00865E4F"/>
    <w:rsid w:val="00865FC6"/>
    <w:rsid w:val="00866004"/>
    <w:rsid w:val="008661BB"/>
    <w:rsid w:val="008662A5"/>
    <w:rsid w:val="00866663"/>
    <w:rsid w:val="008667AE"/>
    <w:rsid w:val="008669D5"/>
    <w:rsid w:val="00866A9F"/>
    <w:rsid w:val="00866B1E"/>
    <w:rsid w:val="00866D06"/>
    <w:rsid w:val="00866D35"/>
    <w:rsid w:val="00866F29"/>
    <w:rsid w:val="008670DD"/>
    <w:rsid w:val="008676BD"/>
    <w:rsid w:val="00867B80"/>
    <w:rsid w:val="00867BA6"/>
    <w:rsid w:val="00867CF8"/>
    <w:rsid w:val="00867EE6"/>
    <w:rsid w:val="0087026B"/>
    <w:rsid w:val="00870671"/>
    <w:rsid w:val="00870A96"/>
    <w:rsid w:val="008718F4"/>
    <w:rsid w:val="008718FE"/>
    <w:rsid w:val="00871ADD"/>
    <w:rsid w:val="00871C38"/>
    <w:rsid w:val="00871D38"/>
    <w:rsid w:val="00871EB8"/>
    <w:rsid w:val="00871FCC"/>
    <w:rsid w:val="00872001"/>
    <w:rsid w:val="00872015"/>
    <w:rsid w:val="0087203B"/>
    <w:rsid w:val="008725F9"/>
    <w:rsid w:val="0087267F"/>
    <w:rsid w:val="008726D8"/>
    <w:rsid w:val="00872AA7"/>
    <w:rsid w:val="00872BC9"/>
    <w:rsid w:val="00873061"/>
    <w:rsid w:val="008730A2"/>
    <w:rsid w:val="008731EB"/>
    <w:rsid w:val="00873565"/>
    <w:rsid w:val="0087369A"/>
    <w:rsid w:val="00873839"/>
    <w:rsid w:val="00873892"/>
    <w:rsid w:val="008738D5"/>
    <w:rsid w:val="00873911"/>
    <w:rsid w:val="00873A55"/>
    <w:rsid w:val="00873BE7"/>
    <w:rsid w:val="00873D75"/>
    <w:rsid w:val="0087406F"/>
    <w:rsid w:val="008741D1"/>
    <w:rsid w:val="0087445A"/>
    <w:rsid w:val="00874829"/>
    <w:rsid w:val="00874B5A"/>
    <w:rsid w:val="00874CFE"/>
    <w:rsid w:val="00874E16"/>
    <w:rsid w:val="008750BD"/>
    <w:rsid w:val="008751C9"/>
    <w:rsid w:val="00875260"/>
    <w:rsid w:val="008752B0"/>
    <w:rsid w:val="00875480"/>
    <w:rsid w:val="00875837"/>
    <w:rsid w:val="00875B1A"/>
    <w:rsid w:val="00875E80"/>
    <w:rsid w:val="00875F76"/>
    <w:rsid w:val="00875F78"/>
    <w:rsid w:val="00876245"/>
    <w:rsid w:val="00876999"/>
    <w:rsid w:val="00876A62"/>
    <w:rsid w:val="00876D13"/>
    <w:rsid w:val="00876FFF"/>
    <w:rsid w:val="0087706C"/>
    <w:rsid w:val="008773AD"/>
    <w:rsid w:val="008775D4"/>
    <w:rsid w:val="008776D8"/>
    <w:rsid w:val="008776DD"/>
    <w:rsid w:val="0087771B"/>
    <w:rsid w:val="0087778D"/>
    <w:rsid w:val="00877A7E"/>
    <w:rsid w:val="00877ACF"/>
    <w:rsid w:val="00877AFD"/>
    <w:rsid w:val="00877BCC"/>
    <w:rsid w:val="008801A4"/>
    <w:rsid w:val="008804B9"/>
    <w:rsid w:val="00880A33"/>
    <w:rsid w:val="00880C0D"/>
    <w:rsid w:val="00880C21"/>
    <w:rsid w:val="00880E8C"/>
    <w:rsid w:val="00880ED0"/>
    <w:rsid w:val="00880FFD"/>
    <w:rsid w:val="0088106E"/>
    <w:rsid w:val="00881154"/>
    <w:rsid w:val="008815E9"/>
    <w:rsid w:val="0088168B"/>
    <w:rsid w:val="008817D8"/>
    <w:rsid w:val="00881D2E"/>
    <w:rsid w:val="00881FFE"/>
    <w:rsid w:val="00882082"/>
    <w:rsid w:val="00882270"/>
    <w:rsid w:val="0088237E"/>
    <w:rsid w:val="00882460"/>
    <w:rsid w:val="008825AF"/>
    <w:rsid w:val="00882B2C"/>
    <w:rsid w:val="00882B64"/>
    <w:rsid w:val="00882C78"/>
    <w:rsid w:val="00882E79"/>
    <w:rsid w:val="00882EAB"/>
    <w:rsid w:val="00882FF0"/>
    <w:rsid w:val="00883004"/>
    <w:rsid w:val="008831D9"/>
    <w:rsid w:val="00883212"/>
    <w:rsid w:val="00883228"/>
    <w:rsid w:val="008833D2"/>
    <w:rsid w:val="008833DB"/>
    <w:rsid w:val="0088341B"/>
    <w:rsid w:val="0088346A"/>
    <w:rsid w:val="00883517"/>
    <w:rsid w:val="0088381F"/>
    <w:rsid w:val="0088395D"/>
    <w:rsid w:val="00883B8E"/>
    <w:rsid w:val="00883E1E"/>
    <w:rsid w:val="00884089"/>
    <w:rsid w:val="008847B9"/>
    <w:rsid w:val="008848EA"/>
    <w:rsid w:val="00884A9A"/>
    <w:rsid w:val="00884B11"/>
    <w:rsid w:val="00884BAA"/>
    <w:rsid w:val="00884C5E"/>
    <w:rsid w:val="00884CAE"/>
    <w:rsid w:val="00884EAB"/>
    <w:rsid w:val="00884F92"/>
    <w:rsid w:val="0088510E"/>
    <w:rsid w:val="008851F1"/>
    <w:rsid w:val="00885334"/>
    <w:rsid w:val="008853C0"/>
    <w:rsid w:val="008853F7"/>
    <w:rsid w:val="00885729"/>
    <w:rsid w:val="00885770"/>
    <w:rsid w:val="008857DC"/>
    <w:rsid w:val="008857F1"/>
    <w:rsid w:val="00885958"/>
    <w:rsid w:val="00885EF6"/>
    <w:rsid w:val="00885F9C"/>
    <w:rsid w:val="00886289"/>
    <w:rsid w:val="0088636B"/>
    <w:rsid w:val="008864ED"/>
    <w:rsid w:val="008864FE"/>
    <w:rsid w:val="0088666C"/>
    <w:rsid w:val="008867DF"/>
    <w:rsid w:val="00886A15"/>
    <w:rsid w:val="00886A8C"/>
    <w:rsid w:val="00886CB5"/>
    <w:rsid w:val="00887072"/>
    <w:rsid w:val="00887078"/>
    <w:rsid w:val="00887243"/>
    <w:rsid w:val="00887490"/>
    <w:rsid w:val="0088788D"/>
    <w:rsid w:val="0089039F"/>
    <w:rsid w:val="00890616"/>
    <w:rsid w:val="0089097E"/>
    <w:rsid w:val="008909F0"/>
    <w:rsid w:val="00890B7E"/>
    <w:rsid w:val="00890DAF"/>
    <w:rsid w:val="00890E65"/>
    <w:rsid w:val="00890E70"/>
    <w:rsid w:val="00890EF3"/>
    <w:rsid w:val="00890F61"/>
    <w:rsid w:val="0089116E"/>
    <w:rsid w:val="00891249"/>
    <w:rsid w:val="00891274"/>
    <w:rsid w:val="00891354"/>
    <w:rsid w:val="008913CE"/>
    <w:rsid w:val="008913D1"/>
    <w:rsid w:val="00891438"/>
    <w:rsid w:val="0089148B"/>
    <w:rsid w:val="00891639"/>
    <w:rsid w:val="0089188F"/>
    <w:rsid w:val="008919D7"/>
    <w:rsid w:val="008919F0"/>
    <w:rsid w:val="00891A48"/>
    <w:rsid w:val="00891B6A"/>
    <w:rsid w:val="00891B7C"/>
    <w:rsid w:val="00891D80"/>
    <w:rsid w:val="00891DE1"/>
    <w:rsid w:val="00891F99"/>
    <w:rsid w:val="008920FC"/>
    <w:rsid w:val="008922EF"/>
    <w:rsid w:val="00892534"/>
    <w:rsid w:val="00892680"/>
    <w:rsid w:val="0089270F"/>
    <w:rsid w:val="008927A0"/>
    <w:rsid w:val="008927A3"/>
    <w:rsid w:val="00892A9F"/>
    <w:rsid w:val="00892E4C"/>
    <w:rsid w:val="008932BE"/>
    <w:rsid w:val="008932C9"/>
    <w:rsid w:val="008935C2"/>
    <w:rsid w:val="008939CD"/>
    <w:rsid w:val="00893BB2"/>
    <w:rsid w:val="00893FDF"/>
    <w:rsid w:val="00894134"/>
    <w:rsid w:val="00894138"/>
    <w:rsid w:val="008942EC"/>
    <w:rsid w:val="008943CF"/>
    <w:rsid w:val="008947A2"/>
    <w:rsid w:val="008947EF"/>
    <w:rsid w:val="00894855"/>
    <w:rsid w:val="0089485F"/>
    <w:rsid w:val="00894950"/>
    <w:rsid w:val="008949DF"/>
    <w:rsid w:val="00894D62"/>
    <w:rsid w:val="00894F1A"/>
    <w:rsid w:val="0089502D"/>
    <w:rsid w:val="0089524D"/>
    <w:rsid w:val="00895263"/>
    <w:rsid w:val="00895264"/>
    <w:rsid w:val="008952A7"/>
    <w:rsid w:val="008953DA"/>
    <w:rsid w:val="008953E3"/>
    <w:rsid w:val="00895567"/>
    <w:rsid w:val="008955A5"/>
    <w:rsid w:val="008955B1"/>
    <w:rsid w:val="008955F6"/>
    <w:rsid w:val="008958E3"/>
    <w:rsid w:val="00895BE6"/>
    <w:rsid w:val="00895C50"/>
    <w:rsid w:val="00896646"/>
    <w:rsid w:val="00896B05"/>
    <w:rsid w:val="00896B7D"/>
    <w:rsid w:val="00896BC4"/>
    <w:rsid w:val="00896CF8"/>
    <w:rsid w:val="00896E64"/>
    <w:rsid w:val="00896FD0"/>
    <w:rsid w:val="00897282"/>
    <w:rsid w:val="00897653"/>
    <w:rsid w:val="008976C0"/>
    <w:rsid w:val="008976F2"/>
    <w:rsid w:val="00897A3F"/>
    <w:rsid w:val="00897A5F"/>
    <w:rsid w:val="00897B92"/>
    <w:rsid w:val="00897BF5"/>
    <w:rsid w:val="00897D63"/>
    <w:rsid w:val="00897FDF"/>
    <w:rsid w:val="00897FFE"/>
    <w:rsid w:val="008A01C0"/>
    <w:rsid w:val="008A01E2"/>
    <w:rsid w:val="008A04FF"/>
    <w:rsid w:val="008A0623"/>
    <w:rsid w:val="008A0A95"/>
    <w:rsid w:val="008A0D8E"/>
    <w:rsid w:val="008A0DB3"/>
    <w:rsid w:val="008A0F5E"/>
    <w:rsid w:val="008A0FFA"/>
    <w:rsid w:val="008A10A3"/>
    <w:rsid w:val="008A134A"/>
    <w:rsid w:val="008A1448"/>
    <w:rsid w:val="008A154C"/>
    <w:rsid w:val="008A1965"/>
    <w:rsid w:val="008A1A51"/>
    <w:rsid w:val="008A1AA6"/>
    <w:rsid w:val="008A1E29"/>
    <w:rsid w:val="008A1EE0"/>
    <w:rsid w:val="008A1F43"/>
    <w:rsid w:val="008A1F4E"/>
    <w:rsid w:val="008A1F9A"/>
    <w:rsid w:val="008A1FB2"/>
    <w:rsid w:val="008A1FF4"/>
    <w:rsid w:val="008A203D"/>
    <w:rsid w:val="008A211B"/>
    <w:rsid w:val="008A214E"/>
    <w:rsid w:val="008A233A"/>
    <w:rsid w:val="008A2341"/>
    <w:rsid w:val="008A25D9"/>
    <w:rsid w:val="008A26AC"/>
    <w:rsid w:val="008A26F1"/>
    <w:rsid w:val="008A28AA"/>
    <w:rsid w:val="008A28B1"/>
    <w:rsid w:val="008A292A"/>
    <w:rsid w:val="008A2A59"/>
    <w:rsid w:val="008A2AE3"/>
    <w:rsid w:val="008A2BB3"/>
    <w:rsid w:val="008A2E75"/>
    <w:rsid w:val="008A2ECE"/>
    <w:rsid w:val="008A315E"/>
    <w:rsid w:val="008A329F"/>
    <w:rsid w:val="008A33C3"/>
    <w:rsid w:val="008A3449"/>
    <w:rsid w:val="008A347A"/>
    <w:rsid w:val="008A34CB"/>
    <w:rsid w:val="008A35F6"/>
    <w:rsid w:val="008A35F8"/>
    <w:rsid w:val="008A3901"/>
    <w:rsid w:val="008A3A34"/>
    <w:rsid w:val="008A4002"/>
    <w:rsid w:val="008A41BC"/>
    <w:rsid w:val="008A4214"/>
    <w:rsid w:val="008A4329"/>
    <w:rsid w:val="008A4419"/>
    <w:rsid w:val="008A4435"/>
    <w:rsid w:val="008A44F3"/>
    <w:rsid w:val="008A44FE"/>
    <w:rsid w:val="008A4895"/>
    <w:rsid w:val="008A492C"/>
    <w:rsid w:val="008A4A52"/>
    <w:rsid w:val="008A4BF9"/>
    <w:rsid w:val="008A4FA9"/>
    <w:rsid w:val="008A506F"/>
    <w:rsid w:val="008A509E"/>
    <w:rsid w:val="008A5348"/>
    <w:rsid w:val="008A5395"/>
    <w:rsid w:val="008A54F2"/>
    <w:rsid w:val="008A5D1F"/>
    <w:rsid w:val="008A5F87"/>
    <w:rsid w:val="008A60F9"/>
    <w:rsid w:val="008A63BB"/>
    <w:rsid w:val="008A64FE"/>
    <w:rsid w:val="008A65AE"/>
    <w:rsid w:val="008A6964"/>
    <w:rsid w:val="008A6AD8"/>
    <w:rsid w:val="008A6C12"/>
    <w:rsid w:val="008A6C3F"/>
    <w:rsid w:val="008A6DCE"/>
    <w:rsid w:val="008A7094"/>
    <w:rsid w:val="008A714E"/>
    <w:rsid w:val="008A717F"/>
    <w:rsid w:val="008A71EF"/>
    <w:rsid w:val="008A72A8"/>
    <w:rsid w:val="008A77D8"/>
    <w:rsid w:val="008A7806"/>
    <w:rsid w:val="008A7C51"/>
    <w:rsid w:val="008A7D33"/>
    <w:rsid w:val="008A7D6D"/>
    <w:rsid w:val="008A7F75"/>
    <w:rsid w:val="008A7FCC"/>
    <w:rsid w:val="008A7FDB"/>
    <w:rsid w:val="008B0016"/>
    <w:rsid w:val="008B001B"/>
    <w:rsid w:val="008B0038"/>
    <w:rsid w:val="008B02C2"/>
    <w:rsid w:val="008B0438"/>
    <w:rsid w:val="008B045B"/>
    <w:rsid w:val="008B07D5"/>
    <w:rsid w:val="008B08F1"/>
    <w:rsid w:val="008B0D43"/>
    <w:rsid w:val="008B0D77"/>
    <w:rsid w:val="008B0DB5"/>
    <w:rsid w:val="008B103D"/>
    <w:rsid w:val="008B110C"/>
    <w:rsid w:val="008B11C7"/>
    <w:rsid w:val="008B11DE"/>
    <w:rsid w:val="008B1393"/>
    <w:rsid w:val="008B1671"/>
    <w:rsid w:val="008B1914"/>
    <w:rsid w:val="008B1AFD"/>
    <w:rsid w:val="008B1D07"/>
    <w:rsid w:val="008B1E39"/>
    <w:rsid w:val="008B1F29"/>
    <w:rsid w:val="008B22C0"/>
    <w:rsid w:val="008B284E"/>
    <w:rsid w:val="008B288C"/>
    <w:rsid w:val="008B29CB"/>
    <w:rsid w:val="008B2CA1"/>
    <w:rsid w:val="008B2CF0"/>
    <w:rsid w:val="008B2E2C"/>
    <w:rsid w:val="008B2F23"/>
    <w:rsid w:val="008B336B"/>
    <w:rsid w:val="008B341E"/>
    <w:rsid w:val="008B359B"/>
    <w:rsid w:val="008B3663"/>
    <w:rsid w:val="008B3AFD"/>
    <w:rsid w:val="008B3DD7"/>
    <w:rsid w:val="008B3E8F"/>
    <w:rsid w:val="008B4182"/>
    <w:rsid w:val="008B424B"/>
    <w:rsid w:val="008B42C7"/>
    <w:rsid w:val="008B47B5"/>
    <w:rsid w:val="008B47D2"/>
    <w:rsid w:val="008B4817"/>
    <w:rsid w:val="008B4970"/>
    <w:rsid w:val="008B4A63"/>
    <w:rsid w:val="008B4B59"/>
    <w:rsid w:val="008B4BF0"/>
    <w:rsid w:val="008B4F3C"/>
    <w:rsid w:val="008B4F48"/>
    <w:rsid w:val="008B534C"/>
    <w:rsid w:val="008B566D"/>
    <w:rsid w:val="008B5687"/>
    <w:rsid w:val="008B5C3D"/>
    <w:rsid w:val="008B5D61"/>
    <w:rsid w:val="008B5F2C"/>
    <w:rsid w:val="008B5FB9"/>
    <w:rsid w:val="008B6074"/>
    <w:rsid w:val="008B6219"/>
    <w:rsid w:val="008B6303"/>
    <w:rsid w:val="008B6370"/>
    <w:rsid w:val="008B6764"/>
    <w:rsid w:val="008B676E"/>
    <w:rsid w:val="008B6A5F"/>
    <w:rsid w:val="008B6B62"/>
    <w:rsid w:val="008B716C"/>
    <w:rsid w:val="008B7349"/>
    <w:rsid w:val="008B73EE"/>
    <w:rsid w:val="008B776F"/>
    <w:rsid w:val="008B785A"/>
    <w:rsid w:val="008B789E"/>
    <w:rsid w:val="008B7A7C"/>
    <w:rsid w:val="008B7B30"/>
    <w:rsid w:val="008B7C91"/>
    <w:rsid w:val="008B7DA7"/>
    <w:rsid w:val="008B7EA4"/>
    <w:rsid w:val="008B7EF9"/>
    <w:rsid w:val="008B7FCE"/>
    <w:rsid w:val="008C0039"/>
    <w:rsid w:val="008C0056"/>
    <w:rsid w:val="008C0A24"/>
    <w:rsid w:val="008C0F82"/>
    <w:rsid w:val="008C1011"/>
    <w:rsid w:val="008C125C"/>
    <w:rsid w:val="008C1267"/>
    <w:rsid w:val="008C1671"/>
    <w:rsid w:val="008C17A9"/>
    <w:rsid w:val="008C1A5C"/>
    <w:rsid w:val="008C1BB0"/>
    <w:rsid w:val="008C1C57"/>
    <w:rsid w:val="008C1D0E"/>
    <w:rsid w:val="008C1F05"/>
    <w:rsid w:val="008C1F4D"/>
    <w:rsid w:val="008C1F77"/>
    <w:rsid w:val="008C21E1"/>
    <w:rsid w:val="008C2237"/>
    <w:rsid w:val="008C2243"/>
    <w:rsid w:val="008C24D9"/>
    <w:rsid w:val="008C2510"/>
    <w:rsid w:val="008C2536"/>
    <w:rsid w:val="008C2583"/>
    <w:rsid w:val="008C25DD"/>
    <w:rsid w:val="008C26E0"/>
    <w:rsid w:val="008C2725"/>
    <w:rsid w:val="008C290D"/>
    <w:rsid w:val="008C29A3"/>
    <w:rsid w:val="008C2A46"/>
    <w:rsid w:val="008C2C48"/>
    <w:rsid w:val="008C2ED1"/>
    <w:rsid w:val="008C2FC6"/>
    <w:rsid w:val="008C308C"/>
    <w:rsid w:val="008C3187"/>
    <w:rsid w:val="008C31F8"/>
    <w:rsid w:val="008C3291"/>
    <w:rsid w:val="008C36B7"/>
    <w:rsid w:val="008C36D2"/>
    <w:rsid w:val="008C3703"/>
    <w:rsid w:val="008C37D8"/>
    <w:rsid w:val="008C37DA"/>
    <w:rsid w:val="008C3818"/>
    <w:rsid w:val="008C38B1"/>
    <w:rsid w:val="008C38FF"/>
    <w:rsid w:val="008C395D"/>
    <w:rsid w:val="008C39D3"/>
    <w:rsid w:val="008C3C02"/>
    <w:rsid w:val="008C4195"/>
    <w:rsid w:val="008C42AA"/>
    <w:rsid w:val="008C44AA"/>
    <w:rsid w:val="008C4867"/>
    <w:rsid w:val="008C4B85"/>
    <w:rsid w:val="008C4E33"/>
    <w:rsid w:val="008C51DD"/>
    <w:rsid w:val="008C54CB"/>
    <w:rsid w:val="008C54F7"/>
    <w:rsid w:val="008C551B"/>
    <w:rsid w:val="008C555B"/>
    <w:rsid w:val="008C555F"/>
    <w:rsid w:val="008C5679"/>
    <w:rsid w:val="008C5730"/>
    <w:rsid w:val="008C5772"/>
    <w:rsid w:val="008C5A2E"/>
    <w:rsid w:val="008C5E55"/>
    <w:rsid w:val="008C6018"/>
    <w:rsid w:val="008C62DE"/>
    <w:rsid w:val="008C63FB"/>
    <w:rsid w:val="008C6421"/>
    <w:rsid w:val="008C66F1"/>
    <w:rsid w:val="008C676C"/>
    <w:rsid w:val="008C6A0F"/>
    <w:rsid w:val="008C6ABA"/>
    <w:rsid w:val="008C6C9B"/>
    <w:rsid w:val="008C6D53"/>
    <w:rsid w:val="008C6E22"/>
    <w:rsid w:val="008C7143"/>
    <w:rsid w:val="008C7230"/>
    <w:rsid w:val="008C7258"/>
    <w:rsid w:val="008C7546"/>
    <w:rsid w:val="008C7591"/>
    <w:rsid w:val="008C768B"/>
    <w:rsid w:val="008C76A1"/>
    <w:rsid w:val="008C778A"/>
    <w:rsid w:val="008C77E1"/>
    <w:rsid w:val="008C78B5"/>
    <w:rsid w:val="008C78F2"/>
    <w:rsid w:val="008C7AC0"/>
    <w:rsid w:val="008C7B62"/>
    <w:rsid w:val="008C7B85"/>
    <w:rsid w:val="008C7CE2"/>
    <w:rsid w:val="008C7CEA"/>
    <w:rsid w:val="008C7DCC"/>
    <w:rsid w:val="008C7EA6"/>
    <w:rsid w:val="008C7F27"/>
    <w:rsid w:val="008D00E2"/>
    <w:rsid w:val="008D0173"/>
    <w:rsid w:val="008D045A"/>
    <w:rsid w:val="008D049F"/>
    <w:rsid w:val="008D0795"/>
    <w:rsid w:val="008D0832"/>
    <w:rsid w:val="008D084B"/>
    <w:rsid w:val="008D09A1"/>
    <w:rsid w:val="008D0BF2"/>
    <w:rsid w:val="008D0DC1"/>
    <w:rsid w:val="008D0DDB"/>
    <w:rsid w:val="008D0E9A"/>
    <w:rsid w:val="008D123E"/>
    <w:rsid w:val="008D12C4"/>
    <w:rsid w:val="008D15C5"/>
    <w:rsid w:val="008D1712"/>
    <w:rsid w:val="008D171B"/>
    <w:rsid w:val="008D1A51"/>
    <w:rsid w:val="008D1A81"/>
    <w:rsid w:val="008D1ACE"/>
    <w:rsid w:val="008D1C50"/>
    <w:rsid w:val="008D1D77"/>
    <w:rsid w:val="008D1D9B"/>
    <w:rsid w:val="008D1DBF"/>
    <w:rsid w:val="008D1EAE"/>
    <w:rsid w:val="008D1F76"/>
    <w:rsid w:val="008D2042"/>
    <w:rsid w:val="008D2066"/>
    <w:rsid w:val="008D208E"/>
    <w:rsid w:val="008D22A8"/>
    <w:rsid w:val="008D2304"/>
    <w:rsid w:val="008D257B"/>
    <w:rsid w:val="008D26A1"/>
    <w:rsid w:val="008D26FB"/>
    <w:rsid w:val="008D295B"/>
    <w:rsid w:val="008D2BB2"/>
    <w:rsid w:val="008D2CBB"/>
    <w:rsid w:val="008D2D7F"/>
    <w:rsid w:val="008D2E39"/>
    <w:rsid w:val="008D3310"/>
    <w:rsid w:val="008D3447"/>
    <w:rsid w:val="008D344A"/>
    <w:rsid w:val="008D3652"/>
    <w:rsid w:val="008D36DF"/>
    <w:rsid w:val="008D36EB"/>
    <w:rsid w:val="008D3929"/>
    <w:rsid w:val="008D3B5D"/>
    <w:rsid w:val="008D3F85"/>
    <w:rsid w:val="008D40CF"/>
    <w:rsid w:val="008D412F"/>
    <w:rsid w:val="008D43E6"/>
    <w:rsid w:val="008D445A"/>
    <w:rsid w:val="008D4510"/>
    <w:rsid w:val="008D4776"/>
    <w:rsid w:val="008D493B"/>
    <w:rsid w:val="008D4A55"/>
    <w:rsid w:val="008D4B0B"/>
    <w:rsid w:val="008D4CE8"/>
    <w:rsid w:val="008D4DE1"/>
    <w:rsid w:val="008D4ECB"/>
    <w:rsid w:val="008D50E2"/>
    <w:rsid w:val="008D51DA"/>
    <w:rsid w:val="008D526E"/>
    <w:rsid w:val="008D52DB"/>
    <w:rsid w:val="008D532E"/>
    <w:rsid w:val="008D5443"/>
    <w:rsid w:val="008D5777"/>
    <w:rsid w:val="008D57BC"/>
    <w:rsid w:val="008D5978"/>
    <w:rsid w:val="008D5B38"/>
    <w:rsid w:val="008D5CF3"/>
    <w:rsid w:val="008D5D36"/>
    <w:rsid w:val="008D5E7C"/>
    <w:rsid w:val="008D5E84"/>
    <w:rsid w:val="008D6262"/>
    <w:rsid w:val="008D6280"/>
    <w:rsid w:val="008D657E"/>
    <w:rsid w:val="008D6859"/>
    <w:rsid w:val="008D6DDF"/>
    <w:rsid w:val="008D6F69"/>
    <w:rsid w:val="008D6FF5"/>
    <w:rsid w:val="008D716B"/>
    <w:rsid w:val="008D7474"/>
    <w:rsid w:val="008D74ED"/>
    <w:rsid w:val="008D7652"/>
    <w:rsid w:val="008D76F6"/>
    <w:rsid w:val="008D77DD"/>
    <w:rsid w:val="008D7A80"/>
    <w:rsid w:val="008D7D53"/>
    <w:rsid w:val="008D7E53"/>
    <w:rsid w:val="008D7E8D"/>
    <w:rsid w:val="008D7EAC"/>
    <w:rsid w:val="008D7FB6"/>
    <w:rsid w:val="008E0203"/>
    <w:rsid w:val="008E04D4"/>
    <w:rsid w:val="008E0517"/>
    <w:rsid w:val="008E06C1"/>
    <w:rsid w:val="008E0723"/>
    <w:rsid w:val="008E0762"/>
    <w:rsid w:val="008E0878"/>
    <w:rsid w:val="008E088C"/>
    <w:rsid w:val="008E0B96"/>
    <w:rsid w:val="008E0CB2"/>
    <w:rsid w:val="008E0CD2"/>
    <w:rsid w:val="008E0D28"/>
    <w:rsid w:val="008E0D54"/>
    <w:rsid w:val="008E1039"/>
    <w:rsid w:val="008E12B4"/>
    <w:rsid w:val="008E1585"/>
    <w:rsid w:val="008E15AB"/>
    <w:rsid w:val="008E1642"/>
    <w:rsid w:val="008E1695"/>
    <w:rsid w:val="008E1742"/>
    <w:rsid w:val="008E1C64"/>
    <w:rsid w:val="008E1CCE"/>
    <w:rsid w:val="008E1FE7"/>
    <w:rsid w:val="008E2093"/>
    <w:rsid w:val="008E213E"/>
    <w:rsid w:val="008E22CC"/>
    <w:rsid w:val="008E2357"/>
    <w:rsid w:val="008E27FD"/>
    <w:rsid w:val="008E2930"/>
    <w:rsid w:val="008E2A02"/>
    <w:rsid w:val="008E2D88"/>
    <w:rsid w:val="008E2DAA"/>
    <w:rsid w:val="008E2E2E"/>
    <w:rsid w:val="008E2ECB"/>
    <w:rsid w:val="008E3069"/>
    <w:rsid w:val="008E3126"/>
    <w:rsid w:val="008E3502"/>
    <w:rsid w:val="008E359A"/>
    <w:rsid w:val="008E362B"/>
    <w:rsid w:val="008E38A0"/>
    <w:rsid w:val="008E3948"/>
    <w:rsid w:val="008E3AF8"/>
    <w:rsid w:val="008E3D98"/>
    <w:rsid w:val="008E3FC2"/>
    <w:rsid w:val="008E418D"/>
    <w:rsid w:val="008E4260"/>
    <w:rsid w:val="008E473E"/>
    <w:rsid w:val="008E475F"/>
    <w:rsid w:val="008E47F7"/>
    <w:rsid w:val="008E4844"/>
    <w:rsid w:val="008E498D"/>
    <w:rsid w:val="008E4D6C"/>
    <w:rsid w:val="008E4DA2"/>
    <w:rsid w:val="008E4DF1"/>
    <w:rsid w:val="008E50B9"/>
    <w:rsid w:val="008E5151"/>
    <w:rsid w:val="008E5165"/>
    <w:rsid w:val="008E5243"/>
    <w:rsid w:val="008E531A"/>
    <w:rsid w:val="008E5475"/>
    <w:rsid w:val="008E549F"/>
    <w:rsid w:val="008E550B"/>
    <w:rsid w:val="008E570F"/>
    <w:rsid w:val="008E589C"/>
    <w:rsid w:val="008E590E"/>
    <w:rsid w:val="008E595B"/>
    <w:rsid w:val="008E5A15"/>
    <w:rsid w:val="008E5BA1"/>
    <w:rsid w:val="008E5C2C"/>
    <w:rsid w:val="008E5C41"/>
    <w:rsid w:val="008E5DB3"/>
    <w:rsid w:val="008E62E1"/>
    <w:rsid w:val="008E62F1"/>
    <w:rsid w:val="008E6517"/>
    <w:rsid w:val="008E65E8"/>
    <w:rsid w:val="008E6744"/>
    <w:rsid w:val="008E68D3"/>
    <w:rsid w:val="008E6F04"/>
    <w:rsid w:val="008E7020"/>
    <w:rsid w:val="008E71FF"/>
    <w:rsid w:val="008E733F"/>
    <w:rsid w:val="008E738F"/>
    <w:rsid w:val="008E7557"/>
    <w:rsid w:val="008E77DD"/>
    <w:rsid w:val="008E78B9"/>
    <w:rsid w:val="008E7AA8"/>
    <w:rsid w:val="008F01B7"/>
    <w:rsid w:val="008F039A"/>
    <w:rsid w:val="008F03BF"/>
    <w:rsid w:val="008F0404"/>
    <w:rsid w:val="008F047A"/>
    <w:rsid w:val="008F051B"/>
    <w:rsid w:val="008F0612"/>
    <w:rsid w:val="008F068E"/>
    <w:rsid w:val="008F08D2"/>
    <w:rsid w:val="008F0B2F"/>
    <w:rsid w:val="008F0C03"/>
    <w:rsid w:val="008F0E05"/>
    <w:rsid w:val="008F1249"/>
    <w:rsid w:val="008F1270"/>
    <w:rsid w:val="008F1454"/>
    <w:rsid w:val="008F1AF7"/>
    <w:rsid w:val="008F1BA1"/>
    <w:rsid w:val="008F1CE5"/>
    <w:rsid w:val="008F1E72"/>
    <w:rsid w:val="008F20A6"/>
    <w:rsid w:val="008F2527"/>
    <w:rsid w:val="008F2552"/>
    <w:rsid w:val="008F2659"/>
    <w:rsid w:val="008F281D"/>
    <w:rsid w:val="008F2894"/>
    <w:rsid w:val="008F29E0"/>
    <w:rsid w:val="008F2B91"/>
    <w:rsid w:val="008F2CB2"/>
    <w:rsid w:val="008F2E6C"/>
    <w:rsid w:val="008F2E85"/>
    <w:rsid w:val="008F2F17"/>
    <w:rsid w:val="008F2F5C"/>
    <w:rsid w:val="008F2FEE"/>
    <w:rsid w:val="008F3345"/>
    <w:rsid w:val="008F3592"/>
    <w:rsid w:val="008F3917"/>
    <w:rsid w:val="008F3924"/>
    <w:rsid w:val="008F3CA3"/>
    <w:rsid w:val="008F3D24"/>
    <w:rsid w:val="008F3DB3"/>
    <w:rsid w:val="008F3EF6"/>
    <w:rsid w:val="008F3F8D"/>
    <w:rsid w:val="008F3F91"/>
    <w:rsid w:val="008F4090"/>
    <w:rsid w:val="008F41E6"/>
    <w:rsid w:val="008F441A"/>
    <w:rsid w:val="008F4460"/>
    <w:rsid w:val="008F492F"/>
    <w:rsid w:val="008F4998"/>
    <w:rsid w:val="008F4A05"/>
    <w:rsid w:val="008F4A8B"/>
    <w:rsid w:val="008F4BFC"/>
    <w:rsid w:val="008F4DCA"/>
    <w:rsid w:val="008F4EC4"/>
    <w:rsid w:val="008F4EEB"/>
    <w:rsid w:val="008F5283"/>
    <w:rsid w:val="008F536A"/>
    <w:rsid w:val="008F5407"/>
    <w:rsid w:val="008F55BB"/>
    <w:rsid w:val="008F56F6"/>
    <w:rsid w:val="008F5797"/>
    <w:rsid w:val="008F58C1"/>
    <w:rsid w:val="008F5A1D"/>
    <w:rsid w:val="008F5C0F"/>
    <w:rsid w:val="008F5D13"/>
    <w:rsid w:val="008F5DD2"/>
    <w:rsid w:val="008F5EB4"/>
    <w:rsid w:val="008F64EC"/>
    <w:rsid w:val="008F6732"/>
    <w:rsid w:val="008F67A9"/>
    <w:rsid w:val="008F67C4"/>
    <w:rsid w:val="008F6AA8"/>
    <w:rsid w:val="008F6D6B"/>
    <w:rsid w:val="008F71D6"/>
    <w:rsid w:val="008F7281"/>
    <w:rsid w:val="008F72C2"/>
    <w:rsid w:val="008F7734"/>
    <w:rsid w:val="008F7811"/>
    <w:rsid w:val="008F782D"/>
    <w:rsid w:val="008F7911"/>
    <w:rsid w:val="008F7968"/>
    <w:rsid w:val="008F796E"/>
    <w:rsid w:val="008F7A4D"/>
    <w:rsid w:val="008F7B5C"/>
    <w:rsid w:val="008F7C30"/>
    <w:rsid w:val="008F7D12"/>
    <w:rsid w:val="008F7DA5"/>
    <w:rsid w:val="008F7DE2"/>
    <w:rsid w:val="0090010E"/>
    <w:rsid w:val="00900232"/>
    <w:rsid w:val="009002C6"/>
    <w:rsid w:val="0090045D"/>
    <w:rsid w:val="00900533"/>
    <w:rsid w:val="0090071B"/>
    <w:rsid w:val="009007D5"/>
    <w:rsid w:val="0090082B"/>
    <w:rsid w:val="00900DBE"/>
    <w:rsid w:val="009010F9"/>
    <w:rsid w:val="009011FE"/>
    <w:rsid w:val="00901574"/>
    <w:rsid w:val="00901730"/>
    <w:rsid w:val="00901851"/>
    <w:rsid w:val="00901860"/>
    <w:rsid w:val="00901A26"/>
    <w:rsid w:val="00901F90"/>
    <w:rsid w:val="00901FA0"/>
    <w:rsid w:val="00902171"/>
    <w:rsid w:val="00902424"/>
    <w:rsid w:val="0090262F"/>
    <w:rsid w:val="009027AD"/>
    <w:rsid w:val="009027BC"/>
    <w:rsid w:val="00902B03"/>
    <w:rsid w:val="00902B71"/>
    <w:rsid w:val="00902CF8"/>
    <w:rsid w:val="00902E0D"/>
    <w:rsid w:val="00902F3A"/>
    <w:rsid w:val="009030A7"/>
    <w:rsid w:val="009033F2"/>
    <w:rsid w:val="009034F2"/>
    <w:rsid w:val="00903A03"/>
    <w:rsid w:val="00903ACD"/>
    <w:rsid w:val="00903C1D"/>
    <w:rsid w:val="00903C76"/>
    <w:rsid w:val="00903DDD"/>
    <w:rsid w:val="00903F68"/>
    <w:rsid w:val="00904103"/>
    <w:rsid w:val="00904185"/>
    <w:rsid w:val="0090430B"/>
    <w:rsid w:val="00904727"/>
    <w:rsid w:val="0090481F"/>
    <w:rsid w:val="00904884"/>
    <w:rsid w:val="0090488C"/>
    <w:rsid w:val="00904A3E"/>
    <w:rsid w:val="00904ABE"/>
    <w:rsid w:val="00904C91"/>
    <w:rsid w:val="00904D23"/>
    <w:rsid w:val="00904D47"/>
    <w:rsid w:val="00905143"/>
    <w:rsid w:val="009051FE"/>
    <w:rsid w:val="0090536A"/>
    <w:rsid w:val="0090540C"/>
    <w:rsid w:val="0090599B"/>
    <w:rsid w:val="00905ADF"/>
    <w:rsid w:val="00905C58"/>
    <w:rsid w:val="00905ECE"/>
    <w:rsid w:val="00905FAF"/>
    <w:rsid w:val="00906122"/>
    <w:rsid w:val="00906295"/>
    <w:rsid w:val="009062AE"/>
    <w:rsid w:val="00906402"/>
    <w:rsid w:val="009064BC"/>
    <w:rsid w:val="009066CD"/>
    <w:rsid w:val="00906919"/>
    <w:rsid w:val="0090695E"/>
    <w:rsid w:val="00906B3A"/>
    <w:rsid w:val="00906F50"/>
    <w:rsid w:val="00907171"/>
    <w:rsid w:val="009071C8"/>
    <w:rsid w:val="009073E1"/>
    <w:rsid w:val="00907432"/>
    <w:rsid w:val="0090758C"/>
    <w:rsid w:val="009077F6"/>
    <w:rsid w:val="009079ED"/>
    <w:rsid w:val="00907A1C"/>
    <w:rsid w:val="00907A6E"/>
    <w:rsid w:val="009100B8"/>
    <w:rsid w:val="009100BE"/>
    <w:rsid w:val="0091010E"/>
    <w:rsid w:val="009102DD"/>
    <w:rsid w:val="00910315"/>
    <w:rsid w:val="00910369"/>
    <w:rsid w:val="009104FE"/>
    <w:rsid w:val="0091055D"/>
    <w:rsid w:val="0091068C"/>
    <w:rsid w:val="00910764"/>
    <w:rsid w:val="0091085A"/>
    <w:rsid w:val="0091089B"/>
    <w:rsid w:val="0091099E"/>
    <w:rsid w:val="00910A73"/>
    <w:rsid w:val="00910C3E"/>
    <w:rsid w:val="00910CF2"/>
    <w:rsid w:val="00910D82"/>
    <w:rsid w:val="00910FB7"/>
    <w:rsid w:val="009112B8"/>
    <w:rsid w:val="0091136E"/>
    <w:rsid w:val="00911398"/>
    <w:rsid w:val="00911B6F"/>
    <w:rsid w:val="00911E70"/>
    <w:rsid w:val="009120FD"/>
    <w:rsid w:val="0091218C"/>
    <w:rsid w:val="00912253"/>
    <w:rsid w:val="009122CE"/>
    <w:rsid w:val="0091234E"/>
    <w:rsid w:val="009125B9"/>
    <w:rsid w:val="009126AC"/>
    <w:rsid w:val="009127D4"/>
    <w:rsid w:val="00912882"/>
    <w:rsid w:val="00912B01"/>
    <w:rsid w:val="00912B98"/>
    <w:rsid w:val="00912BE6"/>
    <w:rsid w:val="00912D6E"/>
    <w:rsid w:val="00912EEB"/>
    <w:rsid w:val="009130BB"/>
    <w:rsid w:val="009134E1"/>
    <w:rsid w:val="00913593"/>
    <w:rsid w:val="0091366C"/>
    <w:rsid w:val="00913676"/>
    <w:rsid w:val="00913681"/>
    <w:rsid w:val="009139B7"/>
    <w:rsid w:val="00913B26"/>
    <w:rsid w:val="00913E27"/>
    <w:rsid w:val="00913E43"/>
    <w:rsid w:val="009140F2"/>
    <w:rsid w:val="009141E0"/>
    <w:rsid w:val="009142C6"/>
    <w:rsid w:val="00914549"/>
    <w:rsid w:val="0091455E"/>
    <w:rsid w:val="009146A2"/>
    <w:rsid w:val="00914741"/>
    <w:rsid w:val="00914743"/>
    <w:rsid w:val="009147AC"/>
    <w:rsid w:val="0091484E"/>
    <w:rsid w:val="00914C24"/>
    <w:rsid w:val="00914CAE"/>
    <w:rsid w:val="00914D48"/>
    <w:rsid w:val="00914E83"/>
    <w:rsid w:val="00914EA8"/>
    <w:rsid w:val="00915060"/>
    <w:rsid w:val="0091530D"/>
    <w:rsid w:val="009153EA"/>
    <w:rsid w:val="00915666"/>
    <w:rsid w:val="0091576D"/>
    <w:rsid w:val="00915817"/>
    <w:rsid w:val="009158A0"/>
    <w:rsid w:val="00915B83"/>
    <w:rsid w:val="00915C23"/>
    <w:rsid w:val="00915C2C"/>
    <w:rsid w:val="00915E40"/>
    <w:rsid w:val="00915EA6"/>
    <w:rsid w:val="00915EAF"/>
    <w:rsid w:val="009160B6"/>
    <w:rsid w:val="009160FF"/>
    <w:rsid w:val="00916101"/>
    <w:rsid w:val="009161C8"/>
    <w:rsid w:val="009162F1"/>
    <w:rsid w:val="009162FC"/>
    <w:rsid w:val="00916722"/>
    <w:rsid w:val="00916745"/>
    <w:rsid w:val="00916859"/>
    <w:rsid w:val="00916B72"/>
    <w:rsid w:val="00916CFD"/>
    <w:rsid w:val="00916D94"/>
    <w:rsid w:val="00916FD2"/>
    <w:rsid w:val="00917015"/>
    <w:rsid w:val="0091726A"/>
    <w:rsid w:val="0091753E"/>
    <w:rsid w:val="009175B0"/>
    <w:rsid w:val="009176A8"/>
    <w:rsid w:val="0091779E"/>
    <w:rsid w:val="0091785C"/>
    <w:rsid w:val="00917B6B"/>
    <w:rsid w:val="00917C7B"/>
    <w:rsid w:val="00917E50"/>
    <w:rsid w:val="00917EB1"/>
    <w:rsid w:val="00917F37"/>
    <w:rsid w:val="0092001B"/>
    <w:rsid w:val="0092067B"/>
    <w:rsid w:val="009209A3"/>
    <w:rsid w:val="00920AE4"/>
    <w:rsid w:val="00920D2C"/>
    <w:rsid w:val="00920DCC"/>
    <w:rsid w:val="00920F7D"/>
    <w:rsid w:val="00920F7F"/>
    <w:rsid w:val="00921076"/>
    <w:rsid w:val="0092109E"/>
    <w:rsid w:val="00921172"/>
    <w:rsid w:val="00921182"/>
    <w:rsid w:val="009214C6"/>
    <w:rsid w:val="00921515"/>
    <w:rsid w:val="0092152A"/>
    <w:rsid w:val="00921820"/>
    <w:rsid w:val="00921A75"/>
    <w:rsid w:val="00921B48"/>
    <w:rsid w:val="00922045"/>
    <w:rsid w:val="009220DB"/>
    <w:rsid w:val="0092251B"/>
    <w:rsid w:val="009225CE"/>
    <w:rsid w:val="009226B5"/>
    <w:rsid w:val="009228F4"/>
    <w:rsid w:val="009229AF"/>
    <w:rsid w:val="009229F4"/>
    <w:rsid w:val="00922B07"/>
    <w:rsid w:val="00922C1E"/>
    <w:rsid w:val="00922D45"/>
    <w:rsid w:val="00922D61"/>
    <w:rsid w:val="00922E20"/>
    <w:rsid w:val="00922EE8"/>
    <w:rsid w:val="009231BF"/>
    <w:rsid w:val="00923318"/>
    <w:rsid w:val="00923496"/>
    <w:rsid w:val="009234E2"/>
    <w:rsid w:val="00923A7B"/>
    <w:rsid w:val="00923B0D"/>
    <w:rsid w:val="00923EE9"/>
    <w:rsid w:val="00924117"/>
    <w:rsid w:val="00924130"/>
    <w:rsid w:val="009244C9"/>
    <w:rsid w:val="0092450A"/>
    <w:rsid w:val="0092452D"/>
    <w:rsid w:val="00924606"/>
    <w:rsid w:val="0092467D"/>
    <w:rsid w:val="009246DA"/>
    <w:rsid w:val="0092478E"/>
    <w:rsid w:val="0092487E"/>
    <w:rsid w:val="0092495D"/>
    <w:rsid w:val="009249A6"/>
    <w:rsid w:val="00924F1E"/>
    <w:rsid w:val="00924F59"/>
    <w:rsid w:val="0092532C"/>
    <w:rsid w:val="00925848"/>
    <w:rsid w:val="00925A0D"/>
    <w:rsid w:val="00925A18"/>
    <w:rsid w:val="00925A64"/>
    <w:rsid w:val="00925BEC"/>
    <w:rsid w:val="00925CA5"/>
    <w:rsid w:val="00925D49"/>
    <w:rsid w:val="00925E48"/>
    <w:rsid w:val="0092601B"/>
    <w:rsid w:val="009264A8"/>
    <w:rsid w:val="0092674B"/>
    <w:rsid w:val="009267E7"/>
    <w:rsid w:val="009268ED"/>
    <w:rsid w:val="00926949"/>
    <w:rsid w:val="00926A46"/>
    <w:rsid w:val="00926A9C"/>
    <w:rsid w:val="00926ADE"/>
    <w:rsid w:val="00926F5D"/>
    <w:rsid w:val="00927042"/>
    <w:rsid w:val="00927302"/>
    <w:rsid w:val="00927346"/>
    <w:rsid w:val="009273CA"/>
    <w:rsid w:val="009275D0"/>
    <w:rsid w:val="0092760C"/>
    <w:rsid w:val="00927674"/>
    <w:rsid w:val="00927730"/>
    <w:rsid w:val="00927A48"/>
    <w:rsid w:val="00927C0C"/>
    <w:rsid w:val="00927C2E"/>
    <w:rsid w:val="00927D03"/>
    <w:rsid w:val="00927F5A"/>
    <w:rsid w:val="0093003C"/>
    <w:rsid w:val="00930091"/>
    <w:rsid w:val="00930170"/>
    <w:rsid w:val="00930176"/>
    <w:rsid w:val="009305BC"/>
    <w:rsid w:val="009306E4"/>
    <w:rsid w:val="009307BF"/>
    <w:rsid w:val="00930B3A"/>
    <w:rsid w:val="00930D75"/>
    <w:rsid w:val="00930D92"/>
    <w:rsid w:val="00930DB2"/>
    <w:rsid w:val="00930E3F"/>
    <w:rsid w:val="00930FD0"/>
    <w:rsid w:val="00931031"/>
    <w:rsid w:val="0093103C"/>
    <w:rsid w:val="0093103F"/>
    <w:rsid w:val="0093110F"/>
    <w:rsid w:val="009311A1"/>
    <w:rsid w:val="009311D5"/>
    <w:rsid w:val="00931239"/>
    <w:rsid w:val="009318E3"/>
    <w:rsid w:val="0093194D"/>
    <w:rsid w:val="009319D3"/>
    <w:rsid w:val="00931C43"/>
    <w:rsid w:val="00931DBF"/>
    <w:rsid w:val="00931EDD"/>
    <w:rsid w:val="00931F90"/>
    <w:rsid w:val="00932140"/>
    <w:rsid w:val="00932277"/>
    <w:rsid w:val="0093247A"/>
    <w:rsid w:val="0093254B"/>
    <w:rsid w:val="00932585"/>
    <w:rsid w:val="00932891"/>
    <w:rsid w:val="009328B1"/>
    <w:rsid w:val="00932AE5"/>
    <w:rsid w:val="00932BE5"/>
    <w:rsid w:val="00932D91"/>
    <w:rsid w:val="00932DFD"/>
    <w:rsid w:val="0093306E"/>
    <w:rsid w:val="0093349D"/>
    <w:rsid w:val="00933941"/>
    <w:rsid w:val="00933A56"/>
    <w:rsid w:val="00933A64"/>
    <w:rsid w:val="00933AE6"/>
    <w:rsid w:val="00933D81"/>
    <w:rsid w:val="00933F7A"/>
    <w:rsid w:val="009340F2"/>
    <w:rsid w:val="0093412D"/>
    <w:rsid w:val="00934212"/>
    <w:rsid w:val="009342A2"/>
    <w:rsid w:val="009342EC"/>
    <w:rsid w:val="00934508"/>
    <w:rsid w:val="009346F7"/>
    <w:rsid w:val="00934720"/>
    <w:rsid w:val="009348DB"/>
    <w:rsid w:val="00934923"/>
    <w:rsid w:val="00934A9F"/>
    <w:rsid w:val="009351D8"/>
    <w:rsid w:val="009351EE"/>
    <w:rsid w:val="00935387"/>
    <w:rsid w:val="00935409"/>
    <w:rsid w:val="0093553D"/>
    <w:rsid w:val="00935657"/>
    <w:rsid w:val="009356C3"/>
    <w:rsid w:val="0093572B"/>
    <w:rsid w:val="00935829"/>
    <w:rsid w:val="00935A03"/>
    <w:rsid w:val="00935AAC"/>
    <w:rsid w:val="00935FD9"/>
    <w:rsid w:val="00935FDE"/>
    <w:rsid w:val="00935FE7"/>
    <w:rsid w:val="00936049"/>
    <w:rsid w:val="00936150"/>
    <w:rsid w:val="00936493"/>
    <w:rsid w:val="009366AA"/>
    <w:rsid w:val="0093690C"/>
    <w:rsid w:val="009369EC"/>
    <w:rsid w:val="00936A49"/>
    <w:rsid w:val="00936B42"/>
    <w:rsid w:val="00936C84"/>
    <w:rsid w:val="00936D13"/>
    <w:rsid w:val="00937055"/>
    <w:rsid w:val="0093717B"/>
    <w:rsid w:val="009372EA"/>
    <w:rsid w:val="009373C5"/>
    <w:rsid w:val="00937444"/>
    <w:rsid w:val="00937530"/>
    <w:rsid w:val="009375D0"/>
    <w:rsid w:val="009376C3"/>
    <w:rsid w:val="00937A11"/>
    <w:rsid w:val="00937B15"/>
    <w:rsid w:val="009400F9"/>
    <w:rsid w:val="0094019D"/>
    <w:rsid w:val="0094033D"/>
    <w:rsid w:val="00940849"/>
    <w:rsid w:val="00940C70"/>
    <w:rsid w:val="00940D79"/>
    <w:rsid w:val="00940D96"/>
    <w:rsid w:val="00940DD4"/>
    <w:rsid w:val="00940F25"/>
    <w:rsid w:val="00940F76"/>
    <w:rsid w:val="00940F93"/>
    <w:rsid w:val="00940FF5"/>
    <w:rsid w:val="009410B6"/>
    <w:rsid w:val="009410DB"/>
    <w:rsid w:val="0094143A"/>
    <w:rsid w:val="0094150C"/>
    <w:rsid w:val="0094160D"/>
    <w:rsid w:val="009416AE"/>
    <w:rsid w:val="009417F7"/>
    <w:rsid w:val="00941965"/>
    <w:rsid w:val="00941AC6"/>
    <w:rsid w:val="00941AD1"/>
    <w:rsid w:val="00941EA1"/>
    <w:rsid w:val="00941F85"/>
    <w:rsid w:val="00942088"/>
    <w:rsid w:val="00942093"/>
    <w:rsid w:val="009422E3"/>
    <w:rsid w:val="009424EA"/>
    <w:rsid w:val="009424EF"/>
    <w:rsid w:val="009425A6"/>
    <w:rsid w:val="009425F3"/>
    <w:rsid w:val="0094264E"/>
    <w:rsid w:val="009426F3"/>
    <w:rsid w:val="0094276A"/>
    <w:rsid w:val="00942A72"/>
    <w:rsid w:val="00942ECF"/>
    <w:rsid w:val="00943176"/>
    <w:rsid w:val="00943296"/>
    <w:rsid w:val="00943337"/>
    <w:rsid w:val="00943559"/>
    <w:rsid w:val="00943730"/>
    <w:rsid w:val="00943772"/>
    <w:rsid w:val="009437FF"/>
    <w:rsid w:val="009438B2"/>
    <w:rsid w:val="009438F4"/>
    <w:rsid w:val="009439BB"/>
    <w:rsid w:val="00943A4B"/>
    <w:rsid w:val="00943A75"/>
    <w:rsid w:val="00943A98"/>
    <w:rsid w:val="00943AF1"/>
    <w:rsid w:val="00943B85"/>
    <w:rsid w:val="00943BE9"/>
    <w:rsid w:val="00944211"/>
    <w:rsid w:val="0094452A"/>
    <w:rsid w:val="0094471C"/>
    <w:rsid w:val="00944942"/>
    <w:rsid w:val="00944AFF"/>
    <w:rsid w:val="00944CEA"/>
    <w:rsid w:val="00944F98"/>
    <w:rsid w:val="00945066"/>
    <w:rsid w:val="00945121"/>
    <w:rsid w:val="00945248"/>
    <w:rsid w:val="00945488"/>
    <w:rsid w:val="00945587"/>
    <w:rsid w:val="00945631"/>
    <w:rsid w:val="0094571B"/>
    <w:rsid w:val="00945A5D"/>
    <w:rsid w:val="00945B7B"/>
    <w:rsid w:val="00945F06"/>
    <w:rsid w:val="00945F75"/>
    <w:rsid w:val="00946073"/>
    <w:rsid w:val="009460B3"/>
    <w:rsid w:val="009460B4"/>
    <w:rsid w:val="00946271"/>
    <w:rsid w:val="009462CD"/>
    <w:rsid w:val="00946655"/>
    <w:rsid w:val="0094681B"/>
    <w:rsid w:val="009468D8"/>
    <w:rsid w:val="00946CDE"/>
    <w:rsid w:val="00946D46"/>
    <w:rsid w:val="00946D96"/>
    <w:rsid w:val="00946DB8"/>
    <w:rsid w:val="00946DFA"/>
    <w:rsid w:val="00946ED5"/>
    <w:rsid w:val="0094713F"/>
    <w:rsid w:val="00947197"/>
    <w:rsid w:val="009471B6"/>
    <w:rsid w:val="009471EE"/>
    <w:rsid w:val="009472DC"/>
    <w:rsid w:val="00947430"/>
    <w:rsid w:val="00947518"/>
    <w:rsid w:val="009476DF"/>
    <w:rsid w:val="009477E2"/>
    <w:rsid w:val="009477F5"/>
    <w:rsid w:val="00947930"/>
    <w:rsid w:val="00947DC0"/>
    <w:rsid w:val="00947E79"/>
    <w:rsid w:val="00950050"/>
    <w:rsid w:val="00950171"/>
    <w:rsid w:val="00950255"/>
    <w:rsid w:val="0095043E"/>
    <w:rsid w:val="00950460"/>
    <w:rsid w:val="00950462"/>
    <w:rsid w:val="0095049F"/>
    <w:rsid w:val="009505DB"/>
    <w:rsid w:val="00950A53"/>
    <w:rsid w:val="00950C00"/>
    <w:rsid w:val="00950DB0"/>
    <w:rsid w:val="00950DEA"/>
    <w:rsid w:val="009513B7"/>
    <w:rsid w:val="0095165C"/>
    <w:rsid w:val="00951B04"/>
    <w:rsid w:val="00951B4A"/>
    <w:rsid w:val="00951D6E"/>
    <w:rsid w:val="009520C5"/>
    <w:rsid w:val="009522A7"/>
    <w:rsid w:val="00952363"/>
    <w:rsid w:val="009527A6"/>
    <w:rsid w:val="00952BB9"/>
    <w:rsid w:val="00952CC7"/>
    <w:rsid w:val="00952CFC"/>
    <w:rsid w:val="00952D17"/>
    <w:rsid w:val="00953028"/>
    <w:rsid w:val="0095302E"/>
    <w:rsid w:val="00953161"/>
    <w:rsid w:val="0095321D"/>
    <w:rsid w:val="00953362"/>
    <w:rsid w:val="00953399"/>
    <w:rsid w:val="00953649"/>
    <w:rsid w:val="00953701"/>
    <w:rsid w:val="009537CE"/>
    <w:rsid w:val="00953AC7"/>
    <w:rsid w:val="00953BF4"/>
    <w:rsid w:val="00953D81"/>
    <w:rsid w:val="00953E64"/>
    <w:rsid w:val="00953E7B"/>
    <w:rsid w:val="00953EDC"/>
    <w:rsid w:val="00953EF9"/>
    <w:rsid w:val="00953F06"/>
    <w:rsid w:val="00953F5B"/>
    <w:rsid w:val="00953FB9"/>
    <w:rsid w:val="00953FDE"/>
    <w:rsid w:val="009541BA"/>
    <w:rsid w:val="009542B4"/>
    <w:rsid w:val="009542CD"/>
    <w:rsid w:val="00954395"/>
    <w:rsid w:val="009545F9"/>
    <w:rsid w:val="009546C6"/>
    <w:rsid w:val="00954725"/>
    <w:rsid w:val="009547CB"/>
    <w:rsid w:val="00954A2A"/>
    <w:rsid w:val="00954D30"/>
    <w:rsid w:val="00954DB6"/>
    <w:rsid w:val="00954E27"/>
    <w:rsid w:val="00954E95"/>
    <w:rsid w:val="00954FA7"/>
    <w:rsid w:val="00955358"/>
    <w:rsid w:val="00955477"/>
    <w:rsid w:val="0095548E"/>
    <w:rsid w:val="00955D4C"/>
    <w:rsid w:val="00955FD6"/>
    <w:rsid w:val="0095605A"/>
    <w:rsid w:val="00956384"/>
    <w:rsid w:val="0095638E"/>
    <w:rsid w:val="009565B1"/>
    <w:rsid w:val="009565E9"/>
    <w:rsid w:val="0095660D"/>
    <w:rsid w:val="009566BD"/>
    <w:rsid w:val="009566CA"/>
    <w:rsid w:val="009567BD"/>
    <w:rsid w:val="00956856"/>
    <w:rsid w:val="00957082"/>
    <w:rsid w:val="00957167"/>
    <w:rsid w:val="009572AD"/>
    <w:rsid w:val="0095754E"/>
    <w:rsid w:val="00957615"/>
    <w:rsid w:val="00957861"/>
    <w:rsid w:val="00957896"/>
    <w:rsid w:val="009578E4"/>
    <w:rsid w:val="00957A51"/>
    <w:rsid w:val="00957BCB"/>
    <w:rsid w:val="00957C8D"/>
    <w:rsid w:val="00957C9F"/>
    <w:rsid w:val="00957D75"/>
    <w:rsid w:val="0096005F"/>
    <w:rsid w:val="009601A3"/>
    <w:rsid w:val="009601E8"/>
    <w:rsid w:val="0096025D"/>
    <w:rsid w:val="00960296"/>
    <w:rsid w:val="009602FC"/>
    <w:rsid w:val="0096040F"/>
    <w:rsid w:val="009605C0"/>
    <w:rsid w:val="00960625"/>
    <w:rsid w:val="009606B9"/>
    <w:rsid w:val="009606BC"/>
    <w:rsid w:val="0096074F"/>
    <w:rsid w:val="0096076D"/>
    <w:rsid w:val="009607A9"/>
    <w:rsid w:val="009608C2"/>
    <w:rsid w:val="00960E60"/>
    <w:rsid w:val="00960E8D"/>
    <w:rsid w:val="00960EA5"/>
    <w:rsid w:val="00960EE4"/>
    <w:rsid w:val="00960F75"/>
    <w:rsid w:val="00961042"/>
    <w:rsid w:val="0096105B"/>
    <w:rsid w:val="009611CA"/>
    <w:rsid w:val="00961224"/>
    <w:rsid w:val="009616CD"/>
    <w:rsid w:val="0096174D"/>
    <w:rsid w:val="0096185B"/>
    <w:rsid w:val="00961ED6"/>
    <w:rsid w:val="00962003"/>
    <w:rsid w:val="009620F3"/>
    <w:rsid w:val="0096216C"/>
    <w:rsid w:val="009622B3"/>
    <w:rsid w:val="00962545"/>
    <w:rsid w:val="009625FB"/>
    <w:rsid w:val="0096274B"/>
    <w:rsid w:val="0096278B"/>
    <w:rsid w:val="00962816"/>
    <w:rsid w:val="00962898"/>
    <w:rsid w:val="00962BC5"/>
    <w:rsid w:val="00962C20"/>
    <w:rsid w:val="00962D3F"/>
    <w:rsid w:val="00962DDE"/>
    <w:rsid w:val="00963479"/>
    <w:rsid w:val="0096347C"/>
    <w:rsid w:val="009634E6"/>
    <w:rsid w:val="00963565"/>
    <w:rsid w:val="009635A4"/>
    <w:rsid w:val="0096379F"/>
    <w:rsid w:val="0096388E"/>
    <w:rsid w:val="00963948"/>
    <w:rsid w:val="00963A68"/>
    <w:rsid w:val="00963B41"/>
    <w:rsid w:val="00963BEB"/>
    <w:rsid w:val="00963BF9"/>
    <w:rsid w:val="00963C9F"/>
    <w:rsid w:val="00963DB5"/>
    <w:rsid w:val="00963E24"/>
    <w:rsid w:val="00963E9B"/>
    <w:rsid w:val="00963F49"/>
    <w:rsid w:val="00964039"/>
    <w:rsid w:val="00964208"/>
    <w:rsid w:val="00964233"/>
    <w:rsid w:val="00964477"/>
    <w:rsid w:val="00964741"/>
    <w:rsid w:val="00964776"/>
    <w:rsid w:val="00964887"/>
    <w:rsid w:val="0096496E"/>
    <w:rsid w:val="009649C7"/>
    <w:rsid w:val="00964B24"/>
    <w:rsid w:val="00964EC8"/>
    <w:rsid w:val="00964FC3"/>
    <w:rsid w:val="00965068"/>
    <w:rsid w:val="0096517C"/>
    <w:rsid w:val="00965431"/>
    <w:rsid w:val="0096547A"/>
    <w:rsid w:val="009654E8"/>
    <w:rsid w:val="009655AD"/>
    <w:rsid w:val="009657A0"/>
    <w:rsid w:val="00965B54"/>
    <w:rsid w:val="00965EC0"/>
    <w:rsid w:val="00965FC6"/>
    <w:rsid w:val="0096611F"/>
    <w:rsid w:val="0096615A"/>
    <w:rsid w:val="00966277"/>
    <w:rsid w:val="00966384"/>
    <w:rsid w:val="0096658A"/>
    <w:rsid w:val="009665F8"/>
    <w:rsid w:val="00966619"/>
    <w:rsid w:val="00966653"/>
    <w:rsid w:val="009669CF"/>
    <w:rsid w:val="00966A2C"/>
    <w:rsid w:val="00966BAE"/>
    <w:rsid w:val="00966D48"/>
    <w:rsid w:val="00966D7D"/>
    <w:rsid w:val="00966F8E"/>
    <w:rsid w:val="00966FDC"/>
    <w:rsid w:val="00967015"/>
    <w:rsid w:val="00967197"/>
    <w:rsid w:val="009674FF"/>
    <w:rsid w:val="00967505"/>
    <w:rsid w:val="009675EB"/>
    <w:rsid w:val="00967607"/>
    <w:rsid w:val="00967873"/>
    <w:rsid w:val="009679E0"/>
    <w:rsid w:val="00967D01"/>
    <w:rsid w:val="00967EB0"/>
    <w:rsid w:val="009701FC"/>
    <w:rsid w:val="00970255"/>
    <w:rsid w:val="009702AA"/>
    <w:rsid w:val="009704D9"/>
    <w:rsid w:val="00970592"/>
    <w:rsid w:val="009705C6"/>
    <w:rsid w:val="0097081A"/>
    <w:rsid w:val="009708ED"/>
    <w:rsid w:val="00970A23"/>
    <w:rsid w:val="00970EE3"/>
    <w:rsid w:val="009710D1"/>
    <w:rsid w:val="009710D5"/>
    <w:rsid w:val="009711BC"/>
    <w:rsid w:val="009711C8"/>
    <w:rsid w:val="00971848"/>
    <w:rsid w:val="00971849"/>
    <w:rsid w:val="00971859"/>
    <w:rsid w:val="009718C0"/>
    <w:rsid w:val="00971997"/>
    <w:rsid w:val="00971A26"/>
    <w:rsid w:val="00971A98"/>
    <w:rsid w:val="00971B45"/>
    <w:rsid w:val="00971CB8"/>
    <w:rsid w:val="0097202C"/>
    <w:rsid w:val="00972035"/>
    <w:rsid w:val="009721EE"/>
    <w:rsid w:val="0097250E"/>
    <w:rsid w:val="00972594"/>
    <w:rsid w:val="009727B2"/>
    <w:rsid w:val="009728D2"/>
    <w:rsid w:val="009729D7"/>
    <w:rsid w:val="00972DA6"/>
    <w:rsid w:val="0097301F"/>
    <w:rsid w:val="0097305E"/>
    <w:rsid w:val="00973117"/>
    <w:rsid w:val="00973140"/>
    <w:rsid w:val="009732F6"/>
    <w:rsid w:val="00973399"/>
    <w:rsid w:val="009734A3"/>
    <w:rsid w:val="0097354C"/>
    <w:rsid w:val="00973668"/>
    <w:rsid w:val="0097380B"/>
    <w:rsid w:val="00973893"/>
    <w:rsid w:val="00973A1D"/>
    <w:rsid w:val="00973A29"/>
    <w:rsid w:val="00973B9A"/>
    <w:rsid w:val="00973BA7"/>
    <w:rsid w:val="00973C74"/>
    <w:rsid w:val="00973CDA"/>
    <w:rsid w:val="00973D65"/>
    <w:rsid w:val="00973E3E"/>
    <w:rsid w:val="00973E8F"/>
    <w:rsid w:val="00973FB6"/>
    <w:rsid w:val="00973FED"/>
    <w:rsid w:val="009741E2"/>
    <w:rsid w:val="009742D2"/>
    <w:rsid w:val="00974327"/>
    <w:rsid w:val="00974843"/>
    <w:rsid w:val="009749D0"/>
    <w:rsid w:val="00974A08"/>
    <w:rsid w:val="00974A25"/>
    <w:rsid w:val="00974A7F"/>
    <w:rsid w:val="00974ABA"/>
    <w:rsid w:val="00974BFB"/>
    <w:rsid w:val="00974C35"/>
    <w:rsid w:val="00974C8C"/>
    <w:rsid w:val="00974D67"/>
    <w:rsid w:val="00974EB3"/>
    <w:rsid w:val="00974F37"/>
    <w:rsid w:val="009753A1"/>
    <w:rsid w:val="009755D4"/>
    <w:rsid w:val="00975851"/>
    <w:rsid w:val="00975ABB"/>
    <w:rsid w:val="00975B9C"/>
    <w:rsid w:val="00975BA1"/>
    <w:rsid w:val="00975C7F"/>
    <w:rsid w:val="00975E8D"/>
    <w:rsid w:val="00975F28"/>
    <w:rsid w:val="00975FEC"/>
    <w:rsid w:val="009760C4"/>
    <w:rsid w:val="00976174"/>
    <w:rsid w:val="00976296"/>
    <w:rsid w:val="0097650F"/>
    <w:rsid w:val="009765E7"/>
    <w:rsid w:val="009765F5"/>
    <w:rsid w:val="0097687A"/>
    <w:rsid w:val="00976A52"/>
    <w:rsid w:val="00976C43"/>
    <w:rsid w:val="00976FBF"/>
    <w:rsid w:val="009770FD"/>
    <w:rsid w:val="00977103"/>
    <w:rsid w:val="009772A3"/>
    <w:rsid w:val="00977717"/>
    <w:rsid w:val="0097774F"/>
    <w:rsid w:val="0097793B"/>
    <w:rsid w:val="00977B14"/>
    <w:rsid w:val="00977B82"/>
    <w:rsid w:val="00977C60"/>
    <w:rsid w:val="00977D1E"/>
    <w:rsid w:val="00977D2B"/>
    <w:rsid w:val="00977D47"/>
    <w:rsid w:val="00977EDB"/>
    <w:rsid w:val="0098003C"/>
    <w:rsid w:val="00980123"/>
    <w:rsid w:val="009801FA"/>
    <w:rsid w:val="00980283"/>
    <w:rsid w:val="009802A1"/>
    <w:rsid w:val="00980323"/>
    <w:rsid w:val="0098035E"/>
    <w:rsid w:val="009803C5"/>
    <w:rsid w:val="009805F9"/>
    <w:rsid w:val="0098062C"/>
    <w:rsid w:val="00980946"/>
    <w:rsid w:val="00980A1E"/>
    <w:rsid w:val="00980AE2"/>
    <w:rsid w:val="00980B53"/>
    <w:rsid w:val="00980E0A"/>
    <w:rsid w:val="00980F31"/>
    <w:rsid w:val="009811CD"/>
    <w:rsid w:val="009815FD"/>
    <w:rsid w:val="009817E4"/>
    <w:rsid w:val="009817ED"/>
    <w:rsid w:val="00981852"/>
    <w:rsid w:val="0098196D"/>
    <w:rsid w:val="00981A2F"/>
    <w:rsid w:val="00981CDE"/>
    <w:rsid w:val="00981E00"/>
    <w:rsid w:val="00981EB3"/>
    <w:rsid w:val="00981F24"/>
    <w:rsid w:val="00981F2B"/>
    <w:rsid w:val="00981FE5"/>
    <w:rsid w:val="00982028"/>
    <w:rsid w:val="00982050"/>
    <w:rsid w:val="0098207D"/>
    <w:rsid w:val="009821BD"/>
    <w:rsid w:val="00982265"/>
    <w:rsid w:val="009822E5"/>
    <w:rsid w:val="009825EA"/>
    <w:rsid w:val="0098289F"/>
    <w:rsid w:val="009828C7"/>
    <w:rsid w:val="00982990"/>
    <w:rsid w:val="00982998"/>
    <w:rsid w:val="00982B2F"/>
    <w:rsid w:val="00982CB5"/>
    <w:rsid w:val="00982DB0"/>
    <w:rsid w:val="00983072"/>
    <w:rsid w:val="009831EA"/>
    <w:rsid w:val="00983437"/>
    <w:rsid w:val="009834AB"/>
    <w:rsid w:val="0098357B"/>
    <w:rsid w:val="009837CE"/>
    <w:rsid w:val="00983944"/>
    <w:rsid w:val="00983A95"/>
    <w:rsid w:val="00983B2E"/>
    <w:rsid w:val="00983CAE"/>
    <w:rsid w:val="00983CFA"/>
    <w:rsid w:val="00983D73"/>
    <w:rsid w:val="00983F31"/>
    <w:rsid w:val="00983F4B"/>
    <w:rsid w:val="0098403F"/>
    <w:rsid w:val="0098449D"/>
    <w:rsid w:val="009845AF"/>
    <w:rsid w:val="009846A3"/>
    <w:rsid w:val="00984707"/>
    <w:rsid w:val="00984751"/>
    <w:rsid w:val="0098489B"/>
    <w:rsid w:val="00984B19"/>
    <w:rsid w:val="00984BFF"/>
    <w:rsid w:val="00984E22"/>
    <w:rsid w:val="00984F3D"/>
    <w:rsid w:val="0098509E"/>
    <w:rsid w:val="009850D1"/>
    <w:rsid w:val="009850E2"/>
    <w:rsid w:val="009852E8"/>
    <w:rsid w:val="00985600"/>
    <w:rsid w:val="00985634"/>
    <w:rsid w:val="00985784"/>
    <w:rsid w:val="009858C3"/>
    <w:rsid w:val="009859DC"/>
    <w:rsid w:val="00985C47"/>
    <w:rsid w:val="0098646A"/>
    <w:rsid w:val="009866C7"/>
    <w:rsid w:val="009867BE"/>
    <w:rsid w:val="00986EAD"/>
    <w:rsid w:val="009870C8"/>
    <w:rsid w:val="00987142"/>
    <w:rsid w:val="009871FC"/>
    <w:rsid w:val="00987691"/>
    <w:rsid w:val="009876D9"/>
    <w:rsid w:val="009877E6"/>
    <w:rsid w:val="0098781A"/>
    <w:rsid w:val="00987A2B"/>
    <w:rsid w:val="00987AFF"/>
    <w:rsid w:val="00987C4B"/>
    <w:rsid w:val="00987C6A"/>
    <w:rsid w:val="00987D29"/>
    <w:rsid w:val="00987D4B"/>
    <w:rsid w:val="00987D86"/>
    <w:rsid w:val="00987D8F"/>
    <w:rsid w:val="00987E93"/>
    <w:rsid w:val="00990195"/>
    <w:rsid w:val="009901DE"/>
    <w:rsid w:val="00990382"/>
    <w:rsid w:val="0099046F"/>
    <w:rsid w:val="00990583"/>
    <w:rsid w:val="009905E0"/>
    <w:rsid w:val="009907AC"/>
    <w:rsid w:val="009907C9"/>
    <w:rsid w:val="00990A6E"/>
    <w:rsid w:val="00990A89"/>
    <w:rsid w:val="00990C78"/>
    <w:rsid w:val="00990CC7"/>
    <w:rsid w:val="00991094"/>
    <w:rsid w:val="0099121D"/>
    <w:rsid w:val="009912AE"/>
    <w:rsid w:val="009912ED"/>
    <w:rsid w:val="009914ED"/>
    <w:rsid w:val="00991507"/>
    <w:rsid w:val="00991526"/>
    <w:rsid w:val="00991608"/>
    <w:rsid w:val="0099163F"/>
    <w:rsid w:val="00991A97"/>
    <w:rsid w:val="00991B77"/>
    <w:rsid w:val="00991DED"/>
    <w:rsid w:val="00992224"/>
    <w:rsid w:val="009923C4"/>
    <w:rsid w:val="00992715"/>
    <w:rsid w:val="0099288C"/>
    <w:rsid w:val="0099297A"/>
    <w:rsid w:val="00992BE8"/>
    <w:rsid w:val="0099301C"/>
    <w:rsid w:val="00993059"/>
    <w:rsid w:val="00993072"/>
    <w:rsid w:val="00993078"/>
    <w:rsid w:val="009930C5"/>
    <w:rsid w:val="00993698"/>
    <w:rsid w:val="00993829"/>
    <w:rsid w:val="00993A64"/>
    <w:rsid w:val="00993CDA"/>
    <w:rsid w:val="00993FEB"/>
    <w:rsid w:val="0099404E"/>
    <w:rsid w:val="0099413E"/>
    <w:rsid w:val="0099484F"/>
    <w:rsid w:val="00994972"/>
    <w:rsid w:val="00994C3E"/>
    <w:rsid w:val="00994CB2"/>
    <w:rsid w:val="00994E98"/>
    <w:rsid w:val="009951EF"/>
    <w:rsid w:val="00995414"/>
    <w:rsid w:val="00995419"/>
    <w:rsid w:val="00995735"/>
    <w:rsid w:val="00995AEB"/>
    <w:rsid w:val="00995BA5"/>
    <w:rsid w:val="00995CBA"/>
    <w:rsid w:val="00995D60"/>
    <w:rsid w:val="00996079"/>
    <w:rsid w:val="0099622B"/>
    <w:rsid w:val="009966C3"/>
    <w:rsid w:val="00996828"/>
    <w:rsid w:val="00996974"/>
    <w:rsid w:val="009969F4"/>
    <w:rsid w:val="00996A1A"/>
    <w:rsid w:val="00996E89"/>
    <w:rsid w:val="009971EE"/>
    <w:rsid w:val="00997400"/>
    <w:rsid w:val="00997565"/>
    <w:rsid w:val="00997574"/>
    <w:rsid w:val="009975A9"/>
    <w:rsid w:val="00997957"/>
    <w:rsid w:val="00997B16"/>
    <w:rsid w:val="00997BD1"/>
    <w:rsid w:val="00997CC4"/>
    <w:rsid w:val="00997DA8"/>
    <w:rsid w:val="00997E4E"/>
    <w:rsid w:val="00997E5A"/>
    <w:rsid w:val="00997F6C"/>
    <w:rsid w:val="009A0130"/>
    <w:rsid w:val="009A01E9"/>
    <w:rsid w:val="009A036B"/>
    <w:rsid w:val="009A0450"/>
    <w:rsid w:val="009A04BF"/>
    <w:rsid w:val="009A0602"/>
    <w:rsid w:val="009A0683"/>
    <w:rsid w:val="009A08CD"/>
    <w:rsid w:val="009A0C75"/>
    <w:rsid w:val="009A0E76"/>
    <w:rsid w:val="009A0ECE"/>
    <w:rsid w:val="009A0EFE"/>
    <w:rsid w:val="009A1292"/>
    <w:rsid w:val="009A168E"/>
    <w:rsid w:val="009A16D3"/>
    <w:rsid w:val="009A18B5"/>
    <w:rsid w:val="009A1F87"/>
    <w:rsid w:val="009A2213"/>
    <w:rsid w:val="009A227D"/>
    <w:rsid w:val="009A2337"/>
    <w:rsid w:val="009A2351"/>
    <w:rsid w:val="009A24A8"/>
    <w:rsid w:val="009A2856"/>
    <w:rsid w:val="009A293F"/>
    <w:rsid w:val="009A295F"/>
    <w:rsid w:val="009A29D4"/>
    <w:rsid w:val="009A2A61"/>
    <w:rsid w:val="009A2CB7"/>
    <w:rsid w:val="009A2D21"/>
    <w:rsid w:val="009A2FDC"/>
    <w:rsid w:val="009A3145"/>
    <w:rsid w:val="009A3324"/>
    <w:rsid w:val="009A3444"/>
    <w:rsid w:val="009A3466"/>
    <w:rsid w:val="009A3542"/>
    <w:rsid w:val="009A356F"/>
    <w:rsid w:val="009A35C6"/>
    <w:rsid w:val="009A36EA"/>
    <w:rsid w:val="009A373D"/>
    <w:rsid w:val="009A37A1"/>
    <w:rsid w:val="009A3811"/>
    <w:rsid w:val="009A388A"/>
    <w:rsid w:val="009A3A89"/>
    <w:rsid w:val="009A3B11"/>
    <w:rsid w:val="009A3BB0"/>
    <w:rsid w:val="009A3CB1"/>
    <w:rsid w:val="009A3F5F"/>
    <w:rsid w:val="009A3FF5"/>
    <w:rsid w:val="009A4063"/>
    <w:rsid w:val="009A40C0"/>
    <w:rsid w:val="009A450D"/>
    <w:rsid w:val="009A47B6"/>
    <w:rsid w:val="009A481A"/>
    <w:rsid w:val="009A4919"/>
    <w:rsid w:val="009A4C92"/>
    <w:rsid w:val="009A4CAA"/>
    <w:rsid w:val="009A4D29"/>
    <w:rsid w:val="009A4D50"/>
    <w:rsid w:val="009A4DC4"/>
    <w:rsid w:val="009A4EFB"/>
    <w:rsid w:val="009A507E"/>
    <w:rsid w:val="009A51FE"/>
    <w:rsid w:val="009A5289"/>
    <w:rsid w:val="009A5353"/>
    <w:rsid w:val="009A559D"/>
    <w:rsid w:val="009A55CA"/>
    <w:rsid w:val="009A5658"/>
    <w:rsid w:val="009A57B0"/>
    <w:rsid w:val="009A5862"/>
    <w:rsid w:val="009A58DF"/>
    <w:rsid w:val="009A5929"/>
    <w:rsid w:val="009A5980"/>
    <w:rsid w:val="009A5ACB"/>
    <w:rsid w:val="009A5BC1"/>
    <w:rsid w:val="009A5BC4"/>
    <w:rsid w:val="009A5DC4"/>
    <w:rsid w:val="009A5DD1"/>
    <w:rsid w:val="009A5F4E"/>
    <w:rsid w:val="009A6055"/>
    <w:rsid w:val="009A6233"/>
    <w:rsid w:val="009A6264"/>
    <w:rsid w:val="009A65AB"/>
    <w:rsid w:val="009A66EB"/>
    <w:rsid w:val="009A6984"/>
    <w:rsid w:val="009A6D83"/>
    <w:rsid w:val="009A6DD9"/>
    <w:rsid w:val="009A706E"/>
    <w:rsid w:val="009A731C"/>
    <w:rsid w:val="009A7454"/>
    <w:rsid w:val="009A7484"/>
    <w:rsid w:val="009A7521"/>
    <w:rsid w:val="009A758C"/>
    <w:rsid w:val="009A75FF"/>
    <w:rsid w:val="009A767A"/>
    <w:rsid w:val="009A76D2"/>
    <w:rsid w:val="009A76D3"/>
    <w:rsid w:val="009A771A"/>
    <w:rsid w:val="009A781B"/>
    <w:rsid w:val="009A793B"/>
    <w:rsid w:val="009A7948"/>
    <w:rsid w:val="009A7AA6"/>
    <w:rsid w:val="009A7D43"/>
    <w:rsid w:val="009B0011"/>
    <w:rsid w:val="009B01C6"/>
    <w:rsid w:val="009B01DA"/>
    <w:rsid w:val="009B0305"/>
    <w:rsid w:val="009B0375"/>
    <w:rsid w:val="009B03F3"/>
    <w:rsid w:val="009B0698"/>
    <w:rsid w:val="009B07C6"/>
    <w:rsid w:val="009B0B23"/>
    <w:rsid w:val="009B0B9A"/>
    <w:rsid w:val="009B0BC5"/>
    <w:rsid w:val="009B0E2D"/>
    <w:rsid w:val="009B0EBE"/>
    <w:rsid w:val="009B0F6A"/>
    <w:rsid w:val="009B0F89"/>
    <w:rsid w:val="009B1093"/>
    <w:rsid w:val="009B11E0"/>
    <w:rsid w:val="009B1295"/>
    <w:rsid w:val="009B14AB"/>
    <w:rsid w:val="009B1C10"/>
    <w:rsid w:val="009B1D13"/>
    <w:rsid w:val="009B1E70"/>
    <w:rsid w:val="009B1E8D"/>
    <w:rsid w:val="009B209C"/>
    <w:rsid w:val="009B236C"/>
    <w:rsid w:val="009B267D"/>
    <w:rsid w:val="009B29E7"/>
    <w:rsid w:val="009B2A4B"/>
    <w:rsid w:val="009B2B4D"/>
    <w:rsid w:val="009B2B52"/>
    <w:rsid w:val="009B2DDD"/>
    <w:rsid w:val="009B3384"/>
    <w:rsid w:val="009B34AC"/>
    <w:rsid w:val="009B34CA"/>
    <w:rsid w:val="009B37D0"/>
    <w:rsid w:val="009B3883"/>
    <w:rsid w:val="009B399E"/>
    <w:rsid w:val="009B3A39"/>
    <w:rsid w:val="009B3C0C"/>
    <w:rsid w:val="009B3CEF"/>
    <w:rsid w:val="009B3D9A"/>
    <w:rsid w:val="009B3DE6"/>
    <w:rsid w:val="009B3EFE"/>
    <w:rsid w:val="009B4101"/>
    <w:rsid w:val="009B418C"/>
    <w:rsid w:val="009B422E"/>
    <w:rsid w:val="009B4647"/>
    <w:rsid w:val="009B4B1D"/>
    <w:rsid w:val="009B4BA9"/>
    <w:rsid w:val="009B4BC2"/>
    <w:rsid w:val="009B4C52"/>
    <w:rsid w:val="009B4CD8"/>
    <w:rsid w:val="009B4EA7"/>
    <w:rsid w:val="009B4FD8"/>
    <w:rsid w:val="009B52FE"/>
    <w:rsid w:val="009B5399"/>
    <w:rsid w:val="009B544A"/>
    <w:rsid w:val="009B54C9"/>
    <w:rsid w:val="009B5546"/>
    <w:rsid w:val="009B5789"/>
    <w:rsid w:val="009B57C3"/>
    <w:rsid w:val="009B5892"/>
    <w:rsid w:val="009B595E"/>
    <w:rsid w:val="009B5AF3"/>
    <w:rsid w:val="009B5B19"/>
    <w:rsid w:val="009B5B58"/>
    <w:rsid w:val="009B5E41"/>
    <w:rsid w:val="009B608E"/>
    <w:rsid w:val="009B61DA"/>
    <w:rsid w:val="009B62B7"/>
    <w:rsid w:val="009B631C"/>
    <w:rsid w:val="009B63B7"/>
    <w:rsid w:val="009B65DF"/>
    <w:rsid w:val="009B6768"/>
    <w:rsid w:val="009B6851"/>
    <w:rsid w:val="009B6856"/>
    <w:rsid w:val="009B6879"/>
    <w:rsid w:val="009B6A1A"/>
    <w:rsid w:val="009B6A7C"/>
    <w:rsid w:val="009B6DAE"/>
    <w:rsid w:val="009B6EE8"/>
    <w:rsid w:val="009B6FEF"/>
    <w:rsid w:val="009B70D2"/>
    <w:rsid w:val="009B71AF"/>
    <w:rsid w:val="009B750B"/>
    <w:rsid w:val="009B7641"/>
    <w:rsid w:val="009B77D0"/>
    <w:rsid w:val="009B7888"/>
    <w:rsid w:val="009B7952"/>
    <w:rsid w:val="009B7BF7"/>
    <w:rsid w:val="009B7C03"/>
    <w:rsid w:val="009B7EF8"/>
    <w:rsid w:val="009B7F02"/>
    <w:rsid w:val="009B7F66"/>
    <w:rsid w:val="009C001E"/>
    <w:rsid w:val="009C032A"/>
    <w:rsid w:val="009C060B"/>
    <w:rsid w:val="009C0BC8"/>
    <w:rsid w:val="009C0C89"/>
    <w:rsid w:val="009C0ED5"/>
    <w:rsid w:val="009C0FC9"/>
    <w:rsid w:val="009C17D7"/>
    <w:rsid w:val="009C1F2C"/>
    <w:rsid w:val="009C1F33"/>
    <w:rsid w:val="009C1F63"/>
    <w:rsid w:val="009C20C4"/>
    <w:rsid w:val="009C21CB"/>
    <w:rsid w:val="009C2684"/>
    <w:rsid w:val="009C2732"/>
    <w:rsid w:val="009C2805"/>
    <w:rsid w:val="009C29BC"/>
    <w:rsid w:val="009C2A88"/>
    <w:rsid w:val="009C2AD9"/>
    <w:rsid w:val="009C2BDF"/>
    <w:rsid w:val="009C2D78"/>
    <w:rsid w:val="009C2FB5"/>
    <w:rsid w:val="009C2FDB"/>
    <w:rsid w:val="009C3082"/>
    <w:rsid w:val="009C3123"/>
    <w:rsid w:val="009C3402"/>
    <w:rsid w:val="009C3457"/>
    <w:rsid w:val="009C351E"/>
    <w:rsid w:val="009C3A4F"/>
    <w:rsid w:val="009C3B02"/>
    <w:rsid w:val="009C3B69"/>
    <w:rsid w:val="009C3BEC"/>
    <w:rsid w:val="009C3CB0"/>
    <w:rsid w:val="009C3D9C"/>
    <w:rsid w:val="009C4006"/>
    <w:rsid w:val="009C407B"/>
    <w:rsid w:val="009C4101"/>
    <w:rsid w:val="009C42DD"/>
    <w:rsid w:val="009C436C"/>
    <w:rsid w:val="009C4388"/>
    <w:rsid w:val="009C4511"/>
    <w:rsid w:val="009C4562"/>
    <w:rsid w:val="009C4774"/>
    <w:rsid w:val="009C48B9"/>
    <w:rsid w:val="009C4A18"/>
    <w:rsid w:val="009C4BC6"/>
    <w:rsid w:val="009C4CA6"/>
    <w:rsid w:val="009C4EDD"/>
    <w:rsid w:val="009C5143"/>
    <w:rsid w:val="009C53C1"/>
    <w:rsid w:val="009C5546"/>
    <w:rsid w:val="009C56D1"/>
    <w:rsid w:val="009C5787"/>
    <w:rsid w:val="009C5838"/>
    <w:rsid w:val="009C5C6F"/>
    <w:rsid w:val="009C5C70"/>
    <w:rsid w:val="009C5F7C"/>
    <w:rsid w:val="009C6048"/>
    <w:rsid w:val="009C633E"/>
    <w:rsid w:val="009C682F"/>
    <w:rsid w:val="009C6AD0"/>
    <w:rsid w:val="009C6AF1"/>
    <w:rsid w:val="009C6C21"/>
    <w:rsid w:val="009C6C57"/>
    <w:rsid w:val="009C6C95"/>
    <w:rsid w:val="009C6CB9"/>
    <w:rsid w:val="009C6CEA"/>
    <w:rsid w:val="009C6E9C"/>
    <w:rsid w:val="009C6F7A"/>
    <w:rsid w:val="009C7164"/>
    <w:rsid w:val="009C7552"/>
    <w:rsid w:val="009C790B"/>
    <w:rsid w:val="009C7A6F"/>
    <w:rsid w:val="009C7AD7"/>
    <w:rsid w:val="009C7D40"/>
    <w:rsid w:val="009C7DDF"/>
    <w:rsid w:val="009C7E3E"/>
    <w:rsid w:val="009D0053"/>
    <w:rsid w:val="009D01D2"/>
    <w:rsid w:val="009D0224"/>
    <w:rsid w:val="009D02BD"/>
    <w:rsid w:val="009D0635"/>
    <w:rsid w:val="009D071E"/>
    <w:rsid w:val="009D0720"/>
    <w:rsid w:val="009D073B"/>
    <w:rsid w:val="009D07B8"/>
    <w:rsid w:val="009D07E4"/>
    <w:rsid w:val="009D0815"/>
    <w:rsid w:val="009D0834"/>
    <w:rsid w:val="009D086F"/>
    <w:rsid w:val="009D08A7"/>
    <w:rsid w:val="009D08C8"/>
    <w:rsid w:val="009D0AFD"/>
    <w:rsid w:val="009D0B48"/>
    <w:rsid w:val="009D0D0F"/>
    <w:rsid w:val="009D0DB5"/>
    <w:rsid w:val="009D0DF4"/>
    <w:rsid w:val="009D0EF6"/>
    <w:rsid w:val="009D0FCF"/>
    <w:rsid w:val="009D12AE"/>
    <w:rsid w:val="009D142A"/>
    <w:rsid w:val="009D1458"/>
    <w:rsid w:val="009D148B"/>
    <w:rsid w:val="009D158F"/>
    <w:rsid w:val="009D165A"/>
    <w:rsid w:val="009D1772"/>
    <w:rsid w:val="009D18C2"/>
    <w:rsid w:val="009D1920"/>
    <w:rsid w:val="009D1A2A"/>
    <w:rsid w:val="009D1A47"/>
    <w:rsid w:val="009D1E76"/>
    <w:rsid w:val="009D22AC"/>
    <w:rsid w:val="009D2518"/>
    <w:rsid w:val="009D2528"/>
    <w:rsid w:val="009D259B"/>
    <w:rsid w:val="009D29B5"/>
    <w:rsid w:val="009D29CF"/>
    <w:rsid w:val="009D2BF1"/>
    <w:rsid w:val="009D2E81"/>
    <w:rsid w:val="009D301F"/>
    <w:rsid w:val="009D3036"/>
    <w:rsid w:val="009D346C"/>
    <w:rsid w:val="009D36CC"/>
    <w:rsid w:val="009D376F"/>
    <w:rsid w:val="009D394E"/>
    <w:rsid w:val="009D3A90"/>
    <w:rsid w:val="009D3ED5"/>
    <w:rsid w:val="009D408F"/>
    <w:rsid w:val="009D41AE"/>
    <w:rsid w:val="009D4507"/>
    <w:rsid w:val="009D4584"/>
    <w:rsid w:val="009D4604"/>
    <w:rsid w:val="009D4862"/>
    <w:rsid w:val="009D4BF0"/>
    <w:rsid w:val="009D4E6E"/>
    <w:rsid w:val="009D51B8"/>
    <w:rsid w:val="009D5203"/>
    <w:rsid w:val="009D5341"/>
    <w:rsid w:val="009D544A"/>
    <w:rsid w:val="009D54C7"/>
    <w:rsid w:val="009D56DA"/>
    <w:rsid w:val="009D5A36"/>
    <w:rsid w:val="009D5AFF"/>
    <w:rsid w:val="009D5BA4"/>
    <w:rsid w:val="009D5DFF"/>
    <w:rsid w:val="009D61F3"/>
    <w:rsid w:val="009D66FF"/>
    <w:rsid w:val="009D6A25"/>
    <w:rsid w:val="009D6A30"/>
    <w:rsid w:val="009D6ADB"/>
    <w:rsid w:val="009D6C3C"/>
    <w:rsid w:val="009D6D35"/>
    <w:rsid w:val="009D704F"/>
    <w:rsid w:val="009D73A8"/>
    <w:rsid w:val="009D7401"/>
    <w:rsid w:val="009D7800"/>
    <w:rsid w:val="009D7808"/>
    <w:rsid w:val="009D78CE"/>
    <w:rsid w:val="009D79A1"/>
    <w:rsid w:val="009D7AB8"/>
    <w:rsid w:val="009D7B60"/>
    <w:rsid w:val="009D7BAD"/>
    <w:rsid w:val="009D7C3C"/>
    <w:rsid w:val="009D7D0C"/>
    <w:rsid w:val="009D7F81"/>
    <w:rsid w:val="009D7F86"/>
    <w:rsid w:val="009E00D1"/>
    <w:rsid w:val="009E048C"/>
    <w:rsid w:val="009E0540"/>
    <w:rsid w:val="009E05C4"/>
    <w:rsid w:val="009E080F"/>
    <w:rsid w:val="009E092C"/>
    <w:rsid w:val="009E0987"/>
    <w:rsid w:val="009E1021"/>
    <w:rsid w:val="009E103B"/>
    <w:rsid w:val="009E1074"/>
    <w:rsid w:val="009E1165"/>
    <w:rsid w:val="009E152F"/>
    <w:rsid w:val="009E15F8"/>
    <w:rsid w:val="009E188C"/>
    <w:rsid w:val="009E198B"/>
    <w:rsid w:val="009E1B64"/>
    <w:rsid w:val="009E1B65"/>
    <w:rsid w:val="009E1BAC"/>
    <w:rsid w:val="009E1C08"/>
    <w:rsid w:val="009E1D32"/>
    <w:rsid w:val="009E1D9C"/>
    <w:rsid w:val="009E1DAE"/>
    <w:rsid w:val="009E1DD2"/>
    <w:rsid w:val="009E1E6A"/>
    <w:rsid w:val="009E225B"/>
    <w:rsid w:val="009E2457"/>
    <w:rsid w:val="009E26A7"/>
    <w:rsid w:val="009E26D6"/>
    <w:rsid w:val="009E2709"/>
    <w:rsid w:val="009E2918"/>
    <w:rsid w:val="009E2929"/>
    <w:rsid w:val="009E292C"/>
    <w:rsid w:val="009E2BCA"/>
    <w:rsid w:val="009E2C5C"/>
    <w:rsid w:val="009E2C6C"/>
    <w:rsid w:val="009E2CC8"/>
    <w:rsid w:val="009E2D05"/>
    <w:rsid w:val="009E31EB"/>
    <w:rsid w:val="009E33E5"/>
    <w:rsid w:val="009E34D5"/>
    <w:rsid w:val="009E35B0"/>
    <w:rsid w:val="009E3692"/>
    <w:rsid w:val="009E3788"/>
    <w:rsid w:val="009E38CF"/>
    <w:rsid w:val="009E394B"/>
    <w:rsid w:val="009E39CE"/>
    <w:rsid w:val="009E3A39"/>
    <w:rsid w:val="009E3B4A"/>
    <w:rsid w:val="009E3F33"/>
    <w:rsid w:val="009E4054"/>
    <w:rsid w:val="009E4086"/>
    <w:rsid w:val="009E40E2"/>
    <w:rsid w:val="009E41F5"/>
    <w:rsid w:val="009E446A"/>
    <w:rsid w:val="009E44FC"/>
    <w:rsid w:val="009E46E5"/>
    <w:rsid w:val="009E476E"/>
    <w:rsid w:val="009E48B9"/>
    <w:rsid w:val="009E4978"/>
    <w:rsid w:val="009E4A5A"/>
    <w:rsid w:val="009E4B36"/>
    <w:rsid w:val="009E4B66"/>
    <w:rsid w:val="009E4BBC"/>
    <w:rsid w:val="009E4BE5"/>
    <w:rsid w:val="009E4EAE"/>
    <w:rsid w:val="009E4F2B"/>
    <w:rsid w:val="009E508F"/>
    <w:rsid w:val="009E50B8"/>
    <w:rsid w:val="009E5233"/>
    <w:rsid w:val="009E52D9"/>
    <w:rsid w:val="009E568B"/>
    <w:rsid w:val="009E58BB"/>
    <w:rsid w:val="009E59A1"/>
    <w:rsid w:val="009E5AA2"/>
    <w:rsid w:val="009E5B18"/>
    <w:rsid w:val="009E5B40"/>
    <w:rsid w:val="009E5CDD"/>
    <w:rsid w:val="009E5D16"/>
    <w:rsid w:val="009E5D4D"/>
    <w:rsid w:val="009E5EF2"/>
    <w:rsid w:val="009E5F45"/>
    <w:rsid w:val="009E620E"/>
    <w:rsid w:val="009E637B"/>
    <w:rsid w:val="009E656C"/>
    <w:rsid w:val="009E66D3"/>
    <w:rsid w:val="009E6A76"/>
    <w:rsid w:val="009E6AA8"/>
    <w:rsid w:val="009E6BEE"/>
    <w:rsid w:val="009E6D4C"/>
    <w:rsid w:val="009E6D82"/>
    <w:rsid w:val="009E6FFC"/>
    <w:rsid w:val="009E70E4"/>
    <w:rsid w:val="009E70FC"/>
    <w:rsid w:val="009E7353"/>
    <w:rsid w:val="009E7614"/>
    <w:rsid w:val="009E7681"/>
    <w:rsid w:val="009E784D"/>
    <w:rsid w:val="009E7865"/>
    <w:rsid w:val="009E7B4F"/>
    <w:rsid w:val="009F0038"/>
    <w:rsid w:val="009F00A2"/>
    <w:rsid w:val="009F018A"/>
    <w:rsid w:val="009F0519"/>
    <w:rsid w:val="009F067E"/>
    <w:rsid w:val="009F0745"/>
    <w:rsid w:val="009F08E5"/>
    <w:rsid w:val="009F096A"/>
    <w:rsid w:val="009F0A04"/>
    <w:rsid w:val="009F0B34"/>
    <w:rsid w:val="009F0B5C"/>
    <w:rsid w:val="009F0C2E"/>
    <w:rsid w:val="009F0E53"/>
    <w:rsid w:val="009F109B"/>
    <w:rsid w:val="009F13E0"/>
    <w:rsid w:val="009F141A"/>
    <w:rsid w:val="009F177D"/>
    <w:rsid w:val="009F1980"/>
    <w:rsid w:val="009F19C1"/>
    <w:rsid w:val="009F1A24"/>
    <w:rsid w:val="009F1B8F"/>
    <w:rsid w:val="009F1DB4"/>
    <w:rsid w:val="009F1DD3"/>
    <w:rsid w:val="009F2126"/>
    <w:rsid w:val="009F2240"/>
    <w:rsid w:val="009F24BB"/>
    <w:rsid w:val="009F24CB"/>
    <w:rsid w:val="009F2CF9"/>
    <w:rsid w:val="009F2EFF"/>
    <w:rsid w:val="009F349F"/>
    <w:rsid w:val="009F357B"/>
    <w:rsid w:val="009F370A"/>
    <w:rsid w:val="009F3726"/>
    <w:rsid w:val="009F3727"/>
    <w:rsid w:val="009F3743"/>
    <w:rsid w:val="009F37D2"/>
    <w:rsid w:val="009F37DC"/>
    <w:rsid w:val="009F3832"/>
    <w:rsid w:val="009F3A2D"/>
    <w:rsid w:val="009F3A35"/>
    <w:rsid w:val="009F3A3B"/>
    <w:rsid w:val="009F3B6E"/>
    <w:rsid w:val="009F3C75"/>
    <w:rsid w:val="009F3CA4"/>
    <w:rsid w:val="009F3D20"/>
    <w:rsid w:val="009F3D23"/>
    <w:rsid w:val="009F3DB7"/>
    <w:rsid w:val="009F3E17"/>
    <w:rsid w:val="009F3E39"/>
    <w:rsid w:val="009F3F3C"/>
    <w:rsid w:val="009F4029"/>
    <w:rsid w:val="009F41B1"/>
    <w:rsid w:val="009F4353"/>
    <w:rsid w:val="009F43AC"/>
    <w:rsid w:val="009F44B1"/>
    <w:rsid w:val="009F4709"/>
    <w:rsid w:val="009F48AF"/>
    <w:rsid w:val="009F496D"/>
    <w:rsid w:val="009F4C8B"/>
    <w:rsid w:val="009F4D35"/>
    <w:rsid w:val="009F4F13"/>
    <w:rsid w:val="009F4F67"/>
    <w:rsid w:val="009F4FA8"/>
    <w:rsid w:val="009F507F"/>
    <w:rsid w:val="009F5214"/>
    <w:rsid w:val="009F530F"/>
    <w:rsid w:val="009F5318"/>
    <w:rsid w:val="009F54D6"/>
    <w:rsid w:val="009F552B"/>
    <w:rsid w:val="009F5886"/>
    <w:rsid w:val="009F58BD"/>
    <w:rsid w:val="009F58C9"/>
    <w:rsid w:val="009F5A51"/>
    <w:rsid w:val="009F5B9B"/>
    <w:rsid w:val="009F5BBD"/>
    <w:rsid w:val="009F5CA2"/>
    <w:rsid w:val="009F5E55"/>
    <w:rsid w:val="009F5F6F"/>
    <w:rsid w:val="009F604C"/>
    <w:rsid w:val="009F6243"/>
    <w:rsid w:val="009F64D6"/>
    <w:rsid w:val="009F666C"/>
    <w:rsid w:val="009F6807"/>
    <w:rsid w:val="009F6810"/>
    <w:rsid w:val="009F6B98"/>
    <w:rsid w:val="009F6D7F"/>
    <w:rsid w:val="009F7063"/>
    <w:rsid w:val="009F709B"/>
    <w:rsid w:val="009F73CC"/>
    <w:rsid w:val="009F76FD"/>
    <w:rsid w:val="009F7A5A"/>
    <w:rsid w:val="009F7BBD"/>
    <w:rsid w:val="009F7C30"/>
    <w:rsid w:val="009F7C52"/>
    <w:rsid w:val="009F7CF7"/>
    <w:rsid w:val="009F7E62"/>
    <w:rsid w:val="009F7EFC"/>
    <w:rsid w:val="009F7F85"/>
    <w:rsid w:val="00A0044C"/>
    <w:rsid w:val="00A00528"/>
    <w:rsid w:val="00A0058D"/>
    <w:rsid w:val="00A0059B"/>
    <w:rsid w:val="00A005A6"/>
    <w:rsid w:val="00A005DE"/>
    <w:rsid w:val="00A00839"/>
    <w:rsid w:val="00A008A4"/>
    <w:rsid w:val="00A00941"/>
    <w:rsid w:val="00A00944"/>
    <w:rsid w:val="00A009D0"/>
    <w:rsid w:val="00A009D2"/>
    <w:rsid w:val="00A009E1"/>
    <w:rsid w:val="00A009FA"/>
    <w:rsid w:val="00A00B22"/>
    <w:rsid w:val="00A00CEA"/>
    <w:rsid w:val="00A00CED"/>
    <w:rsid w:val="00A00D18"/>
    <w:rsid w:val="00A00DA0"/>
    <w:rsid w:val="00A00EA5"/>
    <w:rsid w:val="00A00EC0"/>
    <w:rsid w:val="00A00EC3"/>
    <w:rsid w:val="00A013A7"/>
    <w:rsid w:val="00A0155F"/>
    <w:rsid w:val="00A01625"/>
    <w:rsid w:val="00A01712"/>
    <w:rsid w:val="00A018CA"/>
    <w:rsid w:val="00A018CE"/>
    <w:rsid w:val="00A0196D"/>
    <w:rsid w:val="00A01B17"/>
    <w:rsid w:val="00A01B18"/>
    <w:rsid w:val="00A01B32"/>
    <w:rsid w:val="00A01C24"/>
    <w:rsid w:val="00A01CD5"/>
    <w:rsid w:val="00A01E0C"/>
    <w:rsid w:val="00A01FF8"/>
    <w:rsid w:val="00A0202C"/>
    <w:rsid w:val="00A0218A"/>
    <w:rsid w:val="00A028C1"/>
    <w:rsid w:val="00A02E00"/>
    <w:rsid w:val="00A02F5D"/>
    <w:rsid w:val="00A0309A"/>
    <w:rsid w:val="00A031BB"/>
    <w:rsid w:val="00A033AF"/>
    <w:rsid w:val="00A033D3"/>
    <w:rsid w:val="00A0357D"/>
    <w:rsid w:val="00A035B3"/>
    <w:rsid w:val="00A035FA"/>
    <w:rsid w:val="00A03957"/>
    <w:rsid w:val="00A03A09"/>
    <w:rsid w:val="00A03A86"/>
    <w:rsid w:val="00A03AF8"/>
    <w:rsid w:val="00A03C0E"/>
    <w:rsid w:val="00A03C15"/>
    <w:rsid w:val="00A03EA4"/>
    <w:rsid w:val="00A03EF0"/>
    <w:rsid w:val="00A04299"/>
    <w:rsid w:val="00A04323"/>
    <w:rsid w:val="00A04394"/>
    <w:rsid w:val="00A044C0"/>
    <w:rsid w:val="00A04654"/>
    <w:rsid w:val="00A04726"/>
    <w:rsid w:val="00A047DB"/>
    <w:rsid w:val="00A04B03"/>
    <w:rsid w:val="00A04D50"/>
    <w:rsid w:val="00A04FAF"/>
    <w:rsid w:val="00A050FF"/>
    <w:rsid w:val="00A0529F"/>
    <w:rsid w:val="00A05412"/>
    <w:rsid w:val="00A057EA"/>
    <w:rsid w:val="00A0598E"/>
    <w:rsid w:val="00A0598F"/>
    <w:rsid w:val="00A05CA9"/>
    <w:rsid w:val="00A062BE"/>
    <w:rsid w:val="00A06331"/>
    <w:rsid w:val="00A063E4"/>
    <w:rsid w:val="00A065B1"/>
    <w:rsid w:val="00A065FD"/>
    <w:rsid w:val="00A06738"/>
    <w:rsid w:val="00A069D0"/>
    <w:rsid w:val="00A070B7"/>
    <w:rsid w:val="00A07527"/>
    <w:rsid w:val="00A078B8"/>
    <w:rsid w:val="00A07A49"/>
    <w:rsid w:val="00A07CBA"/>
    <w:rsid w:val="00A07CC6"/>
    <w:rsid w:val="00A07E29"/>
    <w:rsid w:val="00A07E2D"/>
    <w:rsid w:val="00A07EE4"/>
    <w:rsid w:val="00A10165"/>
    <w:rsid w:val="00A1025E"/>
    <w:rsid w:val="00A102FA"/>
    <w:rsid w:val="00A10339"/>
    <w:rsid w:val="00A1035F"/>
    <w:rsid w:val="00A10391"/>
    <w:rsid w:val="00A105AB"/>
    <w:rsid w:val="00A105F6"/>
    <w:rsid w:val="00A10606"/>
    <w:rsid w:val="00A1065D"/>
    <w:rsid w:val="00A10768"/>
    <w:rsid w:val="00A1076E"/>
    <w:rsid w:val="00A10CC0"/>
    <w:rsid w:val="00A10D69"/>
    <w:rsid w:val="00A1106F"/>
    <w:rsid w:val="00A11110"/>
    <w:rsid w:val="00A11160"/>
    <w:rsid w:val="00A115B3"/>
    <w:rsid w:val="00A116D6"/>
    <w:rsid w:val="00A11936"/>
    <w:rsid w:val="00A1195E"/>
    <w:rsid w:val="00A11969"/>
    <w:rsid w:val="00A11D25"/>
    <w:rsid w:val="00A11DB9"/>
    <w:rsid w:val="00A120BA"/>
    <w:rsid w:val="00A12143"/>
    <w:rsid w:val="00A1217A"/>
    <w:rsid w:val="00A12739"/>
    <w:rsid w:val="00A12765"/>
    <w:rsid w:val="00A1284D"/>
    <w:rsid w:val="00A12900"/>
    <w:rsid w:val="00A12924"/>
    <w:rsid w:val="00A12950"/>
    <w:rsid w:val="00A12D4E"/>
    <w:rsid w:val="00A12EA0"/>
    <w:rsid w:val="00A12EE2"/>
    <w:rsid w:val="00A12FF9"/>
    <w:rsid w:val="00A1340C"/>
    <w:rsid w:val="00A1343E"/>
    <w:rsid w:val="00A13691"/>
    <w:rsid w:val="00A13821"/>
    <w:rsid w:val="00A13D2A"/>
    <w:rsid w:val="00A14401"/>
    <w:rsid w:val="00A14752"/>
    <w:rsid w:val="00A147D7"/>
    <w:rsid w:val="00A148FA"/>
    <w:rsid w:val="00A14A7F"/>
    <w:rsid w:val="00A14B04"/>
    <w:rsid w:val="00A14C70"/>
    <w:rsid w:val="00A14D24"/>
    <w:rsid w:val="00A1519B"/>
    <w:rsid w:val="00A152B4"/>
    <w:rsid w:val="00A157B9"/>
    <w:rsid w:val="00A15839"/>
    <w:rsid w:val="00A15958"/>
    <w:rsid w:val="00A15992"/>
    <w:rsid w:val="00A159B1"/>
    <w:rsid w:val="00A15AC2"/>
    <w:rsid w:val="00A15ADE"/>
    <w:rsid w:val="00A15BBB"/>
    <w:rsid w:val="00A15C5F"/>
    <w:rsid w:val="00A15CF6"/>
    <w:rsid w:val="00A15E0E"/>
    <w:rsid w:val="00A15E13"/>
    <w:rsid w:val="00A15E14"/>
    <w:rsid w:val="00A15F1E"/>
    <w:rsid w:val="00A16013"/>
    <w:rsid w:val="00A16114"/>
    <w:rsid w:val="00A1634F"/>
    <w:rsid w:val="00A1650D"/>
    <w:rsid w:val="00A16AEF"/>
    <w:rsid w:val="00A16BFF"/>
    <w:rsid w:val="00A16C2A"/>
    <w:rsid w:val="00A17681"/>
    <w:rsid w:val="00A17711"/>
    <w:rsid w:val="00A17986"/>
    <w:rsid w:val="00A179FB"/>
    <w:rsid w:val="00A17A3E"/>
    <w:rsid w:val="00A17A57"/>
    <w:rsid w:val="00A17B23"/>
    <w:rsid w:val="00A17C36"/>
    <w:rsid w:val="00A17E1B"/>
    <w:rsid w:val="00A17E49"/>
    <w:rsid w:val="00A17E5A"/>
    <w:rsid w:val="00A17E69"/>
    <w:rsid w:val="00A17F06"/>
    <w:rsid w:val="00A20214"/>
    <w:rsid w:val="00A204F4"/>
    <w:rsid w:val="00A20559"/>
    <w:rsid w:val="00A20813"/>
    <w:rsid w:val="00A20995"/>
    <w:rsid w:val="00A20BF6"/>
    <w:rsid w:val="00A20E38"/>
    <w:rsid w:val="00A21028"/>
    <w:rsid w:val="00A21056"/>
    <w:rsid w:val="00A2128B"/>
    <w:rsid w:val="00A2144C"/>
    <w:rsid w:val="00A21579"/>
    <w:rsid w:val="00A216B5"/>
    <w:rsid w:val="00A216F8"/>
    <w:rsid w:val="00A21C1D"/>
    <w:rsid w:val="00A21DB1"/>
    <w:rsid w:val="00A21E4C"/>
    <w:rsid w:val="00A21E51"/>
    <w:rsid w:val="00A21E69"/>
    <w:rsid w:val="00A22065"/>
    <w:rsid w:val="00A22095"/>
    <w:rsid w:val="00A22555"/>
    <w:rsid w:val="00A225A2"/>
    <w:rsid w:val="00A225D4"/>
    <w:rsid w:val="00A225FD"/>
    <w:rsid w:val="00A227E8"/>
    <w:rsid w:val="00A22828"/>
    <w:rsid w:val="00A22D67"/>
    <w:rsid w:val="00A22F1E"/>
    <w:rsid w:val="00A23101"/>
    <w:rsid w:val="00A2338A"/>
    <w:rsid w:val="00A234B8"/>
    <w:rsid w:val="00A235D4"/>
    <w:rsid w:val="00A235E2"/>
    <w:rsid w:val="00A2374F"/>
    <w:rsid w:val="00A23BB1"/>
    <w:rsid w:val="00A23D3B"/>
    <w:rsid w:val="00A23E3D"/>
    <w:rsid w:val="00A24403"/>
    <w:rsid w:val="00A245E1"/>
    <w:rsid w:val="00A2474D"/>
    <w:rsid w:val="00A24786"/>
    <w:rsid w:val="00A2484A"/>
    <w:rsid w:val="00A248C5"/>
    <w:rsid w:val="00A24DA6"/>
    <w:rsid w:val="00A24E46"/>
    <w:rsid w:val="00A24E6B"/>
    <w:rsid w:val="00A24E97"/>
    <w:rsid w:val="00A24EB7"/>
    <w:rsid w:val="00A24FC6"/>
    <w:rsid w:val="00A25026"/>
    <w:rsid w:val="00A25065"/>
    <w:rsid w:val="00A25134"/>
    <w:rsid w:val="00A2518E"/>
    <w:rsid w:val="00A2526B"/>
    <w:rsid w:val="00A25281"/>
    <w:rsid w:val="00A254BE"/>
    <w:rsid w:val="00A254C5"/>
    <w:rsid w:val="00A256EC"/>
    <w:rsid w:val="00A25810"/>
    <w:rsid w:val="00A25C57"/>
    <w:rsid w:val="00A26106"/>
    <w:rsid w:val="00A261E3"/>
    <w:rsid w:val="00A26208"/>
    <w:rsid w:val="00A263E5"/>
    <w:rsid w:val="00A26404"/>
    <w:rsid w:val="00A2640F"/>
    <w:rsid w:val="00A264C6"/>
    <w:rsid w:val="00A265C4"/>
    <w:rsid w:val="00A26D32"/>
    <w:rsid w:val="00A26E49"/>
    <w:rsid w:val="00A27007"/>
    <w:rsid w:val="00A270E3"/>
    <w:rsid w:val="00A27213"/>
    <w:rsid w:val="00A275F1"/>
    <w:rsid w:val="00A27686"/>
    <w:rsid w:val="00A276E7"/>
    <w:rsid w:val="00A278CF"/>
    <w:rsid w:val="00A27D0D"/>
    <w:rsid w:val="00A27E03"/>
    <w:rsid w:val="00A27E89"/>
    <w:rsid w:val="00A30098"/>
    <w:rsid w:val="00A300D9"/>
    <w:rsid w:val="00A30183"/>
    <w:rsid w:val="00A302E2"/>
    <w:rsid w:val="00A3043E"/>
    <w:rsid w:val="00A3058E"/>
    <w:rsid w:val="00A305BA"/>
    <w:rsid w:val="00A30688"/>
    <w:rsid w:val="00A3092B"/>
    <w:rsid w:val="00A30983"/>
    <w:rsid w:val="00A309FA"/>
    <w:rsid w:val="00A30A72"/>
    <w:rsid w:val="00A30C0B"/>
    <w:rsid w:val="00A31162"/>
    <w:rsid w:val="00A311ED"/>
    <w:rsid w:val="00A312BB"/>
    <w:rsid w:val="00A314C5"/>
    <w:rsid w:val="00A31815"/>
    <w:rsid w:val="00A31848"/>
    <w:rsid w:val="00A319A9"/>
    <w:rsid w:val="00A31AEB"/>
    <w:rsid w:val="00A31B64"/>
    <w:rsid w:val="00A31C63"/>
    <w:rsid w:val="00A31C84"/>
    <w:rsid w:val="00A31E83"/>
    <w:rsid w:val="00A32165"/>
    <w:rsid w:val="00A32320"/>
    <w:rsid w:val="00A324BB"/>
    <w:rsid w:val="00A326C0"/>
    <w:rsid w:val="00A32837"/>
    <w:rsid w:val="00A32AB1"/>
    <w:rsid w:val="00A32C17"/>
    <w:rsid w:val="00A32D44"/>
    <w:rsid w:val="00A32EA1"/>
    <w:rsid w:val="00A32F30"/>
    <w:rsid w:val="00A32FE9"/>
    <w:rsid w:val="00A3312C"/>
    <w:rsid w:val="00A331A6"/>
    <w:rsid w:val="00A3338A"/>
    <w:rsid w:val="00A33553"/>
    <w:rsid w:val="00A33597"/>
    <w:rsid w:val="00A33684"/>
    <w:rsid w:val="00A338A5"/>
    <w:rsid w:val="00A33A65"/>
    <w:rsid w:val="00A33BD1"/>
    <w:rsid w:val="00A33C1C"/>
    <w:rsid w:val="00A33E34"/>
    <w:rsid w:val="00A33E4A"/>
    <w:rsid w:val="00A341BF"/>
    <w:rsid w:val="00A34393"/>
    <w:rsid w:val="00A3447B"/>
    <w:rsid w:val="00A346DC"/>
    <w:rsid w:val="00A34B64"/>
    <w:rsid w:val="00A3506C"/>
    <w:rsid w:val="00A35216"/>
    <w:rsid w:val="00A3534D"/>
    <w:rsid w:val="00A355E2"/>
    <w:rsid w:val="00A359F7"/>
    <w:rsid w:val="00A35AA8"/>
    <w:rsid w:val="00A35AAD"/>
    <w:rsid w:val="00A35B08"/>
    <w:rsid w:val="00A35BF3"/>
    <w:rsid w:val="00A35C08"/>
    <w:rsid w:val="00A35DB9"/>
    <w:rsid w:val="00A35DF3"/>
    <w:rsid w:val="00A36088"/>
    <w:rsid w:val="00A365BB"/>
    <w:rsid w:val="00A36642"/>
    <w:rsid w:val="00A3664D"/>
    <w:rsid w:val="00A36651"/>
    <w:rsid w:val="00A36678"/>
    <w:rsid w:val="00A36734"/>
    <w:rsid w:val="00A3688F"/>
    <w:rsid w:val="00A369AC"/>
    <w:rsid w:val="00A36AC5"/>
    <w:rsid w:val="00A36B05"/>
    <w:rsid w:val="00A36C40"/>
    <w:rsid w:val="00A36CDE"/>
    <w:rsid w:val="00A36D05"/>
    <w:rsid w:val="00A36D64"/>
    <w:rsid w:val="00A36DEB"/>
    <w:rsid w:val="00A36FC4"/>
    <w:rsid w:val="00A3706C"/>
    <w:rsid w:val="00A372C0"/>
    <w:rsid w:val="00A37508"/>
    <w:rsid w:val="00A37710"/>
    <w:rsid w:val="00A37807"/>
    <w:rsid w:val="00A3782D"/>
    <w:rsid w:val="00A37B08"/>
    <w:rsid w:val="00A400A3"/>
    <w:rsid w:val="00A40265"/>
    <w:rsid w:val="00A402AB"/>
    <w:rsid w:val="00A40309"/>
    <w:rsid w:val="00A404CA"/>
    <w:rsid w:val="00A4051F"/>
    <w:rsid w:val="00A405DD"/>
    <w:rsid w:val="00A406D7"/>
    <w:rsid w:val="00A40762"/>
    <w:rsid w:val="00A40A4D"/>
    <w:rsid w:val="00A40B0F"/>
    <w:rsid w:val="00A40BD9"/>
    <w:rsid w:val="00A40C40"/>
    <w:rsid w:val="00A40DE9"/>
    <w:rsid w:val="00A40E02"/>
    <w:rsid w:val="00A40FD2"/>
    <w:rsid w:val="00A411AA"/>
    <w:rsid w:val="00A4123D"/>
    <w:rsid w:val="00A413BA"/>
    <w:rsid w:val="00A41461"/>
    <w:rsid w:val="00A41822"/>
    <w:rsid w:val="00A4198B"/>
    <w:rsid w:val="00A41BEC"/>
    <w:rsid w:val="00A41D52"/>
    <w:rsid w:val="00A41DA7"/>
    <w:rsid w:val="00A41DCD"/>
    <w:rsid w:val="00A41E5E"/>
    <w:rsid w:val="00A41EDC"/>
    <w:rsid w:val="00A4200E"/>
    <w:rsid w:val="00A422DC"/>
    <w:rsid w:val="00A42574"/>
    <w:rsid w:val="00A4275B"/>
    <w:rsid w:val="00A4280E"/>
    <w:rsid w:val="00A42900"/>
    <w:rsid w:val="00A42DC9"/>
    <w:rsid w:val="00A43021"/>
    <w:rsid w:val="00A43AB9"/>
    <w:rsid w:val="00A43B98"/>
    <w:rsid w:val="00A44079"/>
    <w:rsid w:val="00A44144"/>
    <w:rsid w:val="00A44186"/>
    <w:rsid w:val="00A443E6"/>
    <w:rsid w:val="00A4461A"/>
    <w:rsid w:val="00A447A3"/>
    <w:rsid w:val="00A447B8"/>
    <w:rsid w:val="00A44A4E"/>
    <w:rsid w:val="00A44AC3"/>
    <w:rsid w:val="00A44BE3"/>
    <w:rsid w:val="00A44C53"/>
    <w:rsid w:val="00A44CA4"/>
    <w:rsid w:val="00A44CCF"/>
    <w:rsid w:val="00A44E58"/>
    <w:rsid w:val="00A450BC"/>
    <w:rsid w:val="00A454C1"/>
    <w:rsid w:val="00A454E3"/>
    <w:rsid w:val="00A459DE"/>
    <w:rsid w:val="00A45AE6"/>
    <w:rsid w:val="00A45BCC"/>
    <w:rsid w:val="00A45BEE"/>
    <w:rsid w:val="00A46079"/>
    <w:rsid w:val="00A4624E"/>
    <w:rsid w:val="00A46557"/>
    <w:rsid w:val="00A4666F"/>
    <w:rsid w:val="00A466D8"/>
    <w:rsid w:val="00A4684D"/>
    <w:rsid w:val="00A46951"/>
    <w:rsid w:val="00A46F05"/>
    <w:rsid w:val="00A46F75"/>
    <w:rsid w:val="00A47159"/>
    <w:rsid w:val="00A4716E"/>
    <w:rsid w:val="00A47362"/>
    <w:rsid w:val="00A473C0"/>
    <w:rsid w:val="00A47463"/>
    <w:rsid w:val="00A47549"/>
    <w:rsid w:val="00A475D7"/>
    <w:rsid w:val="00A47706"/>
    <w:rsid w:val="00A47813"/>
    <w:rsid w:val="00A47827"/>
    <w:rsid w:val="00A479BA"/>
    <w:rsid w:val="00A47BA9"/>
    <w:rsid w:val="00A47C52"/>
    <w:rsid w:val="00A47C60"/>
    <w:rsid w:val="00A47CE1"/>
    <w:rsid w:val="00A47F5F"/>
    <w:rsid w:val="00A504B7"/>
    <w:rsid w:val="00A505A9"/>
    <w:rsid w:val="00A50626"/>
    <w:rsid w:val="00A50694"/>
    <w:rsid w:val="00A509C8"/>
    <w:rsid w:val="00A50A68"/>
    <w:rsid w:val="00A50CE7"/>
    <w:rsid w:val="00A50D02"/>
    <w:rsid w:val="00A50EC5"/>
    <w:rsid w:val="00A50EDB"/>
    <w:rsid w:val="00A50F91"/>
    <w:rsid w:val="00A511B1"/>
    <w:rsid w:val="00A511F0"/>
    <w:rsid w:val="00A51255"/>
    <w:rsid w:val="00A51896"/>
    <w:rsid w:val="00A519EC"/>
    <w:rsid w:val="00A51B2D"/>
    <w:rsid w:val="00A51DB1"/>
    <w:rsid w:val="00A51DB6"/>
    <w:rsid w:val="00A51EDA"/>
    <w:rsid w:val="00A52419"/>
    <w:rsid w:val="00A52587"/>
    <w:rsid w:val="00A5265C"/>
    <w:rsid w:val="00A52673"/>
    <w:rsid w:val="00A52A95"/>
    <w:rsid w:val="00A52CDD"/>
    <w:rsid w:val="00A52D00"/>
    <w:rsid w:val="00A52FCD"/>
    <w:rsid w:val="00A53260"/>
    <w:rsid w:val="00A533B6"/>
    <w:rsid w:val="00A534FC"/>
    <w:rsid w:val="00A536BD"/>
    <w:rsid w:val="00A536DD"/>
    <w:rsid w:val="00A537E8"/>
    <w:rsid w:val="00A53860"/>
    <w:rsid w:val="00A53948"/>
    <w:rsid w:val="00A539B8"/>
    <w:rsid w:val="00A539F2"/>
    <w:rsid w:val="00A53BE0"/>
    <w:rsid w:val="00A53BF7"/>
    <w:rsid w:val="00A53FCF"/>
    <w:rsid w:val="00A54073"/>
    <w:rsid w:val="00A540ED"/>
    <w:rsid w:val="00A54178"/>
    <w:rsid w:val="00A541C4"/>
    <w:rsid w:val="00A547D2"/>
    <w:rsid w:val="00A54B02"/>
    <w:rsid w:val="00A54C28"/>
    <w:rsid w:val="00A54D1D"/>
    <w:rsid w:val="00A54FAF"/>
    <w:rsid w:val="00A55062"/>
    <w:rsid w:val="00A5508E"/>
    <w:rsid w:val="00A55397"/>
    <w:rsid w:val="00A5567E"/>
    <w:rsid w:val="00A55A6A"/>
    <w:rsid w:val="00A55CB9"/>
    <w:rsid w:val="00A55CBF"/>
    <w:rsid w:val="00A55CC1"/>
    <w:rsid w:val="00A55CF8"/>
    <w:rsid w:val="00A55D3A"/>
    <w:rsid w:val="00A55D81"/>
    <w:rsid w:val="00A55E82"/>
    <w:rsid w:val="00A55E93"/>
    <w:rsid w:val="00A55EBC"/>
    <w:rsid w:val="00A56087"/>
    <w:rsid w:val="00A56128"/>
    <w:rsid w:val="00A561CA"/>
    <w:rsid w:val="00A5627E"/>
    <w:rsid w:val="00A5641E"/>
    <w:rsid w:val="00A56461"/>
    <w:rsid w:val="00A56590"/>
    <w:rsid w:val="00A5689D"/>
    <w:rsid w:val="00A569CC"/>
    <w:rsid w:val="00A56BD6"/>
    <w:rsid w:val="00A56BFF"/>
    <w:rsid w:val="00A56D7E"/>
    <w:rsid w:val="00A56DA6"/>
    <w:rsid w:val="00A5704F"/>
    <w:rsid w:val="00A5712E"/>
    <w:rsid w:val="00A5716F"/>
    <w:rsid w:val="00A57337"/>
    <w:rsid w:val="00A57519"/>
    <w:rsid w:val="00A57634"/>
    <w:rsid w:val="00A577BF"/>
    <w:rsid w:val="00A57B00"/>
    <w:rsid w:val="00A57E1F"/>
    <w:rsid w:val="00A57F5A"/>
    <w:rsid w:val="00A601BD"/>
    <w:rsid w:val="00A603F7"/>
    <w:rsid w:val="00A60660"/>
    <w:rsid w:val="00A608CF"/>
    <w:rsid w:val="00A60ACE"/>
    <w:rsid w:val="00A60C8B"/>
    <w:rsid w:val="00A6108A"/>
    <w:rsid w:val="00A61131"/>
    <w:rsid w:val="00A6120F"/>
    <w:rsid w:val="00A61260"/>
    <w:rsid w:val="00A612AF"/>
    <w:rsid w:val="00A614D0"/>
    <w:rsid w:val="00A615C8"/>
    <w:rsid w:val="00A61681"/>
    <w:rsid w:val="00A618D7"/>
    <w:rsid w:val="00A61A4D"/>
    <w:rsid w:val="00A61A6E"/>
    <w:rsid w:val="00A61ADC"/>
    <w:rsid w:val="00A61B52"/>
    <w:rsid w:val="00A61D67"/>
    <w:rsid w:val="00A61F00"/>
    <w:rsid w:val="00A61F20"/>
    <w:rsid w:val="00A61F86"/>
    <w:rsid w:val="00A61FAC"/>
    <w:rsid w:val="00A62216"/>
    <w:rsid w:val="00A62243"/>
    <w:rsid w:val="00A622EA"/>
    <w:rsid w:val="00A6230A"/>
    <w:rsid w:val="00A62409"/>
    <w:rsid w:val="00A62953"/>
    <w:rsid w:val="00A62CDC"/>
    <w:rsid w:val="00A62E1F"/>
    <w:rsid w:val="00A62E48"/>
    <w:rsid w:val="00A62FE4"/>
    <w:rsid w:val="00A63019"/>
    <w:rsid w:val="00A6314B"/>
    <w:rsid w:val="00A63168"/>
    <w:rsid w:val="00A63238"/>
    <w:rsid w:val="00A632A9"/>
    <w:rsid w:val="00A632F8"/>
    <w:rsid w:val="00A63493"/>
    <w:rsid w:val="00A6388C"/>
    <w:rsid w:val="00A639EB"/>
    <w:rsid w:val="00A63B50"/>
    <w:rsid w:val="00A63DC0"/>
    <w:rsid w:val="00A63E1A"/>
    <w:rsid w:val="00A6409E"/>
    <w:rsid w:val="00A6450B"/>
    <w:rsid w:val="00A6453A"/>
    <w:rsid w:val="00A645A5"/>
    <w:rsid w:val="00A64748"/>
    <w:rsid w:val="00A6482C"/>
    <w:rsid w:val="00A64C2B"/>
    <w:rsid w:val="00A64CCA"/>
    <w:rsid w:val="00A64FD7"/>
    <w:rsid w:val="00A65030"/>
    <w:rsid w:val="00A6512D"/>
    <w:rsid w:val="00A651E2"/>
    <w:rsid w:val="00A653A6"/>
    <w:rsid w:val="00A65543"/>
    <w:rsid w:val="00A65606"/>
    <w:rsid w:val="00A65620"/>
    <w:rsid w:val="00A6575A"/>
    <w:rsid w:val="00A65845"/>
    <w:rsid w:val="00A65913"/>
    <w:rsid w:val="00A65A2C"/>
    <w:rsid w:val="00A65B78"/>
    <w:rsid w:val="00A65BA8"/>
    <w:rsid w:val="00A65E62"/>
    <w:rsid w:val="00A663B9"/>
    <w:rsid w:val="00A665B2"/>
    <w:rsid w:val="00A666D3"/>
    <w:rsid w:val="00A669C3"/>
    <w:rsid w:val="00A66C20"/>
    <w:rsid w:val="00A67464"/>
    <w:rsid w:val="00A675BA"/>
    <w:rsid w:val="00A675F9"/>
    <w:rsid w:val="00A6768A"/>
    <w:rsid w:val="00A6784F"/>
    <w:rsid w:val="00A67B14"/>
    <w:rsid w:val="00A67D03"/>
    <w:rsid w:val="00A67D07"/>
    <w:rsid w:val="00A67E3E"/>
    <w:rsid w:val="00A67E4C"/>
    <w:rsid w:val="00A67EFC"/>
    <w:rsid w:val="00A67F41"/>
    <w:rsid w:val="00A7027E"/>
    <w:rsid w:val="00A7034A"/>
    <w:rsid w:val="00A70393"/>
    <w:rsid w:val="00A703A2"/>
    <w:rsid w:val="00A7057B"/>
    <w:rsid w:val="00A7081C"/>
    <w:rsid w:val="00A70867"/>
    <w:rsid w:val="00A70A4D"/>
    <w:rsid w:val="00A70DF8"/>
    <w:rsid w:val="00A70FC2"/>
    <w:rsid w:val="00A710BF"/>
    <w:rsid w:val="00A71374"/>
    <w:rsid w:val="00A715EE"/>
    <w:rsid w:val="00A71604"/>
    <w:rsid w:val="00A71715"/>
    <w:rsid w:val="00A7176F"/>
    <w:rsid w:val="00A7188B"/>
    <w:rsid w:val="00A7196D"/>
    <w:rsid w:val="00A719E0"/>
    <w:rsid w:val="00A71A26"/>
    <w:rsid w:val="00A71E1F"/>
    <w:rsid w:val="00A72084"/>
    <w:rsid w:val="00A7218B"/>
    <w:rsid w:val="00A72191"/>
    <w:rsid w:val="00A7229C"/>
    <w:rsid w:val="00A723A8"/>
    <w:rsid w:val="00A7244B"/>
    <w:rsid w:val="00A726E6"/>
    <w:rsid w:val="00A72D9E"/>
    <w:rsid w:val="00A72F5E"/>
    <w:rsid w:val="00A72F8F"/>
    <w:rsid w:val="00A73120"/>
    <w:rsid w:val="00A7335C"/>
    <w:rsid w:val="00A73414"/>
    <w:rsid w:val="00A734A3"/>
    <w:rsid w:val="00A73873"/>
    <w:rsid w:val="00A73941"/>
    <w:rsid w:val="00A73BD1"/>
    <w:rsid w:val="00A73C70"/>
    <w:rsid w:val="00A73D52"/>
    <w:rsid w:val="00A73DB8"/>
    <w:rsid w:val="00A73DF4"/>
    <w:rsid w:val="00A73EE8"/>
    <w:rsid w:val="00A73F10"/>
    <w:rsid w:val="00A73F9F"/>
    <w:rsid w:val="00A746CB"/>
    <w:rsid w:val="00A747EC"/>
    <w:rsid w:val="00A74928"/>
    <w:rsid w:val="00A74937"/>
    <w:rsid w:val="00A74BE5"/>
    <w:rsid w:val="00A74BE6"/>
    <w:rsid w:val="00A74C37"/>
    <w:rsid w:val="00A74DFB"/>
    <w:rsid w:val="00A74E0F"/>
    <w:rsid w:val="00A74FD8"/>
    <w:rsid w:val="00A7513F"/>
    <w:rsid w:val="00A75244"/>
    <w:rsid w:val="00A75464"/>
    <w:rsid w:val="00A7548E"/>
    <w:rsid w:val="00A754D2"/>
    <w:rsid w:val="00A756A8"/>
    <w:rsid w:val="00A75A1A"/>
    <w:rsid w:val="00A75BC2"/>
    <w:rsid w:val="00A75C76"/>
    <w:rsid w:val="00A75D39"/>
    <w:rsid w:val="00A75D8B"/>
    <w:rsid w:val="00A75E19"/>
    <w:rsid w:val="00A75F34"/>
    <w:rsid w:val="00A761AF"/>
    <w:rsid w:val="00A76236"/>
    <w:rsid w:val="00A762C8"/>
    <w:rsid w:val="00A76516"/>
    <w:rsid w:val="00A76524"/>
    <w:rsid w:val="00A7665C"/>
    <w:rsid w:val="00A766E4"/>
    <w:rsid w:val="00A766F8"/>
    <w:rsid w:val="00A768EC"/>
    <w:rsid w:val="00A76937"/>
    <w:rsid w:val="00A76978"/>
    <w:rsid w:val="00A76979"/>
    <w:rsid w:val="00A7699D"/>
    <w:rsid w:val="00A76B17"/>
    <w:rsid w:val="00A76B5D"/>
    <w:rsid w:val="00A774DE"/>
    <w:rsid w:val="00A77854"/>
    <w:rsid w:val="00A77EEC"/>
    <w:rsid w:val="00A80017"/>
    <w:rsid w:val="00A8005D"/>
    <w:rsid w:val="00A8032D"/>
    <w:rsid w:val="00A8085F"/>
    <w:rsid w:val="00A80ABF"/>
    <w:rsid w:val="00A80B56"/>
    <w:rsid w:val="00A80B80"/>
    <w:rsid w:val="00A80E09"/>
    <w:rsid w:val="00A80F59"/>
    <w:rsid w:val="00A811C3"/>
    <w:rsid w:val="00A8169B"/>
    <w:rsid w:val="00A817AD"/>
    <w:rsid w:val="00A81A4D"/>
    <w:rsid w:val="00A81B83"/>
    <w:rsid w:val="00A81E02"/>
    <w:rsid w:val="00A81EE0"/>
    <w:rsid w:val="00A820CA"/>
    <w:rsid w:val="00A821A8"/>
    <w:rsid w:val="00A82217"/>
    <w:rsid w:val="00A8224D"/>
    <w:rsid w:val="00A822BB"/>
    <w:rsid w:val="00A82683"/>
    <w:rsid w:val="00A826F4"/>
    <w:rsid w:val="00A828DE"/>
    <w:rsid w:val="00A82967"/>
    <w:rsid w:val="00A82C24"/>
    <w:rsid w:val="00A82C2D"/>
    <w:rsid w:val="00A82CDA"/>
    <w:rsid w:val="00A82CE0"/>
    <w:rsid w:val="00A82E0E"/>
    <w:rsid w:val="00A82E88"/>
    <w:rsid w:val="00A82EB2"/>
    <w:rsid w:val="00A82EDB"/>
    <w:rsid w:val="00A8306E"/>
    <w:rsid w:val="00A8322F"/>
    <w:rsid w:val="00A833A8"/>
    <w:rsid w:val="00A8340C"/>
    <w:rsid w:val="00A835A6"/>
    <w:rsid w:val="00A835EF"/>
    <w:rsid w:val="00A83657"/>
    <w:rsid w:val="00A838EC"/>
    <w:rsid w:val="00A83942"/>
    <w:rsid w:val="00A83996"/>
    <w:rsid w:val="00A83D5B"/>
    <w:rsid w:val="00A83DFE"/>
    <w:rsid w:val="00A83E62"/>
    <w:rsid w:val="00A83FB4"/>
    <w:rsid w:val="00A84263"/>
    <w:rsid w:val="00A842C4"/>
    <w:rsid w:val="00A842CE"/>
    <w:rsid w:val="00A84649"/>
    <w:rsid w:val="00A8478F"/>
    <w:rsid w:val="00A8484D"/>
    <w:rsid w:val="00A84A19"/>
    <w:rsid w:val="00A84AC6"/>
    <w:rsid w:val="00A84B59"/>
    <w:rsid w:val="00A84BA8"/>
    <w:rsid w:val="00A84D7B"/>
    <w:rsid w:val="00A84F49"/>
    <w:rsid w:val="00A84F72"/>
    <w:rsid w:val="00A8502A"/>
    <w:rsid w:val="00A85069"/>
    <w:rsid w:val="00A85192"/>
    <w:rsid w:val="00A851E3"/>
    <w:rsid w:val="00A8523B"/>
    <w:rsid w:val="00A853A4"/>
    <w:rsid w:val="00A85551"/>
    <w:rsid w:val="00A85666"/>
    <w:rsid w:val="00A85725"/>
    <w:rsid w:val="00A8580C"/>
    <w:rsid w:val="00A8586E"/>
    <w:rsid w:val="00A858DA"/>
    <w:rsid w:val="00A85A12"/>
    <w:rsid w:val="00A85A83"/>
    <w:rsid w:val="00A85BCB"/>
    <w:rsid w:val="00A85C4D"/>
    <w:rsid w:val="00A85D02"/>
    <w:rsid w:val="00A85EBF"/>
    <w:rsid w:val="00A85F24"/>
    <w:rsid w:val="00A86013"/>
    <w:rsid w:val="00A86288"/>
    <w:rsid w:val="00A862C1"/>
    <w:rsid w:val="00A865A2"/>
    <w:rsid w:val="00A8664E"/>
    <w:rsid w:val="00A867E2"/>
    <w:rsid w:val="00A86832"/>
    <w:rsid w:val="00A868B5"/>
    <w:rsid w:val="00A86976"/>
    <w:rsid w:val="00A86C67"/>
    <w:rsid w:val="00A86DFB"/>
    <w:rsid w:val="00A86E29"/>
    <w:rsid w:val="00A871AC"/>
    <w:rsid w:val="00A87296"/>
    <w:rsid w:val="00A87429"/>
    <w:rsid w:val="00A876F1"/>
    <w:rsid w:val="00A87E26"/>
    <w:rsid w:val="00A90011"/>
    <w:rsid w:val="00A900C3"/>
    <w:rsid w:val="00A9012A"/>
    <w:rsid w:val="00A902D6"/>
    <w:rsid w:val="00A9055E"/>
    <w:rsid w:val="00A906DF"/>
    <w:rsid w:val="00A9081B"/>
    <w:rsid w:val="00A90887"/>
    <w:rsid w:val="00A90919"/>
    <w:rsid w:val="00A90938"/>
    <w:rsid w:val="00A90A53"/>
    <w:rsid w:val="00A90A73"/>
    <w:rsid w:val="00A90AC5"/>
    <w:rsid w:val="00A90B14"/>
    <w:rsid w:val="00A90C97"/>
    <w:rsid w:val="00A90EFC"/>
    <w:rsid w:val="00A9110F"/>
    <w:rsid w:val="00A91189"/>
    <w:rsid w:val="00A9127E"/>
    <w:rsid w:val="00A912EA"/>
    <w:rsid w:val="00A913BE"/>
    <w:rsid w:val="00A91432"/>
    <w:rsid w:val="00A915B2"/>
    <w:rsid w:val="00A916A3"/>
    <w:rsid w:val="00A9186E"/>
    <w:rsid w:val="00A919B9"/>
    <w:rsid w:val="00A91B42"/>
    <w:rsid w:val="00A91B71"/>
    <w:rsid w:val="00A91CAD"/>
    <w:rsid w:val="00A91D6B"/>
    <w:rsid w:val="00A92069"/>
    <w:rsid w:val="00A920A0"/>
    <w:rsid w:val="00A92429"/>
    <w:rsid w:val="00A92442"/>
    <w:rsid w:val="00A92AA6"/>
    <w:rsid w:val="00A92ABC"/>
    <w:rsid w:val="00A92AE9"/>
    <w:rsid w:val="00A92D61"/>
    <w:rsid w:val="00A930EC"/>
    <w:rsid w:val="00A9376B"/>
    <w:rsid w:val="00A93AFC"/>
    <w:rsid w:val="00A93B50"/>
    <w:rsid w:val="00A93B6F"/>
    <w:rsid w:val="00A93C5F"/>
    <w:rsid w:val="00A93DF6"/>
    <w:rsid w:val="00A93E7A"/>
    <w:rsid w:val="00A93E87"/>
    <w:rsid w:val="00A94110"/>
    <w:rsid w:val="00A94170"/>
    <w:rsid w:val="00A94275"/>
    <w:rsid w:val="00A9430D"/>
    <w:rsid w:val="00A946EF"/>
    <w:rsid w:val="00A948F2"/>
    <w:rsid w:val="00A94914"/>
    <w:rsid w:val="00A94A09"/>
    <w:rsid w:val="00A94B00"/>
    <w:rsid w:val="00A94B2A"/>
    <w:rsid w:val="00A94B41"/>
    <w:rsid w:val="00A94C57"/>
    <w:rsid w:val="00A94C91"/>
    <w:rsid w:val="00A94D8F"/>
    <w:rsid w:val="00A95063"/>
    <w:rsid w:val="00A95274"/>
    <w:rsid w:val="00A95354"/>
    <w:rsid w:val="00A95374"/>
    <w:rsid w:val="00A95414"/>
    <w:rsid w:val="00A957DB"/>
    <w:rsid w:val="00A95B18"/>
    <w:rsid w:val="00A95CF6"/>
    <w:rsid w:val="00A95EB0"/>
    <w:rsid w:val="00A95F14"/>
    <w:rsid w:val="00A95F46"/>
    <w:rsid w:val="00A96132"/>
    <w:rsid w:val="00A9635B"/>
    <w:rsid w:val="00A963C4"/>
    <w:rsid w:val="00A964EB"/>
    <w:rsid w:val="00A96508"/>
    <w:rsid w:val="00A96644"/>
    <w:rsid w:val="00A9683A"/>
    <w:rsid w:val="00A96DA9"/>
    <w:rsid w:val="00A96FDA"/>
    <w:rsid w:val="00A97571"/>
    <w:rsid w:val="00A97734"/>
    <w:rsid w:val="00A9774C"/>
    <w:rsid w:val="00A97948"/>
    <w:rsid w:val="00A97F1A"/>
    <w:rsid w:val="00A97FA3"/>
    <w:rsid w:val="00AA0064"/>
    <w:rsid w:val="00AA01C4"/>
    <w:rsid w:val="00AA0296"/>
    <w:rsid w:val="00AA02E4"/>
    <w:rsid w:val="00AA0637"/>
    <w:rsid w:val="00AA07A5"/>
    <w:rsid w:val="00AA07BE"/>
    <w:rsid w:val="00AA08F9"/>
    <w:rsid w:val="00AA09C3"/>
    <w:rsid w:val="00AA09D1"/>
    <w:rsid w:val="00AA0B0A"/>
    <w:rsid w:val="00AA0C80"/>
    <w:rsid w:val="00AA0F52"/>
    <w:rsid w:val="00AA0F99"/>
    <w:rsid w:val="00AA0FEF"/>
    <w:rsid w:val="00AA1126"/>
    <w:rsid w:val="00AA156C"/>
    <w:rsid w:val="00AA184A"/>
    <w:rsid w:val="00AA1A0C"/>
    <w:rsid w:val="00AA1A6E"/>
    <w:rsid w:val="00AA1A9A"/>
    <w:rsid w:val="00AA1B33"/>
    <w:rsid w:val="00AA1BB8"/>
    <w:rsid w:val="00AA1C7D"/>
    <w:rsid w:val="00AA1F4D"/>
    <w:rsid w:val="00AA2031"/>
    <w:rsid w:val="00AA203D"/>
    <w:rsid w:val="00AA2154"/>
    <w:rsid w:val="00AA215D"/>
    <w:rsid w:val="00AA21B0"/>
    <w:rsid w:val="00AA21F8"/>
    <w:rsid w:val="00AA22B5"/>
    <w:rsid w:val="00AA24D5"/>
    <w:rsid w:val="00AA25FC"/>
    <w:rsid w:val="00AA2673"/>
    <w:rsid w:val="00AA282E"/>
    <w:rsid w:val="00AA2A17"/>
    <w:rsid w:val="00AA2BAA"/>
    <w:rsid w:val="00AA2D00"/>
    <w:rsid w:val="00AA2ED1"/>
    <w:rsid w:val="00AA304B"/>
    <w:rsid w:val="00AA32F2"/>
    <w:rsid w:val="00AA359D"/>
    <w:rsid w:val="00AA36D5"/>
    <w:rsid w:val="00AA3738"/>
    <w:rsid w:val="00AA3900"/>
    <w:rsid w:val="00AA39DC"/>
    <w:rsid w:val="00AA3A4C"/>
    <w:rsid w:val="00AA3B30"/>
    <w:rsid w:val="00AA3B97"/>
    <w:rsid w:val="00AA3BA4"/>
    <w:rsid w:val="00AA3BC2"/>
    <w:rsid w:val="00AA3DE3"/>
    <w:rsid w:val="00AA3F6B"/>
    <w:rsid w:val="00AA4121"/>
    <w:rsid w:val="00AA4298"/>
    <w:rsid w:val="00AA4436"/>
    <w:rsid w:val="00AA490E"/>
    <w:rsid w:val="00AA4EAB"/>
    <w:rsid w:val="00AA51E1"/>
    <w:rsid w:val="00AA5359"/>
    <w:rsid w:val="00AA53C4"/>
    <w:rsid w:val="00AA552F"/>
    <w:rsid w:val="00AA55FB"/>
    <w:rsid w:val="00AA5608"/>
    <w:rsid w:val="00AA56C4"/>
    <w:rsid w:val="00AA5771"/>
    <w:rsid w:val="00AA5FDC"/>
    <w:rsid w:val="00AA619B"/>
    <w:rsid w:val="00AA62F0"/>
    <w:rsid w:val="00AA6436"/>
    <w:rsid w:val="00AA6584"/>
    <w:rsid w:val="00AA681A"/>
    <w:rsid w:val="00AA6B55"/>
    <w:rsid w:val="00AA6E24"/>
    <w:rsid w:val="00AA6E73"/>
    <w:rsid w:val="00AA704F"/>
    <w:rsid w:val="00AA7169"/>
    <w:rsid w:val="00AA725E"/>
    <w:rsid w:val="00AA74E2"/>
    <w:rsid w:val="00AA75A4"/>
    <w:rsid w:val="00AA75E5"/>
    <w:rsid w:val="00AA7618"/>
    <w:rsid w:val="00AA77A1"/>
    <w:rsid w:val="00AA7830"/>
    <w:rsid w:val="00AA7866"/>
    <w:rsid w:val="00AA7B28"/>
    <w:rsid w:val="00AA7C91"/>
    <w:rsid w:val="00AB01E9"/>
    <w:rsid w:val="00AB021E"/>
    <w:rsid w:val="00AB04A6"/>
    <w:rsid w:val="00AB062B"/>
    <w:rsid w:val="00AB0633"/>
    <w:rsid w:val="00AB08B6"/>
    <w:rsid w:val="00AB0D35"/>
    <w:rsid w:val="00AB0EF9"/>
    <w:rsid w:val="00AB0F7B"/>
    <w:rsid w:val="00AB1352"/>
    <w:rsid w:val="00AB14C8"/>
    <w:rsid w:val="00AB15BB"/>
    <w:rsid w:val="00AB163B"/>
    <w:rsid w:val="00AB16FF"/>
    <w:rsid w:val="00AB18A4"/>
    <w:rsid w:val="00AB18BB"/>
    <w:rsid w:val="00AB1907"/>
    <w:rsid w:val="00AB1924"/>
    <w:rsid w:val="00AB1BF4"/>
    <w:rsid w:val="00AB1D2D"/>
    <w:rsid w:val="00AB1DB2"/>
    <w:rsid w:val="00AB1F49"/>
    <w:rsid w:val="00AB1FB7"/>
    <w:rsid w:val="00AB2026"/>
    <w:rsid w:val="00AB2170"/>
    <w:rsid w:val="00AB21EB"/>
    <w:rsid w:val="00AB226D"/>
    <w:rsid w:val="00AB22C0"/>
    <w:rsid w:val="00AB24B8"/>
    <w:rsid w:val="00AB2718"/>
    <w:rsid w:val="00AB2900"/>
    <w:rsid w:val="00AB2B87"/>
    <w:rsid w:val="00AB2BF7"/>
    <w:rsid w:val="00AB2D39"/>
    <w:rsid w:val="00AB2FCB"/>
    <w:rsid w:val="00AB309C"/>
    <w:rsid w:val="00AB351B"/>
    <w:rsid w:val="00AB3576"/>
    <w:rsid w:val="00AB3835"/>
    <w:rsid w:val="00AB3B34"/>
    <w:rsid w:val="00AB3B74"/>
    <w:rsid w:val="00AB3BAC"/>
    <w:rsid w:val="00AB3D3C"/>
    <w:rsid w:val="00AB3DDB"/>
    <w:rsid w:val="00AB3E30"/>
    <w:rsid w:val="00AB3EE8"/>
    <w:rsid w:val="00AB4520"/>
    <w:rsid w:val="00AB453A"/>
    <w:rsid w:val="00AB4822"/>
    <w:rsid w:val="00AB4877"/>
    <w:rsid w:val="00AB4980"/>
    <w:rsid w:val="00AB4DF2"/>
    <w:rsid w:val="00AB4F94"/>
    <w:rsid w:val="00AB5059"/>
    <w:rsid w:val="00AB5078"/>
    <w:rsid w:val="00AB515F"/>
    <w:rsid w:val="00AB5326"/>
    <w:rsid w:val="00AB53C6"/>
    <w:rsid w:val="00AB5626"/>
    <w:rsid w:val="00AB56AB"/>
    <w:rsid w:val="00AB5778"/>
    <w:rsid w:val="00AB5879"/>
    <w:rsid w:val="00AB5A21"/>
    <w:rsid w:val="00AB5BAD"/>
    <w:rsid w:val="00AB5F5E"/>
    <w:rsid w:val="00AB6113"/>
    <w:rsid w:val="00AB61D6"/>
    <w:rsid w:val="00AB6387"/>
    <w:rsid w:val="00AB63C1"/>
    <w:rsid w:val="00AB63C8"/>
    <w:rsid w:val="00AB65FF"/>
    <w:rsid w:val="00AB6784"/>
    <w:rsid w:val="00AB6A3F"/>
    <w:rsid w:val="00AB6B58"/>
    <w:rsid w:val="00AB6B6A"/>
    <w:rsid w:val="00AB6BEE"/>
    <w:rsid w:val="00AB6BFF"/>
    <w:rsid w:val="00AB6C12"/>
    <w:rsid w:val="00AB6C37"/>
    <w:rsid w:val="00AB6C9A"/>
    <w:rsid w:val="00AB6D04"/>
    <w:rsid w:val="00AB6D77"/>
    <w:rsid w:val="00AB6E2D"/>
    <w:rsid w:val="00AB6F58"/>
    <w:rsid w:val="00AB6F59"/>
    <w:rsid w:val="00AB709E"/>
    <w:rsid w:val="00AB71A0"/>
    <w:rsid w:val="00AB72AB"/>
    <w:rsid w:val="00AB742F"/>
    <w:rsid w:val="00AB75E8"/>
    <w:rsid w:val="00AB763B"/>
    <w:rsid w:val="00AB7673"/>
    <w:rsid w:val="00AB777E"/>
    <w:rsid w:val="00AB7837"/>
    <w:rsid w:val="00AB7DF4"/>
    <w:rsid w:val="00AC01E2"/>
    <w:rsid w:val="00AC01FA"/>
    <w:rsid w:val="00AC02F3"/>
    <w:rsid w:val="00AC03B5"/>
    <w:rsid w:val="00AC0481"/>
    <w:rsid w:val="00AC07DD"/>
    <w:rsid w:val="00AC083E"/>
    <w:rsid w:val="00AC087E"/>
    <w:rsid w:val="00AC08D2"/>
    <w:rsid w:val="00AC09A2"/>
    <w:rsid w:val="00AC0A16"/>
    <w:rsid w:val="00AC0ADB"/>
    <w:rsid w:val="00AC0B6B"/>
    <w:rsid w:val="00AC0EB2"/>
    <w:rsid w:val="00AC10A5"/>
    <w:rsid w:val="00AC1145"/>
    <w:rsid w:val="00AC11A1"/>
    <w:rsid w:val="00AC129E"/>
    <w:rsid w:val="00AC12C1"/>
    <w:rsid w:val="00AC138B"/>
    <w:rsid w:val="00AC14B2"/>
    <w:rsid w:val="00AC158F"/>
    <w:rsid w:val="00AC172B"/>
    <w:rsid w:val="00AC1950"/>
    <w:rsid w:val="00AC1BD3"/>
    <w:rsid w:val="00AC1BEE"/>
    <w:rsid w:val="00AC1D7D"/>
    <w:rsid w:val="00AC1E3D"/>
    <w:rsid w:val="00AC1E57"/>
    <w:rsid w:val="00AC1EF1"/>
    <w:rsid w:val="00AC1F5B"/>
    <w:rsid w:val="00AC2294"/>
    <w:rsid w:val="00AC22F7"/>
    <w:rsid w:val="00AC2514"/>
    <w:rsid w:val="00AC256F"/>
    <w:rsid w:val="00AC2695"/>
    <w:rsid w:val="00AC26AD"/>
    <w:rsid w:val="00AC2833"/>
    <w:rsid w:val="00AC293D"/>
    <w:rsid w:val="00AC2B5F"/>
    <w:rsid w:val="00AC2B77"/>
    <w:rsid w:val="00AC2D7A"/>
    <w:rsid w:val="00AC2DA4"/>
    <w:rsid w:val="00AC2ED4"/>
    <w:rsid w:val="00AC2F1C"/>
    <w:rsid w:val="00AC2FE2"/>
    <w:rsid w:val="00AC3085"/>
    <w:rsid w:val="00AC30BB"/>
    <w:rsid w:val="00AC30CF"/>
    <w:rsid w:val="00AC3371"/>
    <w:rsid w:val="00AC3C6A"/>
    <w:rsid w:val="00AC3D95"/>
    <w:rsid w:val="00AC3E56"/>
    <w:rsid w:val="00AC3F4E"/>
    <w:rsid w:val="00AC3FEC"/>
    <w:rsid w:val="00AC4038"/>
    <w:rsid w:val="00AC40FD"/>
    <w:rsid w:val="00AC42BA"/>
    <w:rsid w:val="00AC42D8"/>
    <w:rsid w:val="00AC4309"/>
    <w:rsid w:val="00AC4328"/>
    <w:rsid w:val="00AC445B"/>
    <w:rsid w:val="00AC446F"/>
    <w:rsid w:val="00AC449A"/>
    <w:rsid w:val="00AC44C8"/>
    <w:rsid w:val="00AC457E"/>
    <w:rsid w:val="00AC47CA"/>
    <w:rsid w:val="00AC4AA3"/>
    <w:rsid w:val="00AC4B8C"/>
    <w:rsid w:val="00AC4BDA"/>
    <w:rsid w:val="00AC4D9F"/>
    <w:rsid w:val="00AC4E21"/>
    <w:rsid w:val="00AC4EC9"/>
    <w:rsid w:val="00AC4F36"/>
    <w:rsid w:val="00AC4F83"/>
    <w:rsid w:val="00AC4FAD"/>
    <w:rsid w:val="00AC5241"/>
    <w:rsid w:val="00AC530E"/>
    <w:rsid w:val="00AC536D"/>
    <w:rsid w:val="00AC545A"/>
    <w:rsid w:val="00AC54BF"/>
    <w:rsid w:val="00AC54D4"/>
    <w:rsid w:val="00AC5DB3"/>
    <w:rsid w:val="00AC6095"/>
    <w:rsid w:val="00AC6205"/>
    <w:rsid w:val="00AC66E6"/>
    <w:rsid w:val="00AC692A"/>
    <w:rsid w:val="00AC6A50"/>
    <w:rsid w:val="00AC6A8A"/>
    <w:rsid w:val="00AC6CAE"/>
    <w:rsid w:val="00AC6D48"/>
    <w:rsid w:val="00AC6F6E"/>
    <w:rsid w:val="00AC6FB6"/>
    <w:rsid w:val="00AC71FE"/>
    <w:rsid w:val="00AC720D"/>
    <w:rsid w:val="00AC72BE"/>
    <w:rsid w:val="00AC7588"/>
    <w:rsid w:val="00AC75B0"/>
    <w:rsid w:val="00AC760C"/>
    <w:rsid w:val="00AC76BD"/>
    <w:rsid w:val="00AC7820"/>
    <w:rsid w:val="00AC7920"/>
    <w:rsid w:val="00AC7B68"/>
    <w:rsid w:val="00AC7C2A"/>
    <w:rsid w:val="00AC7DFF"/>
    <w:rsid w:val="00AC7E85"/>
    <w:rsid w:val="00AC7F01"/>
    <w:rsid w:val="00AC7F12"/>
    <w:rsid w:val="00AD009A"/>
    <w:rsid w:val="00AD0170"/>
    <w:rsid w:val="00AD024F"/>
    <w:rsid w:val="00AD05CE"/>
    <w:rsid w:val="00AD0705"/>
    <w:rsid w:val="00AD08F3"/>
    <w:rsid w:val="00AD0971"/>
    <w:rsid w:val="00AD0B35"/>
    <w:rsid w:val="00AD0C81"/>
    <w:rsid w:val="00AD0DBC"/>
    <w:rsid w:val="00AD0F1B"/>
    <w:rsid w:val="00AD12EF"/>
    <w:rsid w:val="00AD158A"/>
    <w:rsid w:val="00AD15D5"/>
    <w:rsid w:val="00AD15DE"/>
    <w:rsid w:val="00AD15FE"/>
    <w:rsid w:val="00AD1665"/>
    <w:rsid w:val="00AD1717"/>
    <w:rsid w:val="00AD178F"/>
    <w:rsid w:val="00AD17BB"/>
    <w:rsid w:val="00AD17BF"/>
    <w:rsid w:val="00AD17E6"/>
    <w:rsid w:val="00AD1B67"/>
    <w:rsid w:val="00AD1FA3"/>
    <w:rsid w:val="00AD2014"/>
    <w:rsid w:val="00AD21FA"/>
    <w:rsid w:val="00AD244B"/>
    <w:rsid w:val="00AD2626"/>
    <w:rsid w:val="00AD262C"/>
    <w:rsid w:val="00AD26FD"/>
    <w:rsid w:val="00AD285F"/>
    <w:rsid w:val="00AD29A7"/>
    <w:rsid w:val="00AD2AE3"/>
    <w:rsid w:val="00AD2B67"/>
    <w:rsid w:val="00AD2BD8"/>
    <w:rsid w:val="00AD2D1C"/>
    <w:rsid w:val="00AD2D5F"/>
    <w:rsid w:val="00AD2DFD"/>
    <w:rsid w:val="00AD326C"/>
    <w:rsid w:val="00AD352A"/>
    <w:rsid w:val="00AD36E3"/>
    <w:rsid w:val="00AD376B"/>
    <w:rsid w:val="00AD381D"/>
    <w:rsid w:val="00AD397A"/>
    <w:rsid w:val="00AD3AB1"/>
    <w:rsid w:val="00AD3C46"/>
    <w:rsid w:val="00AD40EF"/>
    <w:rsid w:val="00AD42B5"/>
    <w:rsid w:val="00AD4341"/>
    <w:rsid w:val="00AD4471"/>
    <w:rsid w:val="00AD4525"/>
    <w:rsid w:val="00AD452E"/>
    <w:rsid w:val="00AD470C"/>
    <w:rsid w:val="00AD4B85"/>
    <w:rsid w:val="00AD4BFE"/>
    <w:rsid w:val="00AD4D45"/>
    <w:rsid w:val="00AD4D8D"/>
    <w:rsid w:val="00AD4F31"/>
    <w:rsid w:val="00AD4F47"/>
    <w:rsid w:val="00AD5114"/>
    <w:rsid w:val="00AD522B"/>
    <w:rsid w:val="00AD5459"/>
    <w:rsid w:val="00AD5476"/>
    <w:rsid w:val="00AD566E"/>
    <w:rsid w:val="00AD577C"/>
    <w:rsid w:val="00AD5979"/>
    <w:rsid w:val="00AD5ACA"/>
    <w:rsid w:val="00AD5E3D"/>
    <w:rsid w:val="00AD5EB6"/>
    <w:rsid w:val="00AD5F81"/>
    <w:rsid w:val="00AD6010"/>
    <w:rsid w:val="00AD60CA"/>
    <w:rsid w:val="00AD61A7"/>
    <w:rsid w:val="00AD62F5"/>
    <w:rsid w:val="00AD64E2"/>
    <w:rsid w:val="00AD66EF"/>
    <w:rsid w:val="00AD684D"/>
    <w:rsid w:val="00AD6888"/>
    <w:rsid w:val="00AD699E"/>
    <w:rsid w:val="00AD6A45"/>
    <w:rsid w:val="00AD6A48"/>
    <w:rsid w:val="00AD6B3A"/>
    <w:rsid w:val="00AD6BB6"/>
    <w:rsid w:val="00AD6E76"/>
    <w:rsid w:val="00AD70BE"/>
    <w:rsid w:val="00AD7143"/>
    <w:rsid w:val="00AD7187"/>
    <w:rsid w:val="00AD71AF"/>
    <w:rsid w:val="00AD7424"/>
    <w:rsid w:val="00AD749C"/>
    <w:rsid w:val="00AD7546"/>
    <w:rsid w:val="00AD7574"/>
    <w:rsid w:val="00AD7B25"/>
    <w:rsid w:val="00AD7C22"/>
    <w:rsid w:val="00AD7CCA"/>
    <w:rsid w:val="00AD7E98"/>
    <w:rsid w:val="00AD7F0E"/>
    <w:rsid w:val="00AE00C1"/>
    <w:rsid w:val="00AE0254"/>
    <w:rsid w:val="00AE03B6"/>
    <w:rsid w:val="00AE04BF"/>
    <w:rsid w:val="00AE0559"/>
    <w:rsid w:val="00AE0685"/>
    <w:rsid w:val="00AE0798"/>
    <w:rsid w:val="00AE0905"/>
    <w:rsid w:val="00AE0928"/>
    <w:rsid w:val="00AE0A16"/>
    <w:rsid w:val="00AE0A41"/>
    <w:rsid w:val="00AE0B55"/>
    <w:rsid w:val="00AE0BA9"/>
    <w:rsid w:val="00AE0BC3"/>
    <w:rsid w:val="00AE0C4C"/>
    <w:rsid w:val="00AE0E49"/>
    <w:rsid w:val="00AE0F40"/>
    <w:rsid w:val="00AE1040"/>
    <w:rsid w:val="00AE10D0"/>
    <w:rsid w:val="00AE114B"/>
    <w:rsid w:val="00AE12C1"/>
    <w:rsid w:val="00AE139D"/>
    <w:rsid w:val="00AE17F6"/>
    <w:rsid w:val="00AE19C1"/>
    <w:rsid w:val="00AE1AC7"/>
    <w:rsid w:val="00AE1E16"/>
    <w:rsid w:val="00AE1EED"/>
    <w:rsid w:val="00AE20EA"/>
    <w:rsid w:val="00AE2110"/>
    <w:rsid w:val="00AE229C"/>
    <w:rsid w:val="00AE22AC"/>
    <w:rsid w:val="00AE252E"/>
    <w:rsid w:val="00AE258D"/>
    <w:rsid w:val="00AE2623"/>
    <w:rsid w:val="00AE26B3"/>
    <w:rsid w:val="00AE27CC"/>
    <w:rsid w:val="00AE2897"/>
    <w:rsid w:val="00AE28B8"/>
    <w:rsid w:val="00AE2911"/>
    <w:rsid w:val="00AE2B21"/>
    <w:rsid w:val="00AE2B59"/>
    <w:rsid w:val="00AE2C57"/>
    <w:rsid w:val="00AE2CBD"/>
    <w:rsid w:val="00AE2D23"/>
    <w:rsid w:val="00AE2D43"/>
    <w:rsid w:val="00AE2DD5"/>
    <w:rsid w:val="00AE30F0"/>
    <w:rsid w:val="00AE3127"/>
    <w:rsid w:val="00AE31E7"/>
    <w:rsid w:val="00AE31F9"/>
    <w:rsid w:val="00AE3201"/>
    <w:rsid w:val="00AE3378"/>
    <w:rsid w:val="00AE3473"/>
    <w:rsid w:val="00AE353D"/>
    <w:rsid w:val="00AE361D"/>
    <w:rsid w:val="00AE36AF"/>
    <w:rsid w:val="00AE36CF"/>
    <w:rsid w:val="00AE36DB"/>
    <w:rsid w:val="00AE3954"/>
    <w:rsid w:val="00AE39F0"/>
    <w:rsid w:val="00AE3AAF"/>
    <w:rsid w:val="00AE3AD0"/>
    <w:rsid w:val="00AE3D0E"/>
    <w:rsid w:val="00AE3D1E"/>
    <w:rsid w:val="00AE402B"/>
    <w:rsid w:val="00AE41CF"/>
    <w:rsid w:val="00AE453B"/>
    <w:rsid w:val="00AE4A4F"/>
    <w:rsid w:val="00AE4AE5"/>
    <w:rsid w:val="00AE4B3A"/>
    <w:rsid w:val="00AE4BD2"/>
    <w:rsid w:val="00AE4C2D"/>
    <w:rsid w:val="00AE4C50"/>
    <w:rsid w:val="00AE4CC1"/>
    <w:rsid w:val="00AE4CDE"/>
    <w:rsid w:val="00AE4CDF"/>
    <w:rsid w:val="00AE5115"/>
    <w:rsid w:val="00AE5345"/>
    <w:rsid w:val="00AE5481"/>
    <w:rsid w:val="00AE55B8"/>
    <w:rsid w:val="00AE56BE"/>
    <w:rsid w:val="00AE5711"/>
    <w:rsid w:val="00AE5813"/>
    <w:rsid w:val="00AE5A15"/>
    <w:rsid w:val="00AE5ABC"/>
    <w:rsid w:val="00AE5BF5"/>
    <w:rsid w:val="00AE5CA9"/>
    <w:rsid w:val="00AE5D03"/>
    <w:rsid w:val="00AE600E"/>
    <w:rsid w:val="00AE6479"/>
    <w:rsid w:val="00AE64E0"/>
    <w:rsid w:val="00AE68CA"/>
    <w:rsid w:val="00AE6BF3"/>
    <w:rsid w:val="00AE6C17"/>
    <w:rsid w:val="00AE6D09"/>
    <w:rsid w:val="00AE7148"/>
    <w:rsid w:val="00AE71F1"/>
    <w:rsid w:val="00AE7343"/>
    <w:rsid w:val="00AE734D"/>
    <w:rsid w:val="00AE7400"/>
    <w:rsid w:val="00AE7584"/>
    <w:rsid w:val="00AE77D1"/>
    <w:rsid w:val="00AE7949"/>
    <w:rsid w:val="00AE7D12"/>
    <w:rsid w:val="00AE7E06"/>
    <w:rsid w:val="00AE7E77"/>
    <w:rsid w:val="00AE7F09"/>
    <w:rsid w:val="00AE7F76"/>
    <w:rsid w:val="00AF00EC"/>
    <w:rsid w:val="00AF0148"/>
    <w:rsid w:val="00AF01CB"/>
    <w:rsid w:val="00AF02FF"/>
    <w:rsid w:val="00AF0943"/>
    <w:rsid w:val="00AF11DC"/>
    <w:rsid w:val="00AF123D"/>
    <w:rsid w:val="00AF1261"/>
    <w:rsid w:val="00AF1738"/>
    <w:rsid w:val="00AF1C20"/>
    <w:rsid w:val="00AF1D4E"/>
    <w:rsid w:val="00AF1E4F"/>
    <w:rsid w:val="00AF1E73"/>
    <w:rsid w:val="00AF1E8A"/>
    <w:rsid w:val="00AF1F4A"/>
    <w:rsid w:val="00AF20AA"/>
    <w:rsid w:val="00AF2162"/>
    <w:rsid w:val="00AF2201"/>
    <w:rsid w:val="00AF2783"/>
    <w:rsid w:val="00AF27F5"/>
    <w:rsid w:val="00AF299B"/>
    <w:rsid w:val="00AF29B5"/>
    <w:rsid w:val="00AF2B4A"/>
    <w:rsid w:val="00AF2C3F"/>
    <w:rsid w:val="00AF2D60"/>
    <w:rsid w:val="00AF2D65"/>
    <w:rsid w:val="00AF2D75"/>
    <w:rsid w:val="00AF2D8E"/>
    <w:rsid w:val="00AF2FA0"/>
    <w:rsid w:val="00AF300A"/>
    <w:rsid w:val="00AF307D"/>
    <w:rsid w:val="00AF3132"/>
    <w:rsid w:val="00AF3217"/>
    <w:rsid w:val="00AF322C"/>
    <w:rsid w:val="00AF32B8"/>
    <w:rsid w:val="00AF33E5"/>
    <w:rsid w:val="00AF359F"/>
    <w:rsid w:val="00AF3740"/>
    <w:rsid w:val="00AF3A4A"/>
    <w:rsid w:val="00AF3EA0"/>
    <w:rsid w:val="00AF4251"/>
    <w:rsid w:val="00AF4312"/>
    <w:rsid w:val="00AF449B"/>
    <w:rsid w:val="00AF453F"/>
    <w:rsid w:val="00AF4656"/>
    <w:rsid w:val="00AF46AE"/>
    <w:rsid w:val="00AF4BCA"/>
    <w:rsid w:val="00AF4CEB"/>
    <w:rsid w:val="00AF4FAE"/>
    <w:rsid w:val="00AF505B"/>
    <w:rsid w:val="00AF50D7"/>
    <w:rsid w:val="00AF5104"/>
    <w:rsid w:val="00AF5158"/>
    <w:rsid w:val="00AF5344"/>
    <w:rsid w:val="00AF539B"/>
    <w:rsid w:val="00AF53EC"/>
    <w:rsid w:val="00AF57B3"/>
    <w:rsid w:val="00AF5B07"/>
    <w:rsid w:val="00AF5BAC"/>
    <w:rsid w:val="00AF5C78"/>
    <w:rsid w:val="00AF5CD6"/>
    <w:rsid w:val="00AF605A"/>
    <w:rsid w:val="00AF6090"/>
    <w:rsid w:val="00AF63F1"/>
    <w:rsid w:val="00AF6480"/>
    <w:rsid w:val="00AF65F2"/>
    <w:rsid w:val="00AF6C22"/>
    <w:rsid w:val="00AF6C23"/>
    <w:rsid w:val="00AF6C90"/>
    <w:rsid w:val="00AF6D2F"/>
    <w:rsid w:val="00AF6D72"/>
    <w:rsid w:val="00AF6DE4"/>
    <w:rsid w:val="00AF6F11"/>
    <w:rsid w:val="00AF71DC"/>
    <w:rsid w:val="00AF73D3"/>
    <w:rsid w:val="00AF74D5"/>
    <w:rsid w:val="00AF77B4"/>
    <w:rsid w:val="00AF7B79"/>
    <w:rsid w:val="00AF7D79"/>
    <w:rsid w:val="00B00258"/>
    <w:rsid w:val="00B002A8"/>
    <w:rsid w:val="00B002D7"/>
    <w:rsid w:val="00B00407"/>
    <w:rsid w:val="00B00874"/>
    <w:rsid w:val="00B00B19"/>
    <w:rsid w:val="00B0104C"/>
    <w:rsid w:val="00B01253"/>
    <w:rsid w:val="00B01357"/>
    <w:rsid w:val="00B01389"/>
    <w:rsid w:val="00B0139A"/>
    <w:rsid w:val="00B0158B"/>
    <w:rsid w:val="00B01814"/>
    <w:rsid w:val="00B019A2"/>
    <w:rsid w:val="00B019BB"/>
    <w:rsid w:val="00B019E7"/>
    <w:rsid w:val="00B01A1C"/>
    <w:rsid w:val="00B01B39"/>
    <w:rsid w:val="00B01C46"/>
    <w:rsid w:val="00B01C55"/>
    <w:rsid w:val="00B01E8A"/>
    <w:rsid w:val="00B01F26"/>
    <w:rsid w:val="00B0209C"/>
    <w:rsid w:val="00B022C0"/>
    <w:rsid w:val="00B02356"/>
    <w:rsid w:val="00B02526"/>
    <w:rsid w:val="00B02656"/>
    <w:rsid w:val="00B02793"/>
    <w:rsid w:val="00B0285E"/>
    <w:rsid w:val="00B02E51"/>
    <w:rsid w:val="00B02EF5"/>
    <w:rsid w:val="00B02F79"/>
    <w:rsid w:val="00B03217"/>
    <w:rsid w:val="00B03285"/>
    <w:rsid w:val="00B03397"/>
    <w:rsid w:val="00B03762"/>
    <w:rsid w:val="00B039E3"/>
    <w:rsid w:val="00B03BAD"/>
    <w:rsid w:val="00B03E3B"/>
    <w:rsid w:val="00B03EFB"/>
    <w:rsid w:val="00B03F9B"/>
    <w:rsid w:val="00B03FB2"/>
    <w:rsid w:val="00B04058"/>
    <w:rsid w:val="00B04740"/>
    <w:rsid w:val="00B048A5"/>
    <w:rsid w:val="00B04920"/>
    <w:rsid w:val="00B04D0F"/>
    <w:rsid w:val="00B04D91"/>
    <w:rsid w:val="00B04E3B"/>
    <w:rsid w:val="00B04EE4"/>
    <w:rsid w:val="00B04FF2"/>
    <w:rsid w:val="00B0509C"/>
    <w:rsid w:val="00B05292"/>
    <w:rsid w:val="00B0545B"/>
    <w:rsid w:val="00B054F0"/>
    <w:rsid w:val="00B05642"/>
    <w:rsid w:val="00B05691"/>
    <w:rsid w:val="00B0594B"/>
    <w:rsid w:val="00B05AC2"/>
    <w:rsid w:val="00B05DFE"/>
    <w:rsid w:val="00B061B0"/>
    <w:rsid w:val="00B061DF"/>
    <w:rsid w:val="00B067FF"/>
    <w:rsid w:val="00B06C1D"/>
    <w:rsid w:val="00B06C26"/>
    <w:rsid w:val="00B06D49"/>
    <w:rsid w:val="00B06E43"/>
    <w:rsid w:val="00B06EDB"/>
    <w:rsid w:val="00B06EF1"/>
    <w:rsid w:val="00B06F4D"/>
    <w:rsid w:val="00B0701B"/>
    <w:rsid w:val="00B0711C"/>
    <w:rsid w:val="00B075E1"/>
    <w:rsid w:val="00B07785"/>
    <w:rsid w:val="00B07890"/>
    <w:rsid w:val="00B07995"/>
    <w:rsid w:val="00B07AE1"/>
    <w:rsid w:val="00B07BFC"/>
    <w:rsid w:val="00B07D12"/>
    <w:rsid w:val="00B07D7A"/>
    <w:rsid w:val="00B07D9F"/>
    <w:rsid w:val="00B07E7A"/>
    <w:rsid w:val="00B07F03"/>
    <w:rsid w:val="00B07F5E"/>
    <w:rsid w:val="00B1008A"/>
    <w:rsid w:val="00B100A1"/>
    <w:rsid w:val="00B1023D"/>
    <w:rsid w:val="00B102AB"/>
    <w:rsid w:val="00B10469"/>
    <w:rsid w:val="00B1071D"/>
    <w:rsid w:val="00B1091C"/>
    <w:rsid w:val="00B10C18"/>
    <w:rsid w:val="00B10D7E"/>
    <w:rsid w:val="00B10E6E"/>
    <w:rsid w:val="00B10E7D"/>
    <w:rsid w:val="00B10F96"/>
    <w:rsid w:val="00B10FC9"/>
    <w:rsid w:val="00B1169D"/>
    <w:rsid w:val="00B1169E"/>
    <w:rsid w:val="00B1185C"/>
    <w:rsid w:val="00B11937"/>
    <w:rsid w:val="00B11A68"/>
    <w:rsid w:val="00B11BB4"/>
    <w:rsid w:val="00B11C05"/>
    <w:rsid w:val="00B11EB3"/>
    <w:rsid w:val="00B12035"/>
    <w:rsid w:val="00B120A1"/>
    <w:rsid w:val="00B121E8"/>
    <w:rsid w:val="00B12238"/>
    <w:rsid w:val="00B12362"/>
    <w:rsid w:val="00B123E4"/>
    <w:rsid w:val="00B12498"/>
    <w:rsid w:val="00B1252E"/>
    <w:rsid w:val="00B12670"/>
    <w:rsid w:val="00B126C7"/>
    <w:rsid w:val="00B127F5"/>
    <w:rsid w:val="00B12839"/>
    <w:rsid w:val="00B128AD"/>
    <w:rsid w:val="00B12B35"/>
    <w:rsid w:val="00B12B6B"/>
    <w:rsid w:val="00B12B73"/>
    <w:rsid w:val="00B12BEE"/>
    <w:rsid w:val="00B12F3D"/>
    <w:rsid w:val="00B13124"/>
    <w:rsid w:val="00B134D1"/>
    <w:rsid w:val="00B1360B"/>
    <w:rsid w:val="00B137AB"/>
    <w:rsid w:val="00B13ECC"/>
    <w:rsid w:val="00B14164"/>
    <w:rsid w:val="00B1433E"/>
    <w:rsid w:val="00B14486"/>
    <w:rsid w:val="00B145E5"/>
    <w:rsid w:val="00B147CC"/>
    <w:rsid w:val="00B148FF"/>
    <w:rsid w:val="00B14937"/>
    <w:rsid w:val="00B149E8"/>
    <w:rsid w:val="00B14A44"/>
    <w:rsid w:val="00B14C9D"/>
    <w:rsid w:val="00B14FAA"/>
    <w:rsid w:val="00B1503F"/>
    <w:rsid w:val="00B151B9"/>
    <w:rsid w:val="00B15200"/>
    <w:rsid w:val="00B152D8"/>
    <w:rsid w:val="00B15366"/>
    <w:rsid w:val="00B15431"/>
    <w:rsid w:val="00B15517"/>
    <w:rsid w:val="00B15878"/>
    <w:rsid w:val="00B15AEF"/>
    <w:rsid w:val="00B15DF3"/>
    <w:rsid w:val="00B1603A"/>
    <w:rsid w:val="00B160F8"/>
    <w:rsid w:val="00B16100"/>
    <w:rsid w:val="00B163AB"/>
    <w:rsid w:val="00B16663"/>
    <w:rsid w:val="00B16769"/>
    <w:rsid w:val="00B167FC"/>
    <w:rsid w:val="00B168E8"/>
    <w:rsid w:val="00B16A7D"/>
    <w:rsid w:val="00B16C54"/>
    <w:rsid w:val="00B16CF0"/>
    <w:rsid w:val="00B16D39"/>
    <w:rsid w:val="00B16DC6"/>
    <w:rsid w:val="00B16DF9"/>
    <w:rsid w:val="00B16E52"/>
    <w:rsid w:val="00B16E5A"/>
    <w:rsid w:val="00B170EF"/>
    <w:rsid w:val="00B172A1"/>
    <w:rsid w:val="00B17321"/>
    <w:rsid w:val="00B173BD"/>
    <w:rsid w:val="00B173E4"/>
    <w:rsid w:val="00B175CB"/>
    <w:rsid w:val="00B175E7"/>
    <w:rsid w:val="00B17701"/>
    <w:rsid w:val="00B17B58"/>
    <w:rsid w:val="00B17BD4"/>
    <w:rsid w:val="00B17D89"/>
    <w:rsid w:val="00B17EB6"/>
    <w:rsid w:val="00B17FA6"/>
    <w:rsid w:val="00B203DD"/>
    <w:rsid w:val="00B205F5"/>
    <w:rsid w:val="00B207E4"/>
    <w:rsid w:val="00B20855"/>
    <w:rsid w:val="00B2088C"/>
    <w:rsid w:val="00B209E0"/>
    <w:rsid w:val="00B20ACB"/>
    <w:rsid w:val="00B20B21"/>
    <w:rsid w:val="00B20BE5"/>
    <w:rsid w:val="00B20D7A"/>
    <w:rsid w:val="00B20E09"/>
    <w:rsid w:val="00B20EFE"/>
    <w:rsid w:val="00B20F6A"/>
    <w:rsid w:val="00B20FBA"/>
    <w:rsid w:val="00B211DD"/>
    <w:rsid w:val="00B21394"/>
    <w:rsid w:val="00B21437"/>
    <w:rsid w:val="00B21499"/>
    <w:rsid w:val="00B21505"/>
    <w:rsid w:val="00B21577"/>
    <w:rsid w:val="00B2158B"/>
    <w:rsid w:val="00B2161E"/>
    <w:rsid w:val="00B217C4"/>
    <w:rsid w:val="00B217DA"/>
    <w:rsid w:val="00B21816"/>
    <w:rsid w:val="00B21B89"/>
    <w:rsid w:val="00B21B94"/>
    <w:rsid w:val="00B21E09"/>
    <w:rsid w:val="00B220E4"/>
    <w:rsid w:val="00B22176"/>
    <w:rsid w:val="00B22427"/>
    <w:rsid w:val="00B22743"/>
    <w:rsid w:val="00B228E5"/>
    <w:rsid w:val="00B22994"/>
    <w:rsid w:val="00B229AF"/>
    <w:rsid w:val="00B229FA"/>
    <w:rsid w:val="00B22BCF"/>
    <w:rsid w:val="00B22C5F"/>
    <w:rsid w:val="00B22F2C"/>
    <w:rsid w:val="00B22F3A"/>
    <w:rsid w:val="00B23010"/>
    <w:rsid w:val="00B2301A"/>
    <w:rsid w:val="00B230D7"/>
    <w:rsid w:val="00B23341"/>
    <w:rsid w:val="00B233AC"/>
    <w:rsid w:val="00B23421"/>
    <w:rsid w:val="00B23467"/>
    <w:rsid w:val="00B234A0"/>
    <w:rsid w:val="00B235E7"/>
    <w:rsid w:val="00B23BB3"/>
    <w:rsid w:val="00B23D1C"/>
    <w:rsid w:val="00B23D6D"/>
    <w:rsid w:val="00B23DB4"/>
    <w:rsid w:val="00B2435E"/>
    <w:rsid w:val="00B24730"/>
    <w:rsid w:val="00B24772"/>
    <w:rsid w:val="00B24C15"/>
    <w:rsid w:val="00B24D3A"/>
    <w:rsid w:val="00B24DCE"/>
    <w:rsid w:val="00B24ED0"/>
    <w:rsid w:val="00B25005"/>
    <w:rsid w:val="00B25231"/>
    <w:rsid w:val="00B2542E"/>
    <w:rsid w:val="00B25710"/>
    <w:rsid w:val="00B2588E"/>
    <w:rsid w:val="00B25AB5"/>
    <w:rsid w:val="00B25C49"/>
    <w:rsid w:val="00B260DE"/>
    <w:rsid w:val="00B26209"/>
    <w:rsid w:val="00B2622B"/>
    <w:rsid w:val="00B26283"/>
    <w:rsid w:val="00B26413"/>
    <w:rsid w:val="00B26419"/>
    <w:rsid w:val="00B26490"/>
    <w:rsid w:val="00B26621"/>
    <w:rsid w:val="00B2689C"/>
    <w:rsid w:val="00B26A47"/>
    <w:rsid w:val="00B26C20"/>
    <w:rsid w:val="00B26C3D"/>
    <w:rsid w:val="00B26E62"/>
    <w:rsid w:val="00B26E79"/>
    <w:rsid w:val="00B26EB0"/>
    <w:rsid w:val="00B26F3E"/>
    <w:rsid w:val="00B27035"/>
    <w:rsid w:val="00B270DC"/>
    <w:rsid w:val="00B27402"/>
    <w:rsid w:val="00B2748C"/>
    <w:rsid w:val="00B275AC"/>
    <w:rsid w:val="00B27648"/>
    <w:rsid w:val="00B27734"/>
    <w:rsid w:val="00B278CE"/>
    <w:rsid w:val="00B27A83"/>
    <w:rsid w:val="00B27ABC"/>
    <w:rsid w:val="00B27C92"/>
    <w:rsid w:val="00B27F60"/>
    <w:rsid w:val="00B30A62"/>
    <w:rsid w:val="00B30C3C"/>
    <w:rsid w:val="00B30C77"/>
    <w:rsid w:val="00B30E64"/>
    <w:rsid w:val="00B30F98"/>
    <w:rsid w:val="00B31086"/>
    <w:rsid w:val="00B310DD"/>
    <w:rsid w:val="00B313D5"/>
    <w:rsid w:val="00B3140F"/>
    <w:rsid w:val="00B31620"/>
    <w:rsid w:val="00B317AB"/>
    <w:rsid w:val="00B318F6"/>
    <w:rsid w:val="00B31A52"/>
    <w:rsid w:val="00B31AB3"/>
    <w:rsid w:val="00B31C70"/>
    <w:rsid w:val="00B31D9A"/>
    <w:rsid w:val="00B31E73"/>
    <w:rsid w:val="00B31E91"/>
    <w:rsid w:val="00B31F81"/>
    <w:rsid w:val="00B32090"/>
    <w:rsid w:val="00B32156"/>
    <w:rsid w:val="00B32201"/>
    <w:rsid w:val="00B328C3"/>
    <w:rsid w:val="00B32A2E"/>
    <w:rsid w:val="00B32A7C"/>
    <w:rsid w:val="00B32C6F"/>
    <w:rsid w:val="00B32D80"/>
    <w:rsid w:val="00B32F88"/>
    <w:rsid w:val="00B32FC5"/>
    <w:rsid w:val="00B3303F"/>
    <w:rsid w:val="00B33092"/>
    <w:rsid w:val="00B330C5"/>
    <w:rsid w:val="00B330D5"/>
    <w:rsid w:val="00B33282"/>
    <w:rsid w:val="00B334AC"/>
    <w:rsid w:val="00B339C7"/>
    <w:rsid w:val="00B33B0E"/>
    <w:rsid w:val="00B33B23"/>
    <w:rsid w:val="00B33C1D"/>
    <w:rsid w:val="00B33C47"/>
    <w:rsid w:val="00B33C55"/>
    <w:rsid w:val="00B33C69"/>
    <w:rsid w:val="00B33DB9"/>
    <w:rsid w:val="00B343B1"/>
    <w:rsid w:val="00B3450D"/>
    <w:rsid w:val="00B3457C"/>
    <w:rsid w:val="00B346B4"/>
    <w:rsid w:val="00B3476F"/>
    <w:rsid w:val="00B3491E"/>
    <w:rsid w:val="00B349AF"/>
    <w:rsid w:val="00B34B6D"/>
    <w:rsid w:val="00B34E12"/>
    <w:rsid w:val="00B34EEA"/>
    <w:rsid w:val="00B350E0"/>
    <w:rsid w:val="00B35156"/>
    <w:rsid w:val="00B35199"/>
    <w:rsid w:val="00B35241"/>
    <w:rsid w:val="00B355D1"/>
    <w:rsid w:val="00B3589D"/>
    <w:rsid w:val="00B359AF"/>
    <w:rsid w:val="00B35ABA"/>
    <w:rsid w:val="00B35AE6"/>
    <w:rsid w:val="00B35C8F"/>
    <w:rsid w:val="00B35F93"/>
    <w:rsid w:val="00B3609F"/>
    <w:rsid w:val="00B36140"/>
    <w:rsid w:val="00B3616B"/>
    <w:rsid w:val="00B3634C"/>
    <w:rsid w:val="00B36375"/>
    <w:rsid w:val="00B3655F"/>
    <w:rsid w:val="00B366A8"/>
    <w:rsid w:val="00B366DB"/>
    <w:rsid w:val="00B3687B"/>
    <w:rsid w:val="00B36FBD"/>
    <w:rsid w:val="00B37667"/>
    <w:rsid w:val="00B376F4"/>
    <w:rsid w:val="00B3796B"/>
    <w:rsid w:val="00B37B05"/>
    <w:rsid w:val="00B37B40"/>
    <w:rsid w:val="00B37DEC"/>
    <w:rsid w:val="00B4002C"/>
    <w:rsid w:val="00B40038"/>
    <w:rsid w:val="00B40313"/>
    <w:rsid w:val="00B403C4"/>
    <w:rsid w:val="00B40604"/>
    <w:rsid w:val="00B40666"/>
    <w:rsid w:val="00B407F5"/>
    <w:rsid w:val="00B408E6"/>
    <w:rsid w:val="00B4099C"/>
    <w:rsid w:val="00B40AA0"/>
    <w:rsid w:val="00B40E1D"/>
    <w:rsid w:val="00B40F24"/>
    <w:rsid w:val="00B41261"/>
    <w:rsid w:val="00B4127F"/>
    <w:rsid w:val="00B41387"/>
    <w:rsid w:val="00B416CD"/>
    <w:rsid w:val="00B417B6"/>
    <w:rsid w:val="00B4183A"/>
    <w:rsid w:val="00B418F8"/>
    <w:rsid w:val="00B41973"/>
    <w:rsid w:val="00B41A91"/>
    <w:rsid w:val="00B41BA5"/>
    <w:rsid w:val="00B41C21"/>
    <w:rsid w:val="00B41EA3"/>
    <w:rsid w:val="00B42317"/>
    <w:rsid w:val="00B4236E"/>
    <w:rsid w:val="00B423A5"/>
    <w:rsid w:val="00B42568"/>
    <w:rsid w:val="00B428F5"/>
    <w:rsid w:val="00B42981"/>
    <w:rsid w:val="00B42A4A"/>
    <w:rsid w:val="00B42CAE"/>
    <w:rsid w:val="00B42CC1"/>
    <w:rsid w:val="00B42CEC"/>
    <w:rsid w:val="00B42E24"/>
    <w:rsid w:val="00B4318D"/>
    <w:rsid w:val="00B43509"/>
    <w:rsid w:val="00B43A2A"/>
    <w:rsid w:val="00B43AFE"/>
    <w:rsid w:val="00B43D68"/>
    <w:rsid w:val="00B43E83"/>
    <w:rsid w:val="00B43F79"/>
    <w:rsid w:val="00B43FA5"/>
    <w:rsid w:val="00B4401E"/>
    <w:rsid w:val="00B440C7"/>
    <w:rsid w:val="00B44100"/>
    <w:rsid w:val="00B44272"/>
    <w:rsid w:val="00B44416"/>
    <w:rsid w:val="00B44489"/>
    <w:rsid w:val="00B444C5"/>
    <w:rsid w:val="00B44547"/>
    <w:rsid w:val="00B44918"/>
    <w:rsid w:val="00B44ACC"/>
    <w:rsid w:val="00B44B46"/>
    <w:rsid w:val="00B44BFF"/>
    <w:rsid w:val="00B44F9D"/>
    <w:rsid w:val="00B4531C"/>
    <w:rsid w:val="00B453B7"/>
    <w:rsid w:val="00B4551B"/>
    <w:rsid w:val="00B4560A"/>
    <w:rsid w:val="00B456DC"/>
    <w:rsid w:val="00B456FF"/>
    <w:rsid w:val="00B4573C"/>
    <w:rsid w:val="00B45752"/>
    <w:rsid w:val="00B45809"/>
    <w:rsid w:val="00B458F6"/>
    <w:rsid w:val="00B45E15"/>
    <w:rsid w:val="00B461C5"/>
    <w:rsid w:val="00B46243"/>
    <w:rsid w:val="00B46322"/>
    <w:rsid w:val="00B46380"/>
    <w:rsid w:val="00B46453"/>
    <w:rsid w:val="00B466A7"/>
    <w:rsid w:val="00B467D0"/>
    <w:rsid w:val="00B46811"/>
    <w:rsid w:val="00B4694C"/>
    <w:rsid w:val="00B46A72"/>
    <w:rsid w:val="00B46C4D"/>
    <w:rsid w:val="00B46C93"/>
    <w:rsid w:val="00B46E99"/>
    <w:rsid w:val="00B46F07"/>
    <w:rsid w:val="00B470B2"/>
    <w:rsid w:val="00B4756C"/>
    <w:rsid w:val="00B475CE"/>
    <w:rsid w:val="00B5068E"/>
    <w:rsid w:val="00B507E8"/>
    <w:rsid w:val="00B50A72"/>
    <w:rsid w:val="00B50C29"/>
    <w:rsid w:val="00B50F26"/>
    <w:rsid w:val="00B5117D"/>
    <w:rsid w:val="00B511C1"/>
    <w:rsid w:val="00B511E0"/>
    <w:rsid w:val="00B51345"/>
    <w:rsid w:val="00B51734"/>
    <w:rsid w:val="00B51998"/>
    <w:rsid w:val="00B51AC9"/>
    <w:rsid w:val="00B51B21"/>
    <w:rsid w:val="00B51BB4"/>
    <w:rsid w:val="00B51C3B"/>
    <w:rsid w:val="00B51D57"/>
    <w:rsid w:val="00B51DB4"/>
    <w:rsid w:val="00B521F9"/>
    <w:rsid w:val="00B5229A"/>
    <w:rsid w:val="00B522AA"/>
    <w:rsid w:val="00B522E4"/>
    <w:rsid w:val="00B524AC"/>
    <w:rsid w:val="00B52501"/>
    <w:rsid w:val="00B526BD"/>
    <w:rsid w:val="00B5270E"/>
    <w:rsid w:val="00B52722"/>
    <w:rsid w:val="00B5278B"/>
    <w:rsid w:val="00B52840"/>
    <w:rsid w:val="00B5288E"/>
    <w:rsid w:val="00B52B7C"/>
    <w:rsid w:val="00B52DFB"/>
    <w:rsid w:val="00B532DB"/>
    <w:rsid w:val="00B53382"/>
    <w:rsid w:val="00B5342B"/>
    <w:rsid w:val="00B536E8"/>
    <w:rsid w:val="00B53890"/>
    <w:rsid w:val="00B53D24"/>
    <w:rsid w:val="00B54113"/>
    <w:rsid w:val="00B5411F"/>
    <w:rsid w:val="00B542FF"/>
    <w:rsid w:val="00B545CC"/>
    <w:rsid w:val="00B54717"/>
    <w:rsid w:val="00B54794"/>
    <w:rsid w:val="00B547CE"/>
    <w:rsid w:val="00B547FF"/>
    <w:rsid w:val="00B54949"/>
    <w:rsid w:val="00B5494B"/>
    <w:rsid w:val="00B54A54"/>
    <w:rsid w:val="00B54CD5"/>
    <w:rsid w:val="00B54D7B"/>
    <w:rsid w:val="00B54F4A"/>
    <w:rsid w:val="00B550D4"/>
    <w:rsid w:val="00B55281"/>
    <w:rsid w:val="00B552D8"/>
    <w:rsid w:val="00B553CB"/>
    <w:rsid w:val="00B554E6"/>
    <w:rsid w:val="00B555AE"/>
    <w:rsid w:val="00B55805"/>
    <w:rsid w:val="00B55A11"/>
    <w:rsid w:val="00B55AA1"/>
    <w:rsid w:val="00B55ABE"/>
    <w:rsid w:val="00B55FF2"/>
    <w:rsid w:val="00B56176"/>
    <w:rsid w:val="00B5688E"/>
    <w:rsid w:val="00B569E7"/>
    <w:rsid w:val="00B56A18"/>
    <w:rsid w:val="00B56B1C"/>
    <w:rsid w:val="00B56C82"/>
    <w:rsid w:val="00B56D45"/>
    <w:rsid w:val="00B56D48"/>
    <w:rsid w:val="00B56DF7"/>
    <w:rsid w:val="00B57011"/>
    <w:rsid w:val="00B57085"/>
    <w:rsid w:val="00B57105"/>
    <w:rsid w:val="00B5713E"/>
    <w:rsid w:val="00B571F6"/>
    <w:rsid w:val="00B57610"/>
    <w:rsid w:val="00B57692"/>
    <w:rsid w:val="00B5781C"/>
    <w:rsid w:val="00B57853"/>
    <w:rsid w:val="00B57918"/>
    <w:rsid w:val="00B579E2"/>
    <w:rsid w:val="00B579ED"/>
    <w:rsid w:val="00B57A09"/>
    <w:rsid w:val="00B57AEE"/>
    <w:rsid w:val="00B57AF4"/>
    <w:rsid w:val="00B60054"/>
    <w:rsid w:val="00B6031B"/>
    <w:rsid w:val="00B60638"/>
    <w:rsid w:val="00B6067B"/>
    <w:rsid w:val="00B60687"/>
    <w:rsid w:val="00B608D5"/>
    <w:rsid w:val="00B609A7"/>
    <w:rsid w:val="00B60A16"/>
    <w:rsid w:val="00B60C2D"/>
    <w:rsid w:val="00B60EE6"/>
    <w:rsid w:val="00B61045"/>
    <w:rsid w:val="00B610BD"/>
    <w:rsid w:val="00B61281"/>
    <w:rsid w:val="00B61300"/>
    <w:rsid w:val="00B6133E"/>
    <w:rsid w:val="00B61482"/>
    <w:rsid w:val="00B615D2"/>
    <w:rsid w:val="00B6164D"/>
    <w:rsid w:val="00B618D3"/>
    <w:rsid w:val="00B618F1"/>
    <w:rsid w:val="00B619FF"/>
    <w:rsid w:val="00B61D02"/>
    <w:rsid w:val="00B61F7A"/>
    <w:rsid w:val="00B62114"/>
    <w:rsid w:val="00B622FC"/>
    <w:rsid w:val="00B6239B"/>
    <w:rsid w:val="00B6251C"/>
    <w:rsid w:val="00B62531"/>
    <w:rsid w:val="00B627DA"/>
    <w:rsid w:val="00B6290C"/>
    <w:rsid w:val="00B629D0"/>
    <w:rsid w:val="00B62A9A"/>
    <w:rsid w:val="00B62B24"/>
    <w:rsid w:val="00B62B4D"/>
    <w:rsid w:val="00B63061"/>
    <w:rsid w:val="00B63183"/>
    <w:rsid w:val="00B63559"/>
    <w:rsid w:val="00B63563"/>
    <w:rsid w:val="00B63575"/>
    <w:rsid w:val="00B63583"/>
    <w:rsid w:val="00B6362C"/>
    <w:rsid w:val="00B6378C"/>
    <w:rsid w:val="00B638AD"/>
    <w:rsid w:val="00B63961"/>
    <w:rsid w:val="00B63D91"/>
    <w:rsid w:val="00B63D9D"/>
    <w:rsid w:val="00B63DCE"/>
    <w:rsid w:val="00B63E2C"/>
    <w:rsid w:val="00B63E79"/>
    <w:rsid w:val="00B63EC3"/>
    <w:rsid w:val="00B640DA"/>
    <w:rsid w:val="00B6414A"/>
    <w:rsid w:val="00B64245"/>
    <w:rsid w:val="00B642E3"/>
    <w:rsid w:val="00B64465"/>
    <w:rsid w:val="00B644A0"/>
    <w:rsid w:val="00B64565"/>
    <w:rsid w:val="00B646EF"/>
    <w:rsid w:val="00B6472B"/>
    <w:rsid w:val="00B64871"/>
    <w:rsid w:val="00B6488B"/>
    <w:rsid w:val="00B64963"/>
    <w:rsid w:val="00B64983"/>
    <w:rsid w:val="00B649C0"/>
    <w:rsid w:val="00B64A49"/>
    <w:rsid w:val="00B650E8"/>
    <w:rsid w:val="00B6513B"/>
    <w:rsid w:val="00B6535C"/>
    <w:rsid w:val="00B65410"/>
    <w:rsid w:val="00B65421"/>
    <w:rsid w:val="00B65433"/>
    <w:rsid w:val="00B65454"/>
    <w:rsid w:val="00B65552"/>
    <w:rsid w:val="00B655E2"/>
    <w:rsid w:val="00B657DA"/>
    <w:rsid w:val="00B658B3"/>
    <w:rsid w:val="00B659A5"/>
    <w:rsid w:val="00B65A82"/>
    <w:rsid w:val="00B65BB9"/>
    <w:rsid w:val="00B65BE0"/>
    <w:rsid w:val="00B65C0D"/>
    <w:rsid w:val="00B65CB4"/>
    <w:rsid w:val="00B65F24"/>
    <w:rsid w:val="00B66041"/>
    <w:rsid w:val="00B662F7"/>
    <w:rsid w:val="00B66429"/>
    <w:rsid w:val="00B66457"/>
    <w:rsid w:val="00B6654C"/>
    <w:rsid w:val="00B665E8"/>
    <w:rsid w:val="00B66731"/>
    <w:rsid w:val="00B6675D"/>
    <w:rsid w:val="00B668A8"/>
    <w:rsid w:val="00B66962"/>
    <w:rsid w:val="00B66B6A"/>
    <w:rsid w:val="00B66BED"/>
    <w:rsid w:val="00B66CF3"/>
    <w:rsid w:val="00B66E6E"/>
    <w:rsid w:val="00B66E9A"/>
    <w:rsid w:val="00B6710D"/>
    <w:rsid w:val="00B6724F"/>
    <w:rsid w:val="00B673FD"/>
    <w:rsid w:val="00B674A7"/>
    <w:rsid w:val="00B67910"/>
    <w:rsid w:val="00B67ACC"/>
    <w:rsid w:val="00B67DA9"/>
    <w:rsid w:val="00B67E62"/>
    <w:rsid w:val="00B70322"/>
    <w:rsid w:val="00B70570"/>
    <w:rsid w:val="00B705BD"/>
    <w:rsid w:val="00B706D6"/>
    <w:rsid w:val="00B70827"/>
    <w:rsid w:val="00B709C9"/>
    <w:rsid w:val="00B70B13"/>
    <w:rsid w:val="00B70BF9"/>
    <w:rsid w:val="00B70C34"/>
    <w:rsid w:val="00B70EF9"/>
    <w:rsid w:val="00B7127C"/>
    <w:rsid w:val="00B71448"/>
    <w:rsid w:val="00B714AB"/>
    <w:rsid w:val="00B71594"/>
    <w:rsid w:val="00B717A2"/>
    <w:rsid w:val="00B719FB"/>
    <w:rsid w:val="00B71AFA"/>
    <w:rsid w:val="00B71F4F"/>
    <w:rsid w:val="00B71FD1"/>
    <w:rsid w:val="00B7201F"/>
    <w:rsid w:val="00B722D6"/>
    <w:rsid w:val="00B7244C"/>
    <w:rsid w:val="00B7250E"/>
    <w:rsid w:val="00B726E0"/>
    <w:rsid w:val="00B727F2"/>
    <w:rsid w:val="00B72825"/>
    <w:rsid w:val="00B72A6C"/>
    <w:rsid w:val="00B72B74"/>
    <w:rsid w:val="00B72C06"/>
    <w:rsid w:val="00B72C16"/>
    <w:rsid w:val="00B7326B"/>
    <w:rsid w:val="00B732CE"/>
    <w:rsid w:val="00B735E5"/>
    <w:rsid w:val="00B737F8"/>
    <w:rsid w:val="00B7391B"/>
    <w:rsid w:val="00B7395C"/>
    <w:rsid w:val="00B73E46"/>
    <w:rsid w:val="00B73EAC"/>
    <w:rsid w:val="00B73ED2"/>
    <w:rsid w:val="00B74043"/>
    <w:rsid w:val="00B743DF"/>
    <w:rsid w:val="00B7443E"/>
    <w:rsid w:val="00B744B0"/>
    <w:rsid w:val="00B74680"/>
    <w:rsid w:val="00B746CD"/>
    <w:rsid w:val="00B7476E"/>
    <w:rsid w:val="00B74B0D"/>
    <w:rsid w:val="00B74C6C"/>
    <w:rsid w:val="00B75120"/>
    <w:rsid w:val="00B75448"/>
    <w:rsid w:val="00B7554D"/>
    <w:rsid w:val="00B75556"/>
    <w:rsid w:val="00B759A9"/>
    <w:rsid w:val="00B759FD"/>
    <w:rsid w:val="00B75B33"/>
    <w:rsid w:val="00B75D03"/>
    <w:rsid w:val="00B761A4"/>
    <w:rsid w:val="00B763C1"/>
    <w:rsid w:val="00B764EC"/>
    <w:rsid w:val="00B76714"/>
    <w:rsid w:val="00B768BD"/>
    <w:rsid w:val="00B76A7B"/>
    <w:rsid w:val="00B76BFF"/>
    <w:rsid w:val="00B76D4E"/>
    <w:rsid w:val="00B76D4F"/>
    <w:rsid w:val="00B76D5C"/>
    <w:rsid w:val="00B76D7C"/>
    <w:rsid w:val="00B76D8E"/>
    <w:rsid w:val="00B76F0C"/>
    <w:rsid w:val="00B77149"/>
    <w:rsid w:val="00B77422"/>
    <w:rsid w:val="00B77704"/>
    <w:rsid w:val="00B77AC0"/>
    <w:rsid w:val="00B77C56"/>
    <w:rsid w:val="00B77D64"/>
    <w:rsid w:val="00B800C6"/>
    <w:rsid w:val="00B80142"/>
    <w:rsid w:val="00B804CC"/>
    <w:rsid w:val="00B8052C"/>
    <w:rsid w:val="00B80653"/>
    <w:rsid w:val="00B808DE"/>
    <w:rsid w:val="00B80920"/>
    <w:rsid w:val="00B80B3A"/>
    <w:rsid w:val="00B80CC8"/>
    <w:rsid w:val="00B80DA2"/>
    <w:rsid w:val="00B80F60"/>
    <w:rsid w:val="00B80F86"/>
    <w:rsid w:val="00B810BA"/>
    <w:rsid w:val="00B810D0"/>
    <w:rsid w:val="00B813FD"/>
    <w:rsid w:val="00B814D0"/>
    <w:rsid w:val="00B81527"/>
    <w:rsid w:val="00B81656"/>
    <w:rsid w:val="00B81728"/>
    <w:rsid w:val="00B81776"/>
    <w:rsid w:val="00B817DF"/>
    <w:rsid w:val="00B81881"/>
    <w:rsid w:val="00B819F7"/>
    <w:rsid w:val="00B81A24"/>
    <w:rsid w:val="00B8209E"/>
    <w:rsid w:val="00B82149"/>
    <w:rsid w:val="00B8223C"/>
    <w:rsid w:val="00B82B6C"/>
    <w:rsid w:val="00B82BD5"/>
    <w:rsid w:val="00B82DDA"/>
    <w:rsid w:val="00B82F76"/>
    <w:rsid w:val="00B830CA"/>
    <w:rsid w:val="00B832F5"/>
    <w:rsid w:val="00B83414"/>
    <w:rsid w:val="00B8350D"/>
    <w:rsid w:val="00B8353F"/>
    <w:rsid w:val="00B83B78"/>
    <w:rsid w:val="00B83EC0"/>
    <w:rsid w:val="00B83F11"/>
    <w:rsid w:val="00B83FC6"/>
    <w:rsid w:val="00B84052"/>
    <w:rsid w:val="00B842F9"/>
    <w:rsid w:val="00B84308"/>
    <w:rsid w:val="00B84505"/>
    <w:rsid w:val="00B84565"/>
    <w:rsid w:val="00B8458F"/>
    <w:rsid w:val="00B84783"/>
    <w:rsid w:val="00B848A6"/>
    <w:rsid w:val="00B84949"/>
    <w:rsid w:val="00B84C61"/>
    <w:rsid w:val="00B84EA5"/>
    <w:rsid w:val="00B84F16"/>
    <w:rsid w:val="00B84F19"/>
    <w:rsid w:val="00B8508A"/>
    <w:rsid w:val="00B850C6"/>
    <w:rsid w:val="00B85175"/>
    <w:rsid w:val="00B851D1"/>
    <w:rsid w:val="00B8522B"/>
    <w:rsid w:val="00B85390"/>
    <w:rsid w:val="00B85550"/>
    <w:rsid w:val="00B8558B"/>
    <w:rsid w:val="00B85648"/>
    <w:rsid w:val="00B856FA"/>
    <w:rsid w:val="00B85A60"/>
    <w:rsid w:val="00B85C71"/>
    <w:rsid w:val="00B85CC7"/>
    <w:rsid w:val="00B85D7E"/>
    <w:rsid w:val="00B86078"/>
    <w:rsid w:val="00B86089"/>
    <w:rsid w:val="00B8608B"/>
    <w:rsid w:val="00B861DD"/>
    <w:rsid w:val="00B862A1"/>
    <w:rsid w:val="00B862EE"/>
    <w:rsid w:val="00B86390"/>
    <w:rsid w:val="00B865D0"/>
    <w:rsid w:val="00B86710"/>
    <w:rsid w:val="00B86924"/>
    <w:rsid w:val="00B86ED6"/>
    <w:rsid w:val="00B87447"/>
    <w:rsid w:val="00B87616"/>
    <w:rsid w:val="00B87640"/>
    <w:rsid w:val="00B87D0D"/>
    <w:rsid w:val="00B87DF6"/>
    <w:rsid w:val="00B87F47"/>
    <w:rsid w:val="00B9000D"/>
    <w:rsid w:val="00B90061"/>
    <w:rsid w:val="00B90257"/>
    <w:rsid w:val="00B9032F"/>
    <w:rsid w:val="00B904EC"/>
    <w:rsid w:val="00B905B2"/>
    <w:rsid w:val="00B90CBA"/>
    <w:rsid w:val="00B90DF4"/>
    <w:rsid w:val="00B90E5E"/>
    <w:rsid w:val="00B90F80"/>
    <w:rsid w:val="00B90FBF"/>
    <w:rsid w:val="00B90FC1"/>
    <w:rsid w:val="00B91019"/>
    <w:rsid w:val="00B910B8"/>
    <w:rsid w:val="00B91112"/>
    <w:rsid w:val="00B911C6"/>
    <w:rsid w:val="00B911F4"/>
    <w:rsid w:val="00B912EA"/>
    <w:rsid w:val="00B91354"/>
    <w:rsid w:val="00B91501"/>
    <w:rsid w:val="00B915B8"/>
    <w:rsid w:val="00B916BE"/>
    <w:rsid w:val="00B918A8"/>
    <w:rsid w:val="00B918E1"/>
    <w:rsid w:val="00B91982"/>
    <w:rsid w:val="00B919FD"/>
    <w:rsid w:val="00B91AB8"/>
    <w:rsid w:val="00B91BAD"/>
    <w:rsid w:val="00B91BEF"/>
    <w:rsid w:val="00B91C7D"/>
    <w:rsid w:val="00B91DAF"/>
    <w:rsid w:val="00B91DC2"/>
    <w:rsid w:val="00B92042"/>
    <w:rsid w:val="00B92260"/>
    <w:rsid w:val="00B92411"/>
    <w:rsid w:val="00B92471"/>
    <w:rsid w:val="00B929B7"/>
    <w:rsid w:val="00B92B83"/>
    <w:rsid w:val="00B92CA6"/>
    <w:rsid w:val="00B92D85"/>
    <w:rsid w:val="00B92F51"/>
    <w:rsid w:val="00B92FBD"/>
    <w:rsid w:val="00B92FC2"/>
    <w:rsid w:val="00B930DE"/>
    <w:rsid w:val="00B93151"/>
    <w:rsid w:val="00B93348"/>
    <w:rsid w:val="00B933C6"/>
    <w:rsid w:val="00B9351C"/>
    <w:rsid w:val="00B9366A"/>
    <w:rsid w:val="00B937EE"/>
    <w:rsid w:val="00B938D8"/>
    <w:rsid w:val="00B93A3E"/>
    <w:rsid w:val="00B93A75"/>
    <w:rsid w:val="00B93CC0"/>
    <w:rsid w:val="00B93E36"/>
    <w:rsid w:val="00B93F6B"/>
    <w:rsid w:val="00B94031"/>
    <w:rsid w:val="00B94111"/>
    <w:rsid w:val="00B941BC"/>
    <w:rsid w:val="00B94296"/>
    <w:rsid w:val="00B942A8"/>
    <w:rsid w:val="00B94616"/>
    <w:rsid w:val="00B94630"/>
    <w:rsid w:val="00B947E1"/>
    <w:rsid w:val="00B949A1"/>
    <w:rsid w:val="00B94A6A"/>
    <w:rsid w:val="00B94D68"/>
    <w:rsid w:val="00B94E2A"/>
    <w:rsid w:val="00B94F0A"/>
    <w:rsid w:val="00B95118"/>
    <w:rsid w:val="00B95260"/>
    <w:rsid w:val="00B9539C"/>
    <w:rsid w:val="00B953B3"/>
    <w:rsid w:val="00B95516"/>
    <w:rsid w:val="00B955D3"/>
    <w:rsid w:val="00B955D9"/>
    <w:rsid w:val="00B95772"/>
    <w:rsid w:val="00B95827"/>
    <w:rsid w:val="00B9595B"/>
    <w:rsid w:val="00B9597B"/>
    <w:rsid w:val="00B95B6C"/>
    <w:rsid w:val="00B95BC9"/>
    <w:rsid w:val="00B95D3D"/>
    <w:rsid w:val="00B95E27"/>
    <w:rsid w:val="00B95FA6"/>
    <w:rsid w:val="00B95FED"/>
    <w:rsid w:val="00B96108"/>
    <w:rsid w:val="00B9624B"/>
    <w:rsid w:val="00B96315"/>
    <w:rsid w:val="00B96389"/>
    <w:rsid w:val="00B96507"/>
    <w:rsid w:val="00B96670"/>
    <w:rsid w:val="00B96865"/>
    <w:rsid w:val="00B96930"/>
    <w:rsid w:val="00B96BC3"/>
    <w:rsid w:val="00B96CEF"/>
    <w:rsid w:val="00B96EC6"/>
    <w:rsid w:val="00B97187"/>
    <w:rsid w:val="00B971C9"/>
    <w:rsid w:val="00B9732E"/>
    <w:rsid w:val="00B97560"/>
    <w:rsid w:val="00B975FC"/>
    <w:rsid w:val="00B97867"/>
    <w:rsid w:val="00B978B2"/>
    <w:rsid w:val="00B97930"/>
    <w:rsid w:val="00B97D09"/>
    <w:rsid w:val="00B97E7A"/>
    <w:rsid w:val="00BA0010"/>
    <w:rsid w:val="00BA0247"/>
    <w:rsid w:val="00BA03C6"/>
    <w:rsid w:val="00BA048A"/>
    <w:rsid w:val="00BA0612"/>
    <w:rsid w:val="00BA06E4"/>
    <w:rsid w:val="00BA0708"/>
    <w:rsid w:val="00BA0A91"/>
    <w:rsid w:val="00BA0B68"/>
    <w:rsid w:val="00BA0B87"/>
    <w:rsid w:val="00BA0D85"/>
    <w:rsid w:val="00BA0D8D"/>
    <w:rsid w:val="00BA11C3"/>
    <w:rsid w:val="00BA1284"/>
    <w:rsid w:val="00BA12FF"/>
    <w:rsid w:val="00BA1671"/>
    <w:rsid w:val="00BA1819"/>
    <w:rsid w:val="00BA18F6"/>
    <w:rsid w:val="00BA1AF9"/>
    <w:rsid w:val="00BA1B6F"/>
    <w:rsid w:val="00BA1D2B"/>
    <w:rsid w:val="00BA2060"/>
    <w:rsid w:val="00BA2409"/>
    <w:rsid w:val="00BA25DC"/>
    <w:rsid w:val="00BA264F"/>
    <w:rsid w:val="00BA26BE"/>
    <w:rsid w:val="00BA270A"/>
    <w:rsid w:val="00BA2A5B"/>
    <w:rsid w:val="00BA2BEB"/>
    <w:rsid w:val="00BA2F1A"/>
    <w:rsid w:val="00BA2F1C"/>
    <w:rsid w:val="00BA30D7"/>
    <w:rsid w:val="00BA3280"/>
    <w:rsid w:val="00BA35AD"/>
    <w:rsid w:val="00BA3970"/>
    <w:rsid w:val="00BA3AA5"/>
    <w:rsid w:val="00BA3CC8"/>
    <w:rsid w:val="00BA3D9A"/>
    <w:rsid w:val="00BA3DCC"/>
    <w:rsid w:val="00BA3E0B"/>
    <w:rsid w:val="00BA3E4F"/>
    <w:rsid w:val="00BA3FE3"/>
    <w:rsid w:val="00BA4394"/>
    <w:rsid w:val="00BA44E7"/>
    <w:rsid w:val="00BA4503"/>
    <w:rsid w:val="00BA4854"/>
    <w:rsid w:val="00BA48B0"/>
    <w:rsid w:val="00BA4A99"/>
    <w:rsid w:val="00BA4AAF"/>
    <w:rsid w:val="00BA4B6E"/>
    <w:rsid w:val="00BA4ECD"/>
    <w:rsid w:val="00BA4F5F"/>
    <w:rsid w:val="00BA4F66"/>
    <w:rsid w:val="00BA5059"/>
    <w:rsid w:val="00BA5097"/>
    <w:rsid w:val="00BA52AB"/>
    <w:rsid w:val="00BA52FE"/>
    <w:rsid w:val="00BA5327"/>
    <w:rsid w:val="00BA548C"/>
    <w:rsid w:val="00BA549E"/>
    <w:rsid w:val="00BA5946"/>
    <w:rsid w:val="00BA59F6"/>
    <w:rsid w:val="00BA5C4F"/>
    <w:rsid w:val="00BA5C74"/>
    <w:rsid w:val="00BA5D5F"/>
    <w:rsid w:val="00BA5FFD"/>
    <w:rsid w:val="00BA6152"/>
    <w:rsid w:val="00BA6184"/>
    <w:rsid w:val="00BA62F3"/>
    <w:rsid w:val="00BA6347"/>
    <w:rsid w:val="00BA6561"/>
    <w:rsid w:val="00BA6792"/>
    <w:rsid w:val="00BA67D7"/>
    <w:rsid w:val="00BA684A"/>
    <w:rsid w:val="00BA6D9D"/>
    <w:rsid w:val="00BA7103"/>
    <w:rsid w:val="00BA7160"/>
    <w:rsid w:val="00BA74BF"/>
    <w:rsid w:val="00BA7568"/>
    <w:rsid w:val="00BA79D4"/>
    <w:rsid w:val="00BA7A1A"/>
    <w:rsid w:val="00BA7E3B"/>
    <w:rsid w:val="00BA7F1B"/>
    <w:rsid w:val="00BA7F59"/>
    <w:rsid w:val="00BB00E6"/>
    <w:rsid w:val="00BB012D"/>
    <w:rsid w:val="00BB0193"/>
    <w:rsid w:val="00BB02EC"/>
    <w:rsid w:val="00BB0448"/>
    <w:rsid w:val="00BB068E"/>
    <w:rsid w:val="00BB08D5"/>
    <w:rsid w:val="00BB09C4"/>
    <w:rsid w:val="00BB09CF"/>
    <w:rsid w:val="00BB09FE"/>
    <w:rsid w:val="00BB0A14"/>
    <w:rsid w:val="00BB0C14"/>
    <w:rsid w:val="00BB0E16"/>
    <w:rsid w:val="00BB0E79"/>
    <w:rsid w:val="00BB0EDE"/>
    <w:rsid w:val="00BB1091"/>
    <w:rsid w:val="00BB1117"/>
    <w:rsid w:val="00BB14F1"/>
    <w:rsid w:val="00BB1503"/>
    <w:rsid w:val="00BB15C8"/>
    <w:rsid w:val="00BB1903"/>
    <w:rsid w:val="00BB1B8D"/>
    <w:rsid w:val="00BB22D7"/>
    <w:rsid w:val="00BB248F"/>
    <w:rsid w:val="00BB2714"/>
    <w:rsid w:val="00BB28C3"/>
    <w:rsid w:val="00BB2973"/>
    <w:rsid w:val="00BB2ACB"/>
    <w:rsid w:val="00BB2F53"/>
    <w:rsid w:val="00BB2FB2"/>
    <w:rsid w:val="00BB2FDE"/>
    <w:rsid w:val="00BB3054"/>
    <w:rsid w:val="00BB31E8"/>
    <w:rsid w:val="00BB31F1"/>
    <w:rsid w:val="00BB3214"/>
    <w:rsid w:val="00BB35D7"/>
    <w:rsid w:val="00BB363F"/>
    <w:rsid w:val="00BB38B0"/>
    <w:rsid w:val="00BB38B9"/>
    <w:rsid w:val="00BB3A2C"/>
    <w:rsid w:val="00BB3A6A"/>
    <w:rsid w:val="00BB3CEB"/>
    <w:rsid w:val="00BB3D69"/>
    <w:rsid w:val="00BB3DAA"/>
    <w:rsid w:val="00BB3F91"/>
    <w:rsid w:val="00BB40D9"/>
    <w:rsid w:val="00BB40F0"/>
    <w:rsid w:val="00BB427B"/>
    <w:rsid w:val="00BB466C"/>
    <w:rsid w:val="00BB482D"/>
    <w:rsid w:val="00BB498A"/>
    <w:rsid w:val="00BB4F3E"/>
    <w:rsid w:val="00BB4F4F"/>
    <w:rsid w:val="00BB5304"/>
    <w:rsid w:val="00BB5385"/>
    <w:rsid w:val="00BB53DA"/>
    <w:rsid w:val="00BB5511"/>
    <w:rsid w:val="00BB556C"/>
    <w:rsid w:val="00BB576A"/>
    <w:rsid w:val="00BB5977"/>
    <w:rsid w:val="00BB59F9"/>
    <w:rsid w:val="00BB5A37"/>
    <w:rsid w:val="00BB5D34"/>
    <w:rsid w:val="00BB604B"/>
    <w:rsid w:val="00BB60BA"/>
    <w:rsid w:val="00BB610B"/>
    <w:rsid w:val="00BB6378"/>
    <w:rsid w:val="00BB6417"/>
    <w:rsid w:val="00BB645D"/>
    <w:rsid w:val="00BB66BC"/>
    <w:rsid w:val="00BB68F7"/>
    <w:rsid w:val="00BB6971"/>
    <w:rsid w:val="00BB6C4F"/>
    <w:rsid w:val="00BB6CEC"/>
    <w:rsid w:val="00BB6D18"/>
    <w:rsid w:val="00BB6D90"/>
    <w:rsid w:val="00BB6F84"/>
    <w:rsid w:val="00BB6FD1"/>
    <w:rsid w:val="00BB6FED"/>
    <w:rsid w:val="00BB732B"/>
    <w:rsid w:val="00BB73FA"/>
    <w:rsid w:val="00BB7409"/>
    <w:rsid w:val="00BB7549"/>
    <w:rsid w:val="00BB7A02"/>
    <w:rsid w:val="00BB7A3B"/>
    <w:rsid w:val="00BB7CA5"/>
    <w:rsid w:val="00BC010E"/>
    <w:rsid w:val="00BC0286"/>
    <w:rsid w:val="00BC0369"/>
    <w:rsid w:val="00BC04C4"/>
    <w:rsid w:val="00BC07FB"/>
    <w:rsid w:val="00BC0949"/>
    <w:rsid w:val="00BC0BCA"/>
    <w:rsid w:val="00BC0BEF"/>
    <w:rsid w:val="00BC0CEA"/>
    <w:rsid w:val="00BC0D79"/>
    <w:rsid w:val="00BC0E0D"/>
    <w:rsid w:val="00BC0EE3"/>
    <w:rsid w:val="00BC1057"/>
    <w:rsid w:val="00BC105B"/>
    <w:rsid w:val="00BC12F8"/>
    <w:rsid w:val="00BC1529"/>
    <w:rsid w:val="00BC1641"/>
    <w:rsid w:val="00BC17D0"/>
    <w:rsid w:val="00BC18B0"/>
    <w:rsid w:val="00BC1A73"/>
    <w:rsid w:val="00BC1B0B"/>
    <w:rsid w:val="00BC1FC1"/>
    <w:rsid w:val="00BC1FF2"/>
    <w:rsid w:val="00BC2006"/>
    <w:rsid w:val="00BC21C5"/>
    <w:rsid w:val="00BC22CB"/>
    <w:rsid w:val="00BC2301"/>
    <w:rsid w:val="00BC245C"/>
    <w:rsid w:val="00BC2556"/>
    <w:rsid w:val="00BC25E6"/>
    <w:rsid w:val="00BC2777"/>
    <w:rsid w:val="00BC27C8"/>
    <w:rsid w:val="00BC2B89"/>
    <w:rsid w:val="00BC2C30"/>
    <w:rsid w:val="00BC2CFD"/>
    <w:rsid w:val="00BC2E6E"/>
    <w:rsid w:val="00BC2FAD"/>
    <w:rsid w:val="00BC3154"/>
    <w:rsid w:val="00BC3324"/>
    <w:rsid w:val="00BC34EC"/>
    <w:rsid w:val="00BC3561"/>
    <w:rsid w:val="00BC35C4"/>
    <w:rsid w:val="00BC3B3A"/>
    <w:rsid w:val="00BC3CAE"/>
    <w:rsid w:val="00BC4031"/>
    <w:rsid w:val="00BC40D9"/>
    <w:rsid w:val="00BC41B5"/>
    <w:rsid w:val="00BC41EE"/>
    <w:rsid w:val="00BC422F"/>
    <w:rsid w:val="00BC4397"/>
    <w:rsid w:val="00BC44B7"/>
    <w:rsid w:val="00BC4525"/>
    <w:rsid w:val="00BC466F"/>
    <w:rsid w:val="00BC4797"/>
    <w:rsid w:val="00BC4866"/>
    <w:rsid w:val="00BC49C5"/>
    <w:rsid w:val="00BC49F5"/>
    <w:rsid w:val="00BC4BDD"/>
    <w:rsid w:val="00BC5146"/>
    <w:rsid w:val="00BC52C7"/>
    <w:rsid w:val="00BC52E2"/>
    <w:rsid w:val="00BC53F8"/>
    <w:rsid w:val="00BC5462"/>
    <w:rsid w:val="00BC5518"/>
    <w:rsid w:val="00BC58AC"/>
    <w:rsid w:val="00BC5A20"/>
    <w:rsid w:val="00BC5C67"/>
    <w:rsid w:val="00BC5C81"/>
    <w:rsid w:val="00BC5C8F"/>
    <w:rsid w:val="00BC5D89"/>
    <w:rsid w:val="00BC5DD8"/>
    <w:rsid w:val="00BC6029"/>
    <w:rsid w:val="00BC60CF"/>
    <w:rsid w:val="00BC61D2"/>
    <w:rsid w:val="00BC627C"/>
    <w:rsid w:val="00BC663F"/>
    <w:rsid w:val="00BC69BF"/>
    <w:rsid w:val="00BC6D5C"/>
    <w:rsid w:val="00BC6E3D"/>
    <w:rsid w:val="00BC723F"/>
    <w:rsid w:val="00BC72A3"/>
    <w:rsid w:val="00BC72A8"/>
    <w:rsid w:val="00BC749F"/>
    <w:rsid w:val="00BC74C4"/>
    <w:rsid w:val="00BC77E9"/>
    <w:rsid w:val="00BC7C1C"/>
    <w:rsid w:val="00BC7DB9"/>
    <w:rsid w:val="00BD002C"/>
    <w:rsid w:val="00BD019E"/>
    <w:rsid w:val="00BD0223"/>
    <w:rsid w:val="00BD026B"/>
    <w:rsid w:val="00BD02A8"/>
    <w:rsid w:val="00BD069F"/>
    <w:rsid w:val="00BD06B1"/>
    <w:rsid w:val="00BD07AB"/>
    <w:rsid w:val="00BD0811"/>
    <w:rsid w:val="00BD096C"/>
    <w:rsid w:val="00BD096E"/>
    <w:rsid w:val="00BD0A1C"/>
    <w:rsid w:val="00BD0AC2"/>
    <w:rsid w:val="00BD0B09"/>
    <w:rsid w:val="00BD0C12"/>
    <w:rsid w:val="00BD0D3B"/>
    <w:rsid w:val="00BD0F40"/>
    <w:rsid w:val="00BD0F4C"/>
    <w:rsid w:val="00BD0FF9"/>
    <w:rsid w:val="00BD1581"/>
    <w:rsid w:val="00BD163D"/>
    <w:rsid w:val="00BD1757"/>
    <w:rsid w:val="00BD188C"/>
    <w:rsid w:val="00BD1A2A"/>
    <w:rsid w:val="00BD1B82"/>
    <w:rsid w:val="00BD1C56"/>
    <w:rsid w:val="00BD1D17"/>
    <w:rsid w:val="00BD1EAB"/>
    <w:rsid w:val="00BD1EB8"/>
    <w:rsid w:val="00BD20A8"/>
    <w:rsid w:val="00BD216F"/>
    <w:rsid w:val="00BD2269"/>
    <w:rsid w:val="00BD22E5"/>
    <w:rsid w:val="00BD234F"/>
    <w:rsid w:val="00BD264B"/>
    <w:rsid w:val="00BD2687"/>
    <w:rsid w:val="00BD26D8"/>
    <w:rsid w:val="00BD29C5"/>
    <w:rsid w:val="00BD2A69"/>
    <w:rsid w:val="00BD2ACF"/>
    <w:rsid w:val="00BD2B50"/>
    <w:rsid w:val="00BD2C6B"/>
    <w:rsid w:val="00BD2E7E"/>
    <w:rsid w:val="00BD2F3B"/>
    <w:rsid w:val="00BD324C"/>
    <w:rsid w:val="00BD342E"/>
    <w:rsid w:val="00BD35C3"/>
    <w:rsid w:val="00BD3808"/>
    <w:rsid w:val="00BD382F"/>
    <w:rsid w:val="00BD3876"/>
    <w:rsid w:val="00BD3AD1"/>
    <w:rsid w:val="00BD3B8D"/>
    <w:rsid w:val="00BD3B92"/>
    <w:rsid w:val="00BD3BE4"/>
    <w:rsid w:val="00BD3C01"/>
    <w:rsid w:val="00BD3F56"/>
    <w:rsid w:val="00BD3F68"/>
    <w:rsid w:val="00BD3F98"/>
    <w:rsid w:val="00BD405D"/>
    <w:rsid w:val="00BD465B"/>
    <w:rsid w:val="00BD4796"/>
    <w:rsid w:val="00BD47DA"/>
    <w:rsid w:val="00BD4943"/>
    <w:rsid w:val="00BD4CAB"/>
    <w:rsid w:val="00BD4CBB"/>
    <w:rsid w:val="00BD4CC5"/>
    <w:rsid w:val="00BD4D91"/>
    <w:rsid w:val="00BD505C"/>
    <w:rsid w:val="00BD53DA"/>
    <w:rsid w:val="00BD5583"/>
    <w:rsid w:val="00BD5735"/>
    <w:rsid w:val="00BD5777"/>
    <w:rsid w:val="00BD5A1B"/>
    <w:rsid w:val="00BD5EE3"/>
    <w:rsid w:val="00BD6328"/>
    <w:rsid w:val="00BD6403"/>
    <w:rsid w:val="00BD657A"/>
    <w:rsid w:val="00BD6677"/>
    <w:rsid w:val="00BD684D"/>
    <w:rsid w:val="00BD696E"/>
    <w:rsid w:val="00BD69FA"/>
    <w:rsid w:val="00BD6ACC"/>
    <w:rsid w:val="00BD6D28"/>
    <w:rsid w:val="00BD6F40"/>
    <w:rsid w:val="00BD7001"/>
    <w:rsid w:val="00BD726A"/>
    <w:rsid w:val="00BD7438"/>
    <w:rsid w:val="00BD764F"/>
    <w:rsid w:val="00BD7774"/>
    <w:rsid w:val="00BD7A38"/>
    <w:rsid w:val="00BD7B8E"/>
    <w:rsid w:val="00BD7D3D"/>
    <w:rsid w:val="00BD7EDE"/>
    <w:rsid w:val="00BD7F12"/>
    <w:rsid w:val="00BE018A"/>
    <w:rsid w:val="00BE051B"/>
    <w:rsid w:val="00BE0531"/>
    <w:rsid w:val="00BE05AC"/>
    <w:rsid w:val="00BE0C14"/>
    <w:rsid w:val="00BE0FFD"/>
    <w:rsid w:val="00BE1316"/>
    <w:rsid w:val="00BE13B4"/>
    <w:rsid w:val="00BE14A9"/>
    <w:rsid w:val="00BE171F"/>
    <w:rsid w:val="00BE19E5"/>
    <w:rsid w:val="00BE1ED7"/>
    <w:rsid w:val="00BE1EFE"/>
    <w:rsid w:val="00BE1F98"/>
    <w:rsid w:val="00BE2197"/>
    <w:rsid w:val="00BE2251"/>
    <w:rsid w:val="00BE2275"/>
    <w:rsid w:val="00BE22C8"/>
    <w:rsid w:val="00BE2352"/>
    <w:rsid w:val="00BE2410"/>
    <w:rsid w:val="00BE2411"/>
    <w:rsid w:val="00BE277A"/>
    <w:rsid w:val="00BE2AB7"/>
    <w:rsid w:val="00BE2F44"/>
    <w:rsid w:val="00BE30B5"/>
    <w:rsid w:val="00BE31BE"/>
    <w:rsid w:val="00BE36D5"/>
    <w:rsid w:val="00BE3786"/>
    <w:rsid w:val="00BE37A4"/>
    <w:rsid w:val="00BE37D3"/>
    <w:rsid w:val="00BE3D78"/>
    <w:rsid w:val="00BE3DE7"/>
    <w:rsid w:val="00BE3E0B"/>
    <w:rsid w:val="00BE3E6D"/>
    <w:rsid w:val="00BE3FC2"/>
    <w:rsid w:val="00BE404A"/>
    <w:rsid w:val="00BE4311"/>
    <w:rsid w:val="00BE4366"/>
    <w:rsid w:val="00BE4392"/>
    <w:rsid w:val="00BE44A1"/>
    <w:rsid w:val="00BE44A7"/>
    <w:rsid w:val="00BE4587"/>
    <w:rsid w:val="00BE469D"/>
    <w:rsid w:val="00BE48DB"/>
    <w:rsid w:val="00BE4A5A"/>
    <w:rsid w:val="00BE4DAE"/>
    <w:rsid w:val="00BE4E85"/>
    <w:rsid w:val="00BE5032"/>
    <w:rsid w:val="00BE504B"/>
    <w:rsid w:val="00BE5197"/>
    <w:rsid w:val="00BE5315"/>
    <w:rsid w:val="00BE533C"/>
    <w:rsid w:val="00BE5400"/>
    <w:rsid w:val="00BE541F"/>
    <w:rsid w:val="00BE5592"/>
    <w:rsid w:val="00BE5860"/>
    <w:rsid w:val="00BE5E9D"/>
    <w:rsid w:val="00BE6492"/>
    <w:rsid w:val="00BE65D3"/>
    <w:rsid w:val="00BE68C7"/>
    <w:rsid w:val="00BE68F3"/>
    <w:rsid w:val="00BE6CF6"/>
    <w:rsid w:val="00BE6DF4"/>
    <w:rsid w:val="00BE7008"/>
    <w:rsid w:val="00BE700D"/>
    <w:rsid w:val="00BE7295"/>
    <w:rsid w:val="00BE72AD"/>
    <w:rsid w:val="00BE7A5B"/>
    <w:rsid w:val="00BE7C98"/>
    <w:rsid w:val="00BE7F77"/>
    <w:rsid w:val="00BF009C"/>
    <w:rsid w:val="00BF0193"/>
    <w:rsid w:val="00BF01B0"/>
    <w:rsid w:val="00BF029D"/>
    <w:rsid w:val="00BF0316"/>
    <w:rsid w:val="00BF0454"/>
    <w:rsid w:val="00BF0925"/>
    <w:rsid w:val="00BF0A5C"/>
    <w:rsid w:val="00BF0D8F"/>
    <w:rsid w:val="00BF106F"/>
    <w:rsid w:val="00BF1082"/>
    <w:rsid w:val="00BF125B"/>
    <w:rsid w:val="00BF1478"/>
    <w:rsid w:val="00BF14E7"/>
    <w:rsid w:val="00BF1731"/>
    <w:rsid w:val="00BF17C2"/>
    <w:rsid w:val="00BF17D7"/>
    <w:rsid w:val="00BF1895"/>
    <w:rsid w:val="00BF1AE4"/>
    <w:rsid w:val="00BF1C44"/>
    <w:rsid w:val="00BF1CAD"/>
    <w:rsid w:val="00BF1CE8"/>
    <w:rsid w:val="00BF1D19"/>
    <w:rsid w:val="00BF1E53"/>
    <w:rsid w:val="00BF2008"/>
    <w:rsid w:val="00BF20CB"/>
    <w:rsid w:val="00BF226A"/>
    <w:rsid w:val="00BF234D"/>
    <w:rsid w:val="00BF24F5"/>
    <w:rsid w:val="00BF256F"/>
    <w:rsid w:val="00BF26A3"/>
    <w:rsid w:val="00BF2BBA"/>
    <w:rsid w:val="00BF2CF3"/>
    <w:rsid w:val="00BF3168"/>
    <w:rsid w:val="00BF32E0"/>
    <w:rsid w:val="00BF3528"/>
    <w:rsid w:val="00BF3629"/>
    <w:rsid w:val="00BF36F6"/>
    <w:rsid w:val="00BF37EB"/>
    <w:rsid w:val="00BF3D24"/>
    <w:rsid w:val="00BF3F60"/>
    <w:rsid w:val="00BF401B"/>
    <w:rsid w:val="00BF4106"/>
    <w:rsid w:val="00BF41FC"/>
    <w:rsid w:val="00BF4359"/>
    <w:rsid w:val="00BF4655"/>
    <w:rsid w:val="00BF48EE"/>
    <w:rsid w:val="00BF4965"/>
    <w:rsid w:val="00BF49A6"/>
    <w:rsid w:val="00BF4C30"/>
    <w:rsid w:val="00BF4CA2"/>
    <w:rsid w:val="00BF4F2D"/>
    <w:rsid w:val="00BF4F9A"/>
    <w:rsid w:val="00BF50F9"/>
    <w:rsid w:val="00BF52D5"/>
    <w:rsid w:val="00BF5318"/>
    <w:rsid w:val="00BF540E"/>
    <w:rsid w:val="00BF546F"/>
    <w:rsid w:val="00BF54B2"/>
    <w:rsid w:val="00BF5686"/>
    <w:rsid w:val="00BF56B0"/>
    <w:rsid w:val="00BF572B"/>
    <w:rsid w:val="00BF57C6"/>
    <w:rsid w:val="00BF588A"/>
    <w:rsid w:val="00BF5B42"/>
    <w:rsid w:val="00BF5E7B"/>
    <w:rsid w:val="00BF6132"/>
    <w:rsid w:val="00BF63E3"/>
    <w:rsid w:val="00BF6468"/>
    <w:rsid w:val="00BF6631"/>
    <w:rsid w:val="00BF677C"/>
    <w:rsid w:val="00BF6FE7"/>
    <w:rsid w:val="00BF7168"/>
    <w:rsid w:val="00BF7195"/>
    <w:rsid w:val="00BF724E"/>
    <w:rsid w:val="00BF7348"/>
    <w:rsid w:val="00BF7447"/>
    <w:rsid w:val="00BF7599"/>
    <w:rsid w:val="00BF7637"/>
    <w:rsid w:val="00BF76A9"/>
    <w:rsid w:val="00BF79EB"/>
    <w:rsid w:val="00BF7BA4"/>
    <w:rsid w:val="00BF7C65"/>
    <w:rsid w:val="00BF7E52"/>
    <w:rsid w:val="00BF7F9B"/>
    <w:rsid w:val="00C00673"/>
    <w:rsid w:val="00C00907"/>
    <w:rsid w:val="00C00A96"/>
    <w:rsid w:val="00C00B2C"/>
    <w:rsid w:val="00C00D2F"/>
    <w:rsid w:val="00C00DCC"/>
    <w:rsid w:val="00C00E4E"/>
    <w:rsid w:val="00C00F97"/>
    <w:rsid w:val="00C01016"/>
    <w:rsid w:val="00C010EE"/>
    <w:rsid w:val="00C01323"/>
    <w:rsid w:val="00C01375"/>
    <w:rsid w:val="00C01556"/>
    <w:rsid w:val="00C0177D"/>
    <w:rsid w:val="00C018B7"/>
    <w:rsid w:val="00C018DE"/>
    <w:rsid w:val="00C01CF8"/>
    <w:rsid w:val="00C01DD6"/>
    <w:rsid w:val="00C01E50"/>
    <w:rsid w:val="00C01ECA"/>
    <w:rsid w:val="00C01EEE"/>
    <w:rsid w:val="00C02034"/>
    <w:rsid w:val="00C02180"/>
    <w:rsid w:val="00C024BB"/>
    <w:rsid w:val="00C02761"/>
    <w:rsid w:val="00C0298C"/>
    <w:rsid w:val="00C02ACD"/>
    <w:rsid w:val="00C030E5"/>
    <w:rsid w:val="00C03138"/>
    <w:rsid w:val="00C032EB"/>
    <w:rsid w:val="00C03487"/>
    <w:rsid w:val="00C0348E"/>
    <w:rsid w:val="00C035FD"/>
    <w:rsid w:val="00C038CA"/>
    <w:rsid w:val="00C03955"/>
    <w:rsid w:val="00C03C3A"/>
    <w:rsid w:val="00C03D3A"/>
    <w:rsid w:val="00C03E0A"/>
    <w:rsid w:val="00C03F38"/>
    <w:rsid w:val="00C03FD7"/>
    <w:rsid w:val="00C04110"/>
    <w:rsid w:val="00C041A1"/>
    <w:rsid w:val="00C041EA"/>
    <w:rsid w:val="00C04613"/>
    <w:rsid w:val="00C0468B"/>
    <w:rsid w:val="00C046BF"/>
    <w:rsid w:val="00C04883"/>
    <w:rsid w:val="00C04B33"/>
    <w:rsid w:val="00C0518E"/>
    <w:rsid w:val="00C051C3"/>
    <w:rsid w:val="00C052E2"/>
    <w:rsid w:val="00C05384"/>
    <w:rsid w:val="00C05639"/>
    <w:rsid w:val="00C0571A"/>
    <w:rsid w:val="00C057F9"/>
    <w:rsid w:val="00C05939"/>
    <w:rsid w:val="00C05A80"/>
    <w:rsid w:val="00C05AE0"/>
    <w:rsid w:val="00C05B62"/>
    <w:rsid w:val="00C05D05"/>
    <w:rsid w:val="00C05E06"/>
    <w:rsid w:val="00C05E76"/>
    <w:rsid w:val="00C06246"/>
    <w:rsid w:val="00C06250"/>
    <w:rsid w:val="00C064AA"/>
    <w:rsid w:val="00C0666A"/>
    <w:rsid w:val="00C06684"/>
    <w:rsid w:val="00C066E1"/>
    <w:rsid w:val="00C06761"/>
    <w:rsid w:val="00C06797"/>
    <w:rsid w:val="00C068F2"/>
    <w:rsid w:val="00C069BE"/>
    <w:rsid w:val="00C06E9B"/>
    <w:rsid w:val="00C06F58"/>
    <w:rsid w:val="00C0707D"/>
    <w:rsid w:val="00C071C1"/>
    <w:rsid w:val="00C07287"/>
    <w:rsid w:val="00C07602"/>
    <w:rsid w:val="00C07ABC"/>
    <w:rsid w:val="00C07BB0"/>
    <w:rsid w:val="00C07D07"/>
    <w:rsid w:val="00C07D9D"/>
    <w:rsid w:val="00C102AB"/>
    <w:rsid w:val="00C1057F"/>
    <w:rsid w:val="00C10710"/>
    <w:rsid w:val="00C107AF"/>
    <w:rsid w:val="00C1085C"/>
    <w:rsid w:val="00C108E1"/>
    <w:rsid w:val="00C108E3"/>
    <w:rsid w:val="00C10933"/>
    <w:rsid w:val="00C10AF8"/>
    <w:rsid w:val="00C10B86"/>
    <w:rsid w:val="00C10EF9"/>
    <w:rsid w:val="00C11146"/>
    <w:rsid w:val="00C11228"/>
    <w:rsid w:val="00C113E3"/>
    <w:rsid w:val="00C11403"/>
    <w:rsid w:val="00C1140A"/>
    <w:rsid w:val="00C115D8"/>
    <w:rsid w:val="00C11660"/>
    <w:rsid w:val="00C119FB"/>
    <w:rsid w:val="00C11A99"/>
    <w:rsid w:val="00C11AED"/>
    <w:rsid w:val="00C11CCB"/>
    <w:rsid w:val="00C11EE6"/>
    <w:rsid w:val="00C11F17"/>
    <w:rsid w:val="00C11FA0"/>
    <w:rsid w:val="00C1203B"/>
    <w:rsid w:val="00C1210F"/>
    <w:rsid w:val="00C122F7"/>
    <w:rsid w:val="00C12546"/>
    <w:rsid w:val="00C125BE"/>
    <w:rsid w:val="00C125DE"/>
    <w:rsid w:val="00C12676"/>
    <w:rsid w:val="00C12721"/>
    <w:rsid w:val="00C12741"/>
    <w:rsid w:val="00C127AD"/>
    <w:rsid w:val="00C12889"/>
    <w:rsid w:val="00C12C6F"/>
    <w:rsid w:val="00C12E07"/>
    <w:rsid w:val="00C13114"/>
    <w:rsid w:val="00C131AB"/>
    <w:rsid w:val="00C132CF"/>
    <w:rsid w:val="00C1342D"/>
    <w:rsid w:val="00C134BF"/>
    <w:rsid w:val="00C134F0"/>
    <w:rsid w:val="00C13603"/>
    <w:rsid w:val="00C1386D"/>
    <w:rsid w:val="00C138D2"/>
    <w:rsid w:val="00C1397B"/>
    <w:rsid w:val="00C13A2F"/>
    <w:rsid w:val="00C13A63"/>
    <w:rsid w:val="00C13A7A"/>
    <w:rsid w:val="00C13CC3"/>
    <w:rsid w:val="00C1408C"/>
    <w:rsid w:val="00C14232"/>
    <w:rsid w:val="00C14423"/>
    <w:rsid w:val="00C1445E"/>
    <w:rsid w:val="00C146A6"/>
    <w:rsid w:val="00C147C1"/>
    <w:rsid w:val="00C14A00"/>
    <w:rsid w:val="00C14B49"/>
    <w:rsid w:val="00C14C14"/>
    <w:rsid w:val="00C14CB7"/>
    <w:rsid w:val="00C14CD1"/>
    <w:rsid w:val="00C14CDF"/>
    <w:rsid w:val="00C14D90"/>
    <w:rsid w:val="00C14EA5"/>
    <w:rsid w:val="00C15082"/>
    <w:rsid w:val="00C15168"/>
    <w:rsid w:val="00C151FA"/>
    <w:rsid w:val="00C152B3"/>
    <w:rsid w:val="00C15380"/>
    <w:rsid w:val="00C156AE"/>
    <w:rsid w:val="00C15A4C"/>
    <w:rsid w:val="00C1614E"/>
    <w:rsid w:val="00C167AB"/>
    <w:rsid w:val="00C16882"/>
    <w:rsid w:val="00C16892"/>
    <w:rsid w:val="00C169BB"/>
    <w:rsid w:val="00C16A28"/>
    <w:rsid w:val="00C16B93"/>
    <w:rsid w:val="00C16D21"/>
    <w:rsid w:val="00C16E8F"/>
    <w:rsid w:val="00C170B7"/>
    <w:rsid w:val="00C1729B"/>
    <w:rsid w:val="00C175AA"/>
    <w:rsid w:val="00C1784E"/>
    <w:rsid w:val="00C17968"/>
    <w:rsid w:val="00C17AC3"/>
    <w:rsid w:val="00C17ED7"/>
    <w:rsid w:val="00C2008F"/>
    <w:rsid w:val="00C20142"/>
    <w:rsid w:val="00C20211"/>
    <w:rsid w:val="00C202D2"/>
    <w:rsid w:val="00C2037D"/>
    <w:rsid w:val="00C20445"/>
    <w:rsid w:val="00C20626"/>
    <w:rsid w:val="00C207B8"/>
    <w:rsid w:val="00C208D3"/>
    <w:rsid w:val="00C20974"/>
    <w:rsid w:val="00C20DD3"/>
    <w:rsid w:val="00C20E29"/>
    <w:rsid w:val="00C210E1"/>
    <w:rsid w:val="00C21111"/>
    <w:rsid w:val="00C21473"/>
    <w:rsid w:val="00C216DD"/>
    <w:rsid w:val="00C2172A"/>
    <w:rsid w:val="00C217CF"/>
    <w:rsid w:val="00C21893"/>
    <w:rsid w:val="00C21ABD"/>
    <w:rsid w:val="00C21B75"/>
    <w:rsid w:val="00C21BA7"/>
    <w:rsid w:val="00C21D74"/>
    <w:rsid w:val="00C22081"/>
    <w:rsid w:val="00C22105"/>
    <w:rsid w:val="00C222EE"/>
    <w:rsid w:val="00C222F1"/>
    <w:rsid w:val="00C22572"/>
    <w:rsid w:val="00C22577"/>
    <w:rsid w:val="00C22631"/>
    <w:rsid w:val="00C226EE"/>
    <w:rsid w:val="00C22944"/>
    <w:rsid w:val="00C22A96"/>
    <w:rsid w:val="00C22BB9"/>
    <w:rsid w:val="00C22BBE"/>
    <w:rsid w:val="00C22BD4"/>
    <w:rsid w:val="00C22BF0"/>
    <w:rsid w:val="00C231B5"/>
    <w:rsid w:val="00C23507"/>
    <w:rsid w:val="00C23579"/>
    <w:rsid w:val="00C23852"/>
    <w:rsid w:val="00C238AC"/>
    <w:rsid w:val="00C2392C"/>
    <w:rsid w:val="00C23AF4"/>
    <w:rsid w:val="00C23BD2"/>
    <w:rsid w:val="00C23D30"/>
    <w:rsid w:val="00C23D97"/>
    <w:rsid w:val="00C24283"/>
    <w:rsid w:val="00C24440"/>
    <w:rsid w:val="00C247B1"/>
    <w:rsid w:val="00C248DF"/>
    <w:rsid w:val="00C24DA3"/>
    <w:rsid w:val="00C25255"/>
    <w:rsid w:val="00C253B2"/>
    <w:rsid w:val="00C255A8"/>
    <w:rsid w:val="00C25675"/>
    <w:rsid w:val="00C25768"/>
    <w:rsid w:val="00C25951"/>
    <w:rsid w:val="00C25A9E"/>
    <w:rsid w:val="00C25BB6"/>
    <w:rsid w:val="00C25DED"/>
    <w:rsid w:val="00C25E0C"/>
    <w:rsid w:val="00C26154"/>
    <w:rsid w:val="00C263BB"/>
    <w:rsid w:val="00C2651A"/>
    <w:rsid w:val="00C26520"/>
    <w:rsid w:val="00C2652A"/>
    <w:rsid w:val="00C2670F"/>
    <w:rsid w:val="00C26795"/>
    <w:rsid w:val="00C267B1"/>
    <w:rsid w:val="00C26873"/>
    <w:rsid w:val="00C269A4"/>
    <w:rsid w:val="00C26D8A"/>
    <w:rsid w:val="00C26FB0"/>
    <w:rsid w:val="00C27028"/>
    <w:rsid w:val="00C2717E"/>
    <w:rsid w:val="00C27213"/>
    <w:rsid w:val="00C2732C"/>
    <w:rsid w:val="00C279CB"/>
    <w:rsid w:val="00C27A4D"/>
    <w:rsid w:val="00C27AF1"/>
    <w:rsid w:val="00C27DAA"/>
    <w:rsid w:val="00C27DD5"/>
    <w:rsid w:val="00C27DF2"/>
    <w:rsid w:val="00C27FA6"/>
    <w:rsid w:val="00C27FFB"/>
    <w:rsid w:val="00C3004E"/>
    <w:rsid w:val="00C302BB"/>
    <w:rsid w:val="00C304E3"/>
    <w:rsid w:val="00C304EA"/>
    <w:rsid w:val="00C305D1"/>
    <w:rsid w:val="00C3094C"/>
    <w:rsid w:val="00C31143"/>
    <w:rsid w:val="00C31191"/>
    <w:rsid w:val="00C311CE"/>
    <w:rsid w:val="00C3133E"/>
    <w:rsid w:val="00C3137D"/>
    <w:rsid w:val="00C313A4"/>
    <w:rsid w:val="00C313D2"/>
    <w:rsid w:val="00C3153A"/>
    <w:rsid w:val="00C3154D"/>
    <w:rsid w:val="00C31839"/>
    <w:rsid w:val="00C3187D"/>
    <w:rsid w:val="00C318D8"/>
    <w:rsid w:val="00C31993"/>
    <w:rsid w:val="00C31ACD"/>
    <w:rsid w:val="00C31C79"/>
    <w:rsid w:val="00C31DA7"/>
    <w:rsid w:val="00C31DDD"/>
    <w:rsid w:val="00C31E18"/>
    <w:rsid w:val="00C31F30"/>
    <w:rsid w:val="00C3202B"/>
    <w:rsid w:val="00C3208F"/>
    <w:rsid w:val="00C32355"/>
    <w:rsid w:val="00C325DE"/>
    <w:rsid w:val="00C3264D"/>
    <w:rsid w:val="00C3266D"/>
    <w:rsid w:val="00C32A71"/>
    <w:rsid w:val="00C32C25"/>
    <w:rsid w:val="00C32C45"/>
    <w:rsid w:val="00C32D36"/>
    <w:rsid w:val="00C32E28"/>
    <w:rsid w:val="00C32F6A"/>
    <w:rsid w:val="00C33038"/>
    <w:rsid w:val="00C33252"/>
    <w:rsid w:val="00C3331B"/>
    <w:rsid w:val="00C3331C"/>
    <w:rsid w:val="00C335C5"/>
    <w:rsid w:val="00C33713"/>
    <w:rsid w:val="00C337DD"/>
    <w:rsid w:val="00C33B19"/>
    <w:rsid w:val="00C33B6D"/>
    <w:rsid w:val="00C33C3C"/>
    <w:rsid w:val="00C33CFB"/>
    <w:rsid w:val="00C33DFB"/>
    <w:rsid w:val="00C33E27"/>
    <w:rsid w:val="00C33FA7"/>
    <w:rsid w:val="00C340C6"/>
    <w:rsid w:val="00C340E6"/>
    <w:rsid w:val="00C341A7"/>
    <w:rsid w:val="00C34435"/>
    <w:rsid w:val="00C344FA"/>
    <w:rsid w:val="00C3467A"/>
    <w:rsid w:val="00C3473A"/>
    <w:rsid w:val="00C34798"/>
    <w:rsid w:val="00C349CB"/>
    <w:rsid w:val="00C34B7C"/>
    <w:rsid w:val="00C34C90"/>
    <w:rsid w:val="00C34D5D"/>
    <w:rsid w:val="00C34F31"/>
    <w:rsid w:val="00C35363"/>
    <w:rsid w:val="00C35407"/>
    <w:rsid w:val="00C35480"/>
    <w:rsid w:val="00C3548B"/>
    <w:rsid w:val="00C3576E"/>
    <w:rsid w:val="00C35780"/>
    <w:rsid w:val="00C35920"/>
    <w:rsid w:val="00C359BC"/>
    <w:rsid w:val="00C359CD"/>
    <w:rsid w:val="00C35BA5"/>
    <w:rsid w:val="00C35F0B"/>
    <w:rsid w:val="00C36031"/>
    <w:rsid w:val="00C3615B"/>
    <w:rsid w:val="00C361B0"/>
    <w:rsid w:val="00C363FF"/>
    <w:rsid w:val="00C36482"/>
    <w:rsid w:val="00C3687D"/>
    <w:rsid w:val="00C37027"/>
    <w:rsid w:val="00C3706D"/>
    <w:rsid w:val="00C37204"/>
    <w:rsid w:val="00C37626"/>
    <w:rsid w:val="00C3767D"/>
    <w:rsid w:val="00C376B8"/>
    <w:rsid w:val="00C3771B"/>
    <w:rsid w:val="00C37831"/>
    <w:rsid w:val="00C37903"/>
    <w:rsid w:val="00C37BD5"/>
    <w:rsid w:val="00C37E1D"/>
    <w:rsid w:val="00C37F51"/>
    <w:rsid w:val="00C402B7"/>
    <w:rsid w:val="00C403DB"/>
    <w:rsid w:val="00C403FD"/>
    <w:rsid w:val="00C4040F"/>
    <w:rsid w:val="00C404A3"/>
    <w:rsid w:val="00C40675"/>
    <w:rsid w:val="00C40809"/>
    <w:rsid w:val="00C408FD"/>
    <w:rsid w:val="00C40A74"/>
    <w:rsid w:val="00C40D62"/>
    <w:rsid w:val="00C40E20"/>
    <w:rsid w:val="00C41014"/>
    <w:rsid w:val="00C41072"/>
    <w:rsid w:val="00C410B2"/>
    <w:rsid w:val="00C411B3"/>
    <w:rsid w:val="00C4154A"/>
    <w:rsid w:val="00C416AA"/>
    <w:rsid w:val="00C4192A"/>
    <w:rsid w:val="00C419C8"/>
    <w:rsid w:val="00C41A99"/>
    <w:rsid w:val="00C41B27"/>
    <w:rsid w:val="00C41D6D"/>
    <w:rsid w:val="00C41D70"/>
    <w:rsid w:val="00C41E77"/>
    <w:rsid w:val="00C41F4E"/>
    <w:rsid w:val="00C42061"/>
    <w:rsid w:val="00C42420"/>
    <w:rsid w:val="00C42508"/>
    <w:rsid w:val="00C4252B"/>
    <w:rsid w:val="00C42798"/>
    <w:rsid w:val="00C427D9"/>
    <w:rsid w:val="00C429EF"/>
    <w:rsid w:val="00C42A6F"/>
    <w:rsid w:val="00C42B85"/>
    <w:rsid w:val="00C42BA9"/>
    <w:rsid w:val="00C42BE1"/>
    <w:rsid w:val="00C42CD4"/>
    <w:rsid w:val="00C42F58"/>
    <w:rsid w:val="00C43043"/>
    <w:rsid w:val="00C430E3"/>
    <w:rsid w:val="00C430EE"/>
    <w:rsid w:val="00C4387E"/>
    <w:rsid w:val="00C43AAA"/>
    <w:rsid w:val="00C43B35"/>
    <w:rsid w:val="00C43BE7"/>
    <w:rsid w:val="00C43CAB"/>
    <w:rsid w:val="00C43E58"/>
    <w:rsid w:val="00C43E98"/>
    <w:rsid w:val="00C44008"/>
    <w:rsid w:val="00C4411C"/>
    <w:rsid w:val="00C4429A"/>
    <w:rsid w:val="00C444C9"/>
    <w:rsid w:val="00C44546"/>
    <w:rsid w:val="00C44765"/>
    <w:rsid w:val="00C4477B"/>
    <w:rsid w:val="00C44D36"/>
    <w:rsid w:val="00C44ECA"/>
    <w:rsid w:val="00C45169"/>
    <w:rsid w:val="00C451CB"/>
    <w:rsid w:val="00C4523A"/>
    <w:rsid w:val="00C45400"/>
    <w:rsid w:val="00C45527"/>
    <w:rsid w:val="00C45579"/>
    <w:rsid w:val="00C45670"/>
    <w:rsid w:val="00C4567E"/>
    <w:rsid w:val="00C4573B"/>
    <w:rsid w:val="00C45741"/>
    <w:rsid w:val="00C45998"/>
    <w:rsid w:val="00C45B2E"/>
    <w:rsid w:val="00C45B7A"/>
    <w:rsid w:val="00C45E02"/>
    <w:rsid w:val="00C45EEB"/>
    <w:rsid w:val="00C45F76"/>
    <w:rsid w:val="00C464A6"/>
    <w:rsid w:val="00C4660B"/>
    <w:rsid w:val="00C46647"/>
    <w:rsid w:val="00C466D3"/>
    <w:rsid w:val="00C46A46"/>
    <w:rsid w:val="00C46B1C"/>
    <w:rsid w:val="00C46B73"/>
    <w:rsid w:val="00C46BDA"/>
    <w:rsid w:val="00C46CAA"/>
    <w:rsid w:val="00C46DC2"/>
    <w:rsid w:val="00C46E15"/>
    <w:rsid w:val="00C46F84"/>
    <w:rsid w:val="00C4718A"/>
    <w:rsid w:val="00C473B2"/>
    <w:rsid w:val="00C47503"/>
    <w:rsid w:val="00C4766A"/>
    <w:rsid w:val="00C47C2E"/>
    <w:rsid w:val="00C47D52"/>
    <w:rsid w:val="00C47DA5"/>
    <w:rsid w:val="00C47E12"/>
    <w:rsid w:val="00C47F16"/>
    <w:rsid w:val="00C500CF"/>
    <w:rsid w:val="00C501BC"/>
    <w:rsid w:val="00C5030C"/>
    <w:rsid w:val="00C5056B"/>
    <w:rsid w:val="00C50610"/>
    <w:rsid w:val="00C50DD6"/>
    <w:rsid w:val="00C5104A"/>
    <w:rsid w:val="00C51291"/>
    <w:rsid w:val="00C513DC"/>
    <w:rsid w:val="00C516C8"/>
    <w:rsid w:val="00C516D8"/>
    <w:rsid w:val="00C516EA"/>
    <w:rsid w:val="00C51736"/>
    <w:rsid w:val="00C517D6"/>
    <w:rsid w:val="00C51967"/>
    <w:rsid w:val="00C51BD6"/>
    <w:rsid w:val="00C51D7A"/>
    <w:rsid w:val="00C5216B"/>
    <w:rsid w:val="00C523E4"/>
    <w:rsid w:val="00C524B0"/>
    <w:rsid w:val="00C524EB"/>
    <w:rsid w:val="00C526B7"/>
    <w:rsid w:val="00C526DA"/>
    <w:rsid w:val="00C528FA"/>
    <w:rsid w:val="00C52C28"/>
    <w:rsid w:val="00C52C32"/>
    <w:rsid w:val="00C52D5D"/>
    <w:rsid w:val="00C52E75"/>
    <w:rsid w:val="00C52EDD"/>
    <w:rsid w:val="00C52F3D"/>
    <w:rsid w:val="00C532FD"/>
    <w:rsid w:val="00C53506"/>
    <w:rsid w:val="00C53541"/>
    <w:rsid w:val="00C53859"/>
    <w:rsid w:val="00C538C8"/>
    <w:rsid w:val="00C53B76"/>
    <w:rsid w:val="00C53B84"/>
    <w:rsid w:val="00C53B97"/>
    <w:rsid w:val="00C53D3F"/>
    <w:rsid w:val="00C53E47"/>
    <w:rsid w:val="00C53F33"/>
    <w:rsid w:val="00C54239"/>
    <w:rsid w:val="00C5425E"/>
    <w:rsid w:val="00C543DB"/>
    <w:rsid w:val="00C543FA"/>
    <w:rsid w:val="00C544B6"/>
    <w:rsid w:val="00C544F8"/>
    <w:rsid w:val="00C545B9"/>
    <w:rsid w:val="00C545ED"/>
    <w:rsid w:val="00C549EA"/>
    <w:rsid w:val="00C54A0D"/>
    <w:rsid w:val="00C54A66"/>
    <w:rsid w:val="00C54B12"/>
    <w:rsid w:val="00C54B3D"/>
    <w:rsid w:val="00C54C93"/>
    <w:rsid w:val="00C550B7"/>
    <w:rsid w:val="00C55366"/>
    <w:rsid w:val="00C553A9"/>
    <w:rsid w:val="00C553C5"/>
    <w:rsid w:val="00C55485"/>
    <w:rsid w:val="00C55583"/>
    <w:rsid w:val="00C555D3"/>
    <w:rsid w:val="00C55625"/>
    <w:rsid w:val="00C55939"/>
    <w:rsid w:val="00C55BE6"/>
    <w:rsid w:val="00C55C47"/>
    <w:rsid w:val="00C55E69"/>
    <w:rsid w:val="00C56026"/>
    <w:rsid w:val="00C563D6"/>
    <w:rsid w:val="00C566E1"/>
    <w:rsid w:val="00C56807"/>
    <w:rsid w:val="00C5696B"/>
    <w:rsid w:val="00C56B9B"/>
    <w:rsid w:val="00C56E27"/>
    <w:rsid w:val="00C56F02"/>
    <w:rsid w:val="00C56FA0"/>
    <w:rsid w:val="00C5719E"/>
    <w:rsid w:val="00C571CA"/>
    <w:rsid w:val="00C5720B"/>
    <w:rsid w:val="00C573C8"/>
    <w:rsid w:val="00C5761B"/>
    <w:rsid w:val="00C57818"/>
    <w:rsid w:val="00C57989"/>
    <w:rsid w:val="00C57ACB"/>
    <w:rsid w:val="00C57B0A"/>
    <w:rsid w:val="00C57CA9"/>
    <w:rsid w:val="00C57F02"/>
    <w:rsid w:val="00C60002"/>
    <w:rsid w:val="00C60027"/>
    <w:rsid w:val="00C600EA"/>
    <w:rsid w:val="00C601C6"/>
    <w:rsid w:val="00C6045B"/>
    <w:rsid w:val="00C6060A"/>
    <w:rsid w:val="00C60909"/>
    <w:rsid w:val="00C6097B"/>
    <w:rsid w:val="00C60B4C"/>
    <w:rsid w:val="00C60BCD"/>
    <w:rsid w:val="00C60C56"/>
    <w:rsid w:val="00C60C9C"/>
    <w:rsid w:val="00C60C9F"/>
    <w:rsid w:val="00C60F69"/>
    <w:rsid w:val="00C60F95"/>
    <w:rsid w:val="00C61036"/>
    <w:rsid w:val="00C610F3"/>
    <w:rsid w:val="00C61174"/>
    <w:rsid w:val="00C612B5"/>
    <w:rsid w:val="00C612E4"/>
    <w:rsid w:val="00C614E4"/>
    <w:rsid w:val="00C617AA"/>
    <w:rsid w:val="00C619BA"/>
    <w:rsid w:val="00C61C3E"/>
    <w:rsid w:val="00C61D3B"/>
    <w:rsid w:val="00C61D81"/>
    <w:rsid w:val="00C61ECE"/>
    <w:rsid w:val="00C61FB5"/>
    <w:rsid w:val="00C622C6"/>
    <w:rsid w:val="00C623A6"/>
    <w:rsid w:val="00C625BC"/>
    <w:rsid w:val="00C62725"/>
    <w:rsid w:val="00C62886"/>
    <w:rsid w:val="00C62963"/>
    <w:rsid w:val="00C62E0A"/>
    <w:rsid w:val="00C62FC6"/>
    <w:rsid w:val="00C6318B"/>
    <w:rsid w:val="00C6333D"/>
    <w:rsid w:val="00C63390"/>
    <w:rsid w:val="00C638F3"/>
    <w:rsid w:val="00C63ABD"/>
    <w:rsid w:val="00C63AE8"/>
    <w:rsid w:val="00C63C36"/>
    <w:rsid w:val="00C63EFC"/>
    <w:rsid w:val="00C63F50"/>
    <w:rsid w:val="00C6419D"/>
    <w:rsid w:val="00C643E1"/>
    <w:rsid w:val="00C64420"/>
    <w:rsid w:val="00C6447C"/>
    <w:rsid w:val="00C64906"/>
    <w:rsid w:val="00C64932"/>
    <w:rsid w:val="00C64C8E"/>
    <w:rsid w:val="00C64E90"/>
    <w:rsid w:val="00C64F68"/>
    <w:rsid w:val="00C65577"/>
    <w:rsid w:val="00C655AF"/>
    <w:rsid w:val="00C659D2"/>
    <w:rsid w:val="00C65A88"/>
    <w:rsid w:val="00C65B5F"/>
    <w:rsid w:val="00C65C9A"/>
    <w:rsid w:val="00C65EE3"/>
    <w:rsid w:val="00C660E7"/>
    <w:rsid w:val="00C661E8"/>
    <w:rsid w:val="00C665E2"/>
    <w:rsid w:val="00C665F7"/>
    <w:rsid w:val="00C66606"/>
    <w:rsid w:val="00C666A1"/>
    <w:rsid w:val="00C6672F"/>
    <w:rsid w:val="00C66812"/>
    <w:rsid w:val="00C66952"/>
    <w:rsid w:val="00C66B26"/>
    <w:rsid w:val="00C66C67"/>
    <w:rsid w:val="00C66E32"/>
    <w:rsid w:val="00C66F6A"/>
    <w:rsid w:val="00C67011"/>
    <w:rsid w:val="00C6724B"/>
    <w:rsid w:val="00C6725A"/>
    <w:rsid w:val="00C673B1"/>
    <w:rsid w:val="00C67462"/>
    <w:rsid w:val="00C674DE"/>
    <w:rsid w:val="00C6754C"/>
    <w:rsid w:val="00C6765E"/>
    <w:rsid w:val="00C67990"/>
    <w:rsid w:val="00C67A29"/>
    <w:rsid w:val="00C67AD3"/>
    <w:rsid w:val="00C67B9C"/>
    <w:rsid w:val="00C67D22"/>
    <w:rsid w:val="00C67EE2"/>
    <w:rsid w:val="00C70480"/>
    <w:rsid w:val="00C70843"/>
    <w:rsid w:val="00C70A05"/>
    <w:rsid w:val="00C70BD9"/>
    <w:rsid w:val="00C710B2"/>
    <w:rsid w:val="00C710BD"/>
    <w:rsid w:val="00C71564"/>
    <w:rsid w:val="00C7165C"/>
    <w:rsid w:val="00C7179B"/>
    <w:rsid w:val="00C71CD5"/>
    <w:rsid w:val="00C71D8C"/>
    <w:rsid w:val="00C720F1"/>
    <w:rsid w:val="00C72165"/>
    <w:rsid w:val="00C721CA"/>
    <w:rsid w:val="00C72419"/>
    <w:rsid w:val="00C72506"/>
    <w:rsid w:val="00C726A0"/>
    <w:rsid w:val="00C7284B"/>
    <w:rsid w:val="00C729E9"/>
    <w:rsid w:val="00C72D31"/>
    <w:rsid w:val="00C72E55"/>
    <w:rsid w:val="00C72EE1"/>
    <w:rsid w:val="00C73009"/>
    <w:rsid w:val="00C730EB"/>
    <w:rsid w:val="00C73224"/>
    <w:rsid w:val="00C7359D"/>
    <w:rsid w:val="00C736EA"/>
    <w:rsid w:val="00C73869"/>
    <w:rsid w:val="00C7395F"/>
    <w:rsid w:val="00C73BD6"/>
    <w:rsid w:val="00C73DB0"/>
    <w:rsid w:val="00C740DE"/>
    <w:rsid w:val="00C7434C"/>
    <w:rsid w:val="00C746E1"/>
    <w:rsid w:val="00C748BF"/>
    <w:rsid w:val="00C74A49"/>
    <w:rsid w:val="00C74CD6"/>
    <w:rsid w:val="00C74DDC"/>
    <w:rsid w:val="00C751E9"/>
    <w:rsid w:val="00C7533D"/>
    <w:rsid w:val="00C754B7"/>
    <w:rsid w:val="00C754C4"/>
    <w:rsid w:val="00C755A6"/>
    <w:rsid w:val="00C75697"/>
    <w:rsid w:val="00C756B6"/>
    <w:rsid w:val="00C7581D"/>
    <w:rsid w:val="00C759A0"/>
    <w:rsid w:val="00C75C6C"/>
    <w:rsid w:val="00C75C81"/>
    <w:rsid w:val="00C75E7A"/>
    <w:rsid w:val="00C767F4"/>
    <w:rsid w:val="00C76992"/>
    <w:rsid w:val="00C76A2A"/>
    <w:rsid w:val="00C76E3D"/>
    <w:rsid w:val="00C77512"/>
    <w:rsid w:val="00C77571"/>
    <w:rsid w:val="00C77849"/>
    <w:rsid w:val="00C77886"/>
    <w:rsid w:val="00C77947"/>
    <w:rsid w:val="00C77B2F"/>
    <w:rsid w:val="00C77B41"/>
    <w:rsid w:val="00C77E84"/>
    <w:rsid w:val="00C77EC8"/>
    <w:rsid w:val="00C77EE4"/>
    <w:rsid w:val="00C77FC6"/>
    <w:rsid w:val="00C80081"/>
    <w:rsid w:val="00C801CE"/>
    <w:rsid w:val="00C8025F"/>
    <w:rsid w:val="00C80635"/>
    <w:rsid w:val="00C8087F"/>
    <w:rsid w:val="00C80B86"/>
    <w:rsid w:val="00C80C52"/>
    <w:rsid w:val="00C80EF3"/>
    <w:rsid w:val="00C80F4D"/>
    <w:rsid w:val="00C80F8C"/>
    <w:rsid w:val="00C8110A"/>
    <w:rsid w:val="00C81119"/>
    <w:rsid w:val="00C813A4"/>
    <w:rsid w:val="00C8191B"/>
    <w:rsid w:val="00C81CB0"/>
    <w:rsid w:val="00C81E09"/>
    <w:rsid w:val="00C81EEF"/>
    <w:rsid w:val="00C81F25"/>
    <w:rsid w:val="00C81F4A"/>
    <w:rsid w:val="00C8203F"/>
    <w:rsid w:val="00C82281"/>
    <w:rsid w:val="00C82389"/>
    <w:rsid w:val="00C82414"/>
    <w:rsid w:val="00C82440"/>
    <w:rsid w:val="00C8247C"/>
    <w:rsid w:val="00C824AF"/>
    <w:rsid w:val="00C825A5"/>
    <w:rsid w:val="00C82681"/>
    <w:rsid w:val="00C826DA"/>
    <w:rsid w:val="00C82814"/>
    <w:rsid w:val="00C82952"/>
    <w:rsid w:val="00C82A56"/>
    <w:rsid w:val="00C82A70"/>
    <w:rsid w:val="00C82A8E"/>
    <w:rsid w:val="00C82C75"/>
    <w:rsid w:val="00C82D4C"/>
    <w:rsid w:val="00C82DC1"/>
    <w:rsid w:val="00C82EAA"/>
    <w:rsid w:val="00C82EED"/>
    <w:rsid w:val="00C82F3A"/>
    <w:rsid w:val="00C82F8C"/>
    <w:rsid w:val="00C82FAB"/>
    <w:rsid w:val="00C82FB5"/>
    <w:rsid w:val="00C83192"/>
    <w:rsid w:val="00C8331B"/>
    <w:rsid w:val="00C835CB"/>
    <w:rsid w:val="00C83737"/>
    <w:rsid w:val="00C8376D"/>
    <w:rsid w:val="00C839BB"/>
    <w:rsid w:val="00C83AB7"/>
    <w:rsid w:val="00C83BB4"/>
    <w:rsid w:val="00C83CB5"/>
    <w:rsid w:val="00C83ECD"/>
    <w:rsid w:val="00C83F66"/>
    <w:rsid w:val="00C83FF7"/>
    <w:rsid w:val="00C84094"/>
    <w:rsid w:val="00C840DA"/>
    <w:rsid w:val="00C840DE"/>
    <w:rsid w:val="00C84114"/>
    <w:rsid w:val="00C8417D"/>
    <w:rsid w:val="00C842E6"/>
    <w:rsid w:val="00C84324"/>
    <w:rsid w:val="00C84364"/>
    <w:rsid w:val="00C84403"/>
    <w:rsid w:val="00C84463"/>
    <w:rsid w:val="00C8456E"/>
    <w:rsid w:val="00C84578"/>
    <w:rsid w:val="00C846D8"/>
    <w:rsid w:val="00C8471A"/>
    <w:rsid w:val="00C848B4"/>
    <w:rsid w:val="00C84B60"/>
    <w:rsid w:val="00C84C4A"/>
    <w:rsid w:val="00C84D80"/>
    <w:rsid w:val="00C84EEB"/>
    <w:rsid w:val="00C84FEE"/>
    <w:rsid w:val="00C851EB"/>
    <w:rsid w:val="00C852B0"/>
    <w:rsid w:val="00C85815"/>
    <w:rsid w:val="00C85A60"/>
    <w:rsid w:val="00C85BB8"/>
    <w:rsid w:val="00C85C6C"/>
    <w:rsid w:val="00C85D37"/>
    <w:rsid w:val="00C86279"/>
    <w:rsid w:val="00C864C7"/>
    <w:rsid w:val="00C8668D"/>
    <w:rsid w:val="00C866AA"/>
    <w:rsid w:val="00C866C4"/>
    <w:rsid w:val="00C867E2"/>
    <w:rsid w:val="00C868D1"/>
    <w:rsid w:val="00C8695E"/>
    <w:rsid w:val="00C8697D"/>
    <w:rsid w:val="00C8699C"/>
    <w:rsid w:val="00C86ACB"/>
    <w:rsid w:val="00C86D1A"/>
    <w:rsid w:val="00C86E11"/>
    <w:rsid w:val="00C86FD9"/>
    <w:rsid w:val="00C87149"/>
    <w:rsid w:val="00C8721C"/>
    <w:rsid w:val="00C872AD"/>
    <w:rsid w:val="00C87340"/>
    <w:rsid w:val="00C874F9"/>
    <w:rsid w:val="00C87BC3"/>
    <w:rsid w:val="00C87F93"/>
    <w:rsid w:val="00C87FEA"/>
    <w:rsid w:val="00C90408"/>
    <w:rsid w:val="00C90780"/>
    <w:rsid w:val="00C9084F"/>
    <w:rsid w:val="00C9086E"/>
    <w:rsid w:val="00C9092E"/>
    <w:rsid w:val="00C90B09"/>
    <w:rsid w:val="00C90C9A"/>
    <w:rsid w:val="00C90CFA"/>
    <w:rsid w:val="00C910E0"/>
    <w:rsid w:val="00C91143"/>
    <w:rsid w:val="00C91668"/>
    <w:rsid w:val="00C91763"/>
    <w:rsid w:val="00C91991"/>
    <w:rsid w:val="00C91B2C"/>
    <w:rsid w:val="00C91B3C"/>
    <w:rsid w:val="00C91BAB"/>
    <w:rsid w:val="00C91C66"/>
    <w:rsid w:val="00C91C98"/>
    <w:rsid w:val="00C91CB1"/>
    <w:rsid w:val="00C91EBB"/>
    <w:rsid w:val="00C91F4E"/>
    <w:rsid w:val="00C91FBF"/>
    <w:rsid w:val="00C922CE"/>
    <w:rsid w:val="00C9230A"/>
    <w:rsid w:val="00C924B2"/>
    <w:rsid w:val="00C924CC"/>
    <w:rsid w:val="00C9251D"/>
    <w:rsid w:val="00C9258A"/>
    <w:rsid w:val="00C92698"/>
    <w:rsid w:val="00C926D9"/>
    <w:rsid w:val="00C9288E"/>
    <w:rsid w:val="00C92A50"/>
    <w:rsid w:val="00C92E08"/>
    <w:rsid w:val="00C92E6B"/>
    <w:rsid w:val="00C930C3"/>
    <w:rsid w:val="00C9319B"/>
    <w:rsid w:val="00C935D5"/>
    <w:rsid w:val="00C936F9"/>
    <w:rsid w:val="00C938AB"/>
    <w:rsid w:val="00C93A6B"/>
    <w:rsid w:val="00C93B0A"/>
    <w:rsid w:val="00C93B53"/>
    <w:rsid w:val="00C93D5F"/>
    <w:rsid w:val="00C93EAB"/>
    <w:rsid w:val="00C93FBD"/>
    <w:rsid w:val="00C93FDA"/>
    <w:rsid w:val="00C9408B"/>
    <w:rsid w:val="00C940B6"/>
    <w:rsid w:val="00C94319"/>
    <w:rsid w:val="00C946DB"/>
    <w:rsid w:val="00C94716"/>
    <w:rsid w:val="00C947CA"/>
    <w:rsid w:val="00C94923"/>
    <w:rsid w:val="00C94C72"/>
    <w:rsid w:val="00C94F1F"/>
    <w:rsid w:val="00C952AF"/>
    <w:rsid w:val="00C9566B"/>
    <w:rsid w:val="00C9572B"/>
    <w:rsid w:val="00C95966"/>
    <w:rsid w:val="00C95CC1"/>
    <w:rsid w:val="00C96207"/>
    <w:rsid w:val="00C96522"/>
    <w:rsid w:val="00C965DB"/>
    <w:rsid w:val="00C96798"/>
    <w:rsid w:val="00C969B5"/>
    <w:rsid w:val="00C96B04"/>
    <w:rsid w:val="00C96D73"/>
    <w:rsid w:val="00C97155"/>
    <w:rsid w:val="00C971F2"/>
    <w:rsid w:val="00C97315"/>
    <w:rsid w:val="00C97761"/>
    <w:rsid w:val="00C97882"/>
    <w:rsid w:val="00C97F0A"/>
    <w:rsid w:val="00CA0028"/>
    <w:rsid w:val="00CA05A4"/>
    <w:rsid w:val="00CA0A92"/>
    <w:rsid w:val="00CA0AF1"/>
    <w:rsid w:val="00CA0CBE"/>
    <w:rsid w:val="00CA0D18"/>
    <w:rsid w:val="00CA102B"/>
    <w:rsid w:val="00CA1162"/>
    <w:rsid w:val="00CA12EA"/>
    <w:rsid w:val="00CA1712"/>
    <w:rsid w:val="00CA1EF6"/>
    <w:rsid w:val="00CA2373"/>
    <w:rsid w:val="00CA24AF"/>
    <w:rsid w:val="00CA27DF"/>
    <w:rsid w:val="00CA2843"/>
    <w:rsid w:val="00CA2A0B"/>
    <w:rsid w:val="00CA2A68"/>
    <w:rsid w:val="00CA2A72"/>
    <w:rsid w:val="00CA2BE0"/>
    <w:rsid w:val="00CA2BF8"/>
    <w:rsid w:val="00CA2E63"/>
    <w:rsid w:val="00CA30A5"/>
    <w:rsid w:val="00CA30E8"/>
    <w:rsid w:val="00CA3182"/>
    <w:rsid w:val="00CA31F8"/>
    <w:rsid w:val="00CA3238"/>
    <w:rsid w:val="00CA338C"/>
    <w:rsid w:val="00CA339A"/>
    <w:rsid w:val="00CA37C7"/>
    <w:rsid w:val="00CA38F5"/>
    <w:rsid w:val="00CA3CF2"/>
    <w:rsid w:val="00CA3E60"/>
    <w:rsid w:val="00CA4066"/>
    <w:rsid w:val="00CA4203"/>
    <w:rsid w:val="00CA433F"/>
    <w:rsid w:val="00CA43C5"/>
    <w:rsid w:val="00CA43CC"/>
    <w:rsid w:val="00CA4512"/>
    <w:rsid w:val="00CA483D"/>
    <w:rsid w:val="00CA4844"/>
    <w:rsid w:val="00CA49CD"/>
    <w:rsid w:val="00CA4A22"/>
    <w:rsid w:val="00CA50D9"/>
    <w:rsid w:val="00CA5231"/>
    <w:rsid w:val="00CA5427"/>
    <w:rsid w:val="00CA5520"/>
    <w:rsid w:val="00CA5780"/>
    <w:rsid w:val="00CA5874"/>
    <w:rsid w:val="00CA5881"/>
    <w:rsid w:val="00CA58FA"/>
    <w:rsid w:val="00CA5ADA"/>
    <w:rsid w:val="00CA5B0C"/>
    <w:rsid w:val="00CA5B77"/>
    <w:rsid w:val="00CA5C31"/>
    <w:rsid w:val="00CA5D35"/>
    <w:rsid w:val="00CA5D57"/>
    <w:rsid w:val="00CA5EFE"/>
    <w:rsid w:val="00CA5F0D"/>
    <w:rsid w:val="00CA5FEF"/>
    <w:rsid w:val="00CA61F0"/>
    <w:rsid w:val="00CA65DE"/>
    <w:rsid w:val="00CA6747"/>
    <w:rsid w:val="00CA677A"/>
    <w:rsid w:val="00CA6AC9"/>
    <w:rsid w:val="00CA6D6B"/>
    <w:rsid w:val="00CA7090"/>
    <w:rsid w:val="00CA714B"/>
    <w:rsid w:val="00CA7222"/>
    <w:rsid w:val="00CA7254"/>
    <w:rsid w:val="00CA72AE"/>
    <w:rsid w:val="00CA7482"/>
    <w:rsid w:val="00CA75BC"/>
    <w:rsid w:val="00CA76C4"/>
    <w:rsid w:val="00CA76EF"/>
    <w:rsid w:val="00CA7748"/>
    <w:rsid w:val="00CA7789"/>
    <w:rsid w:val="00CA781D"/>
    <w:rsid w:val="00CA79C9"/>
    <w:rsid w:val="00CA7BFF"/>
    <w:rsid w:val="00CA7CC6"/>
    <w:rsid w:val="00CA7D41"/>
    <w:rsid w:val="00CA7E05"/>
    <w:rsid w:val="00CB011D"/>
    <w:rsid w:val="00CB0264"/>
    <w:rsid w:val="00CB05C8"/>
    <w:rsid w:val="00CB0642"/>
    <w:rsid w:val="00CB07BF"/>
    <w:rsid w:val="00CB08A5"/>
    <w:rsid w:val="00CB08E9"/>
    <w:rsid w:val="00CB0A6C"/>
    <w:rsid w:val="00CB0B1B"/>
    <w:rsid w:val="00CB0FEB"/>
    <w:rsid w:val="00CB1074"/>
    <w:rsid w:val="00CB1103"/>
    <w:rsid w:val="00CB1784"/>
    <w:rsid w:val="00CB18F8"/>
    <w:rsid w:val="00CB1A7D"/>
    <w:rsid w:val="00CB1C86"/>
    <w:rsid w:val="00CB1DD6"/>
    <w:rsid w:val="00CB2115"/>
    <w:rsid w:val="00CB21A8"/>
    <w:rsid w:val="00CB2642"/>
    <w:rsid w:val="00CB2745"/>
    <w:rsid w:val="00CB27E3"/>
    <w:rsid w:val="00CB28E0"/>
    <w:rsid w:val="00CB2A8D"/>
    <w:rsid w:val="00CB2AED"/>
    <w:rsid w:val="00CB2C56"/>
    <w:rsid w:val="00CB2D3B"/>
    <w:rsid w:val="00CB2E9F"/>
    <w:rsid w:val="00CB2EC0"/>
    <w:rsid w:val="00CB304A"/>
    <w:rsid w:val="00CB3084"/>
    <w:rsid w:val="00CB3173"/>
    <w:rsid w:val="00CB32E7"/>
    <w:rsid w:val="00CB375A"/>
    <w:rsid w:val="00CB3924"/>
    <w:rsid w:val="00CB399D"/>
    <w:rsid w:val="00CB39DF"/>
    <w:rsid w:val="00CB3A01"/>
    <w:rsid w:val="00CB3BB6"/>
    <w:rsid w:val="00CB3C30"/>
    <w:rsid w:val="00CB3DCC"/>
    <w:rsid w:val="00CB40A1"/>
    <w:rsid w:val="00CB433E"/>
    <w:rsid w:val="00CB45E3"/>
    <w:rsid w:val="00CB464B"/>
    <w:rsid w:val="00CB46AD"/>
    <w:rsid w:val="00CB46D9"/>
    <w:rsid w:val="00CB4A1B"/>
    <w:rsid w:val="00CB4A8B"/>
    <w:rsid w:val="00CB4B48"/>
    <w:rsid w:val="00CB4C27"/>
    <w:rsid w:val="00CB4D69"/>
    <w:rsid w:val="00CB4DF1"/>
    <w:rsid w:val="00CB4F28"/>
    <w:rsid w:val="00CB4F9B"/>
    <w:rsid w:val="00CB4FAC"/>
    <w:rsid w:val="00CB52CB"/>
    <w:rsid w:val="00CB53C3"/>
    <w:rsid w:val="00CB54A7"/>
    <w:rsid w:val="00CB54D0"/>
    <w:rsid w:val="00CB55A9"/>
    <w:rsid w:val="00CB55CB"/>
    <w:rsid w:val="00CB55DD"/>
    <w:rsid w:val="00CB5664"/>
    <w:rsid w:val="00CB5847"/>
    <w:rsid w:val="00CB587D"/>
    <w:rsid w:val="00CB59F1"/>
    <w:rsid w:val="00CB5C0F"/>
    <w:rsid w:val="00CB5C5A"/>
    <w:rsid w:val="00CB5CAD"/>
    <w:rsid w:val="00CB5CF1"/>
    <w:rsid w:val="00CB5D68"/>
    <w:rsid w:val="00CB5E25"/>
    <w:rsid w:val="00CB616A"/>
    <w:rsid w:val="00CB619A"/>
    <w:rsid w:val="00CB623F"/>
    <w:rsid w:val="00CB62BF"/>
    <w:rsid w:val="00CB6321"/>
    <w:rsid w:val="00CB638F"/>
    <w:rsid w:val="00CB6543"/>
    <w:rsid w:val="00CB65CC"/>
    <w:rsid w:val="00CB6636"/>
    <w:rsid w:val="00CB66AF"/>
    <w:rsid w:val="00CB68E5"/>
    <w:rsid w:val="00CB69C2"/>
    <w:rsid w:val="00CB6C77"/>
    <w:rsid w:val="00CB6CA1"/>
    <w:rsid w:val="00CB6CBE"/>
    <w:rsid w:val="00CB6E52"/>
    <w:rsid w:val="00CB6E72"/>
    <w:rsid w:val="00CB6EBB"/>
    <w:rsid w:val="00CB7072"/>
    <w:rsid w:val="00CB730A"/>
    <w:rsid w:val="00CB731A"/>
    <w:rsid w:val="00CB7385"/>
    <w:rsid w:val="00CB758B"/>
    <w:rsid w:val="00CB75EE"/>
    <w:rsid w:val="00CB7959"/>
    <w:rsid w:val="00CB7A5E"/>
    <w:rsid w:val="00CB7A83"/>
    <w:rsid w:val="00CB7C57"/>
    <w:rsid w:val="00CB7F4B"/>
    <w:rsid w:val="00CC0066"/>
    <w:rsid w:val="00CC01B5"/>
    <w:rsid w:val="00CC084E"/>
    <w:rsid w:val="00CC0928"/>
    <w:rsid w:val="00CC09A9"/>
    <w:rsid w:val="00CC0A8C"/>
    <w:rsid w:val="00CC0B56"/>
    <w:rsid w:val="00CC0EDA"/>
    <w:rsid w:val="00CC1138"/>
    <w:rsid w:val="00CC12B3"/>
    <w:rsid w:val="00CC1430"/>
    <w:rsid w:val="00CC14C2"/>
    <w:rsid w:val="00CC170B"/>
    <w:rsid w:val="00CC1725"/>
    <w:rsid w:val="00CC19B8"/>
    <w:rsid w:val="00CC1B38"/>
    <w:rsid w:val="00CC1C68"/>
    <w:rsid w:val="00CC1D32"/>
    <w:rsid w:val="00CC1E24"/>
    <w:rsid w:val="00CC1F89"/>
    <w:rsid w:val="00CC1FB9"/>
    <w:rsid w:val="00CC2116"/>
    <w:rsid w:val="00CC2304"/>
    <w:rsid w:val="00CC2581"/>
    <w:rsid w:val="00CC27BF"/>
    <w:rsid w:val="00CC2824"/>
    <w:rsid w:val="00CC2866"/>
    <w:rsid w:val="00CC28AB"/>
    <w:rsid w:val="00CC29EC"/>
    <w:rsid w:val="00CC2A18"/>
    <w:rsid w:val="00CC2C98"/>
    <w:rsid w:val="00CC2E59"/>
    <w:rsid w:val="00CC2ED9"/>
    <w:rsid w:val="00CC316D"/>
    <w:rsid w:val="00CC3454"/>
    <w:rsid w:val="00CC358D"/>
    <w:rsid w:val="00CC36CC"/>
    <w:rsid w:val="00CC36CF"/>
    <w:rsid w:val="00CC3A6C"/>
    <w:rsid w:val="00CC3B7E"/>
    <w:rsid w:val="00CC3D82"/>
    <w:rsid w:val="00CC3E97"/>
    <w:rsid w:val="00CC3F43"/>
    <w:rsid w:val="00CC4067"/>
    <w:rsid w:val="00CC41B8"/>
    <w:rsid w:val="00CC41CF"/>
    <w:rsid w:val="00CC4212"/>
    <w:rsid w:val="00CC43AC"/>
    <w:rsid w:val="00CC4687"/>
    <w:rsid w:val="00CC46B2"/>
    <w:rsid w:val="00CC48AF"/>
    <w:rsid w:val="00CC4C35"/>
    <w:rsid w:val="00CC4C41"/>
    <w:rsid w:val="00CC4D98"/>
    <w:rsid w:val="00CC4FF8"/>
    <w:rsid w:val="00CC51B1"/>
    <w:rsid w:val="00CC5271"/>
    <w:rsid w:val="00CC56E0"/>
    <w:rsid w:val="00CC573F"/>
    <w:rsid w:val="00CC57DC"/>
    <w:rsid w:val="00CC5958"/>
    <w:rsid w:val="00CC5A32"/>
    <w:rsid w:val="00CC5A6B"/>
    <w:rsid w:val="00CC5B08"/>
    <w:rsid w:val="00CC5C07"/>
    <w:rsid w:val="00CC5DB0"/>
    <w:rsid w:val="00CC6141"/>
    <w:rsid w:val="00CC64B4"/>
    <w:rsid w:val="00CC6518"/>
    <w:rsid w:val="00CC6527"/>
    <w:rsid w:val="00CC6541"/>
    <w:rsid w:val="00CC6655"/>
    <w:rsid w:val="00CC6668"/>
    <w:rsid w:val="00CC66F8"/>
    <w:rsid w:val="00CC6B68"/>
    <w:rsid w:val="00CC6C89"/>
    <w:rsid w:val="00CC6CE9"/>
    <w:rsid w:val="00CC6DC2"/>
    <w:rsid w:val="00CC6E8C"/>
    <w:rsid w:val="00CC706E"/>
    <w:rsid w:val="00CC726E"/>
    <w:rsid w:val="00CC747A"/>
    <w:rsid w:val="00CC784A"/>
    <w:rsid w:val="00CC7851"/>
    <w:rsid w:val="00CC7901"/>
    <w:rsid w:val="00CC794F"/>
    <w:rsid w:val="00CC7A56"/>
    <w:rsid w:val="00CC7C00"/>
    <w:rsid w:val="00CC7DDE"/>
    <w:rsid w:val="00CC7ECD"/>
    <w:rsid w:val="00CC7F98"/>
    <w:rsid w:val="00CD0493"/>
    <w:rsid w:val="00CD0664"/>
    <w:rsid w:val="00CD0691"/>
    <w:rsid w:val="00CD06BE"/>
    <w:rsid w:val="00CD089D"/>
    <w:rsid w:val="00CD098B"/>
    <w:rsid w:val="00CD09DC"/>
    <w:rsid w:val="00CD0AE5"/>
    <w:rsid w:val="00CD0B76"/>
    <w:rsid w:val="00CD0C4E"/>
    <w:rsid w:val="00CD0CB5"/>
    <w:rsid w:val="00CD0CCC"/>
    <w:rsid w:val="00CD0F45"/>
    <w:rsid w:val="00CD1336"/>
    <w:rsid w:val="00CD1732"/>
    <w:rsid w:val="00CD17D5"/>
    <w:rsid w:val="00CD1885"/>
    <w:rsid w:val="00CD198F"/>
    <w:rsid w:val="00CD1A33"/>
    <w:rsid w:val="00CD1A70"/>
    <w:rsid w:val="00CD1AE5"/>
    <w:rsid w:val="00CD1B10"/>
    <w:rsid w:val="00CD1BCB"/>
    <w:rsid w:val="00CD1C34"/>
    <w:rsid w:val="00CD1E97"/>
    <w:rsid w:val="00CD1F19"/>
    <w:rsid w:val="00CD1FF6"/>
    <w:rsid w:val="00CD20E1"/>
    <w:rsid w:val="00CD22CA"/>
    <w:rsid w:val="00CD2444"/>
    <w:rsid w:val="00CD252D"/>
    <w:rsid w:val="00CD2549"/>
    <w:rsid w:val="00CD25FE"/>
    <w:rsid w:val="00CD29A9"/>
    <w:rsid w:val="00CD2A9C"/>
    <w:rsid w:val="00CD2B01"/>
    <w:rsid w:val="00CD2BFC"/>
    <w:rsid w:val="00CD2C23"/>
    <w:rsid w:val="00CD312D"/>
    <w:rsid w:val="00CD3286"/>
    <w:rsid w:val="00CD3919"/>
    <w:rsid w:val="00CD3982"/>
    <w:rsid w:val="00CD3F98"/>
    <w:rsid w:val="00CD424C"/>
    <w:rsid w:val="00CD43A0"/>
    <w:rsid w:val="00CD43D5"/>
    <w:rsid w:val="00CD441B"/>
    <w:rsid w:val="00CD47FC"/>
    <w:rsid w:val="00CD481B"/>
    <w:rsid w:val="00CD4933"/>
    <w:rsid w:val="00CD4C0D"/>
    <w:rsid w:val="00CD4C55"/>
    <w:rsid w:val="00CD4FE0"/>
    <w:rsid w:val="00CD52B5"/>
    <w:rsid w:val="00CD539A"/>
    <w:rsid w:val="00CD5472"/>
    <w:rsid w:val="00CD5781"/>
    <w:rsid w:val="00CD58F9"/>
    <w:rsid w:val="00CD5A73"/>
    <w:rsid w:val="00CD5A80"/>
    <w:rsid w:val="00CD5BFD"/>
    <w:rsid w:val="00CD5D6D"/>
    <w:rsid w:val="00CD5DD3"/>
    <w:rsid w:val="00CD5FC3"/>
    <w:rsid w:val="00CD6016"/>
    <w:rsid w:val="00CD633D"/>
    <w:rsid w:val="00CD63F6"/>
    <w:rsid w:val="00CD6547"/>
    <w:rsid w:val="00CD680C"/>
    <w:rsid w:val="00CD68CA"/>
    <w:rsid w:val="00CD693D"/>
    <w:rsid w:val="00CD6ACA"/>
    <w:rsid w:val="00CD6D83"/>
    <w:rsid w:val="00CD6F16"/>
    <w:rsid w:val="00CD7052"/>
    <w:rsid w:val="00CD7131"/>
    <w:rsid w:val="00CD7180"/>
    <w:rsid w:val="00CD7236"/>
    <w:rsid w:val="00CD7341"/>
    <w:rsid w:val="00CD75AB"/>
    <w:rsid w:val="00CD7761"/>
    <w:rsid w:val="00CD78B2"/>
    <w:rsid w:val="00CD78BA"/>
    <w:rsid w:val="00CD7B61"/>
    <w:rsid w:val="00CD7E69"/>
    <w:rsid w:val="00CD7F3F"/>
    <w:rsid w:val="00CD7F50"/>
    <w:rsid w:val="00CE0031"/>
    <w:rsid w:val="00CE00AB"/>
    <w:rsid w:val="00CE0140"/>
    <w:rsid w:val="00CE0250"/>
    <w:rsid w:val="00CE03A4"/>
    <w:rsid w:val="00CE0511"/>
    <w:rsid w:val="00CE0565"/>
    <w:rsid w:val="00CE0773"/>
    <w:rsid w:val="00CE09F2"/>
    <w:rsid w:val="00CE0AD1"/>
    <w:rsid w:val="00CE0C4A"/>
    <w:rsid w:val="00CE1047"/>
    <w:rsid w:val="00CE16A7"/>
    <w:rsid w:val="00CE17A4"/>
    <w:rsid w:val="00CE1816"/>
    <w:rsid w:val="00CE192E"/>
    <w:rsid w:val="00CE1C4D"/>
    <w:rsid w:val="00CE1DE2"/>
    <w:rsid w:val="00CE1FA0"/>
    <w:rsid w:val="00CE2004"/>
    <w:rsid w:val="00CE208C"/>
    <w:rsid w:val="00CE21EA"/>
    <w:rsid w:val="00CE2223"/>
    <w:rsid w:val="00CE232D"/>
    <w:rsid w:val="00CE2351"/>
    <w:rsid w:val="00CE2374"/>
    <w:rsid w:val="00CE2954"/>
    <w:rsid w:val="00CE2A03"/>
    <w:rsid w:val="00CE2D67"/>
    <w:rsid w:val="00CE30C8"/>
    <w:rsid w:val="00CE30CB"/>
    <w:rsid w:val="00CE328B"/>
    <w:rsid w:val="00CE39BD"/>
    <w:rsid w:val="00CE3A32"/>
    <w:rsid w:val="00CE3B7D"/>
    <w:rsid w:val="00CE3E12"/>
    <w:rsid w:val="00CE3E78"/>
    <w:rsid w:val="00CE3F29"/>
    <w:rsid w:val="00CE3F6F"/>
    <w:rsid w:val="00CE403E"/>
    <w:rsid w:val="00CE4138"/>
    <w:rsid w:val="00CE415D"/>
    <w:rsid w:val="00CE42CC"/>
    <w:rsid w:val="00CE433D"/>
    <w:rsid w:val="00CE440D"/>
    <w:rsid w:val="00CE44B3"/>
    <w:rsid w:val="00CE45BF"/>
    <w:rsid w:val="00CE4666"/>
    <w:rsid w:val="00CE4757"/>
    <w:rsid w:val="00CE47EB"/>
    <w:rsid w:val="00CE4A44"/>
    <w:rsid w:val="00CE4C03"/>
    <w:rsid w:val="00CE4D3D"/>
    <w:rsid w:val="00CE4E2C"/>
    <w:rsid w:val="00CE4E9A"/>
    <w:rsid w:val="00CE50FE"/>
    <w:rsid w:val="00CE552A"/>
    <w:rsid w:val="00CE56AC"/>
    <w:rsid w:val="00CE56E9"/>
    <w:rsid w:val="00CE5B10"/>
    <w:rsid w:val="00CE5BBD"/>
    <w:rsid w:val="00CE5BFF"/>
    <w:rsid w:val="00CE5D74"/>
    <w:rsid w:val="00CE5FBC"/>
    <w:rsid w:val="00CE6013"/>
    <w:rsid w:val="00CE6136"/>
    <w:rsid w:val="00CE63D0"/>
    <w:rsid w:val="00CE65C6"/>
    <w:rsid w:val="00CE6694"/>
    <w:rsid w:val="00CE67BC"/>
    <w:rsid w:val="00CE682E"/>
    <w:rsid w:val="00CE68A4"/>
    <w:rsid w:val="00CE6972"/>
    <w:rsid w:val="00CE6AAE"/>
    <w:rsid w:val="00CE6E49"/>
    <w:rsid w:val="00CE6EEC"/>
    <w:rsid w:val="00CE6F36"/>
    <w:rsid w:val="00CE706D"/>
    <w:rsid w:val="00CE7130"/>
    <w:rsid w:val="00CE71A4"/>
    <w:rsid w:val="00CE7223"/>
    <w:rsid w:val="00CE74F2"/>
    <w:rsid w:val="00CE7743"/>
    <w:rsid w:val="00CE7832"/>
    <w:rsid w:val="00CE78D5"/>
    <w:rsid w:val="00CE7D62"/>
    <w:rsid w:val="00CE7F83"/>
    <w:rsid w:val="00CF01E9"/>
    <w:rsid w:val="00CF01FE"/>
    <w:rsid w:val="00CF0326"/>
    <w:rsid w:val="00CF0371"/>
    <w:rsid w:val="00CF046F"/>
    <w:rsid w:val="00CF06C5"/>
    <w:rsid w:val="00CF070A"/>
    <w:rsid w:val="00CF0831"/>
    <w:rsid w:val="00CF09E3"/>
    <w:rsid w:val="00CF0CBD"/>
    <w:rsid w:val="00CF0CD4"/>
    <w:rsid w:val="00CF0D25"/>
    <w:rsid w:val="00CF0ED8"/>
    <w:rsid w:val="00CF100C"/>
    <w:rsid w:val="00CF109D"/>
    <w:rsid w:val="00CF144B"/>
    <w:rsid w:val="00CF145E"/>
    <w:rsid w:val="00CF149F"/>
    <w:rsid w:val="00CF1975"/>
    <w:rsid w:val="00CF1A60"/>
    <w:rsid w:val="00CF1E76"/>
    <w:rsid w:val="00CF24AF"/>
    <w:rsid w:val="00CF2591"/>
    <w:rsid w:val="00CF277F"/>
    <w:rsid w:val="00CF2C9B"/>
    <w:rsid w:val="00CF2EF8"/>
    <w:rsid w:val="00CF2F71"/>
    <w:rsid w:val="00CF31C3"/>
    <w:rsid w:val="00CF33C1"/>
    <w:rsid w:val="00CF35B5"/>
    <w:rsid w:val="00CF3A32"/>
    <w:rsid w:val="00CF3BA5"/>
    <w:rsid w:val="00CF3BBA"/>
    <w:rsid w:val="00CF3BFF"/>
    <w:rsid w:val="00CF3CD3"/>
    <w:rsid w:val="00CF3D5C"/>
    <w:rsid w:val="00CF408E"/>
    <w:rsid w:val="00CF4253"/>
    <w:rsid w:val="00CF44E9"/>
    <w:rsid w:val="00CF44F7"/>
    <w:rsid w:val="00CF460B"/>
    <w:rsid w:val="00CF461C"/>
    <w:rsid w:val="00CF464D"/>
    <w:rsid w:val="00CF4697"/>
    <w:rsid w:val="00CF490E"/>
    <w:rsid w:val="00CF4C43"/>
    <w:rsid w:val="00CF4DF1"/>
    <w:rsid w:val="00CF4E68"/>
    <w:rsid w:val="00CF4EF9"/>
    <w:rsid w:val="00CF524B"/>
    <w:rsid w:val="00CF5385"/>
    <w:rsid w:val="00CF5435"/>
    <w:rsid w:val="00CF59B9"/>
    <w:rsid w:val="00CF5B3C"/>
    <w:rsid w:val="00CF5B9B"/>
    <w:rsid w:val="00CF5D27"/>
    <w:rsid w:val="00CF5D4C"/>
    <w:rsid w:val="00CF5E8D"/>
    <w:rsid w:val="00CF608B"/>
    <w:rsid w:val="00CF60A0"/>
    <w:rsid w:val="00CF63B0"/>
    <w:rsid w:val="00CF65E4"/>
    <w:rsid w:val="00CF677F"/>
    <w:rsid w:val="00CF69A9"/>
    <w:rsid w:val="00CF6A06"/>
    <w:rsid w:val="00CF6A34"/>
    <w:rsid w:val="00CF6A64"/>
    <w:rsid w:val="00CF6A67"/>
    <w:rsid w:val="00CF6A77"/>
    <w:rsid w:val="00CF6B11"/>
    <w:rsid w:val="00CF6CD1"/>
    <w:rsid w:val="00CF6F1A"/>
    <w:rsid w:val="00CF711E"/>
    <w:rsid w:val="00CF78B0"/>
    <w:rsid w:val="00CF7927"/>
    <w:rsid w:val="00CF7D87"/>
    <w:rsid w:val="00CF7DF4"/>
    <w:rsid w:val="00D00097"/>
    <w:rsid w:val="00D0013B"/>
    <w:rsid w:val="00D00142"/>
    <w:rsid w:val="00D0017C"/>
    <w:rsid w:val="00D006AD"/>
    <w:rsid w:val="00D006C3"/>
    <w:rsid w:val="00D0071F"/>
    <w:rsid w:val="00D0077C"/>
    <w:rsid w:val="00D00893"/>
    <w:rsid w:val="00D0097F"/>
    <w:rsid w:val="00D00ADA"/>
    <w:rsid w:val="00D00BF5"/>
    <w:rsid w:val="00D00DDB"/>
    <w:rsid w:val="00D00DF6"/>
    <w:rsid w:val="00D00F7F"/>
    <w:rsid w:val="00D00FA6"/>
    <w:rsid w:val="00D00FEF"/>
    <w:rsid w:val="00D01057"/>
    <w:rsid w:val="00D011C9"/>
    <w:rsid w:val="00D01381"/>
    <w:rsid w:val="00D01433"/>
    <w:rsid w:val="00D01457"/>
    <w:rsid w:val="00D0153D"/>
    <w:rsid w:val="00D01800"/>
    <w:rsid w:val="00D01B63"/>
    <w:rsid w:val="00D01C64"/>
    <w:rsid w:val="00D01E5C"/>
    <w:rsid w:val="00D0204B"/>
    <w:rsid w:val="00D02210"/>
    <w:rsid w:val="00D02242"/>
    <w:rsid w:val="00D02352"/>
    <w:rsid w:val="00D0242F"/>
    <w:rsid w:val="00D0268F"/>
    <w:rsid w:val="00D0287C"/>
    <w:rsid w:val="00D02A7F"/>
    <w:rsid w:val="00D02BA0"/>
    <w:rsid w:val="00D02C8F"/>
    <w:rsid w:val="00D02CB8"/>
    <w:rsid w:val="00D02D09"/>
    <w:rsid w:val="00D02D74"/>
    <w:rsid w:val="00D02E37"/>
    <w:rsid w:val="00D02F0A"/>
    <w:rsid w:val="00D02F60"/>
    <w:rsid w:val="00D03172"/>
    <w:rsid w:val="00D03474"/>
    <w:rsid w:val="00D035BF"/>
    <w:rsid w:val="00D036B7"/>
    <w:rsid w:val="00D03762"/>
    <w:rsid w:val="00D037FD"/>
    <w:rsid w:val="00D03812"/>
    <w:rsid w:val="00D03B75"/>
    <w:rsid w:val="00D03B9C"/>
    <w:rsid w:val="00D03BB9"/>
    <w:rsid w:val="00D03C20"/>
    <w:rsid w:val="00D03C2D"/>
    <w:rsid w:val="00D03DAA"/>
    <w:rsid w:val="00D03DC0"/>
    <w:rsid w:val="00D0400D"/>
    <w:rsid w:val="00D0409F"/>
    <w:rsid w:val="00D04242"/>
    <w:rsid w:val="00D04265"/>
    <w:rsid w:val="00D043A8"/>
    <w:rsid w:val="00D045C6"/>
    <w:rsid w:val="00D04653"/>
    <w:rsid w:val="00D04785"/>
    <w:rsid w:val="00D04873"/>
    <w:rsid w:val="00D048D3"/>
    <w:rsid w:val="00D048F7"/>
    <w:rsid w:val="00D0493D"/>
    <w:rsid w:val="00D04D6D"/>
    <w:rsid w:val="00D04E10"/>
    <w:rsid w:val="00D04E64"/>
    <w:rsid w:val="00D05015"/>
    <w:rsid w:val="00D05054"/>
    <w:rsid w:val="00D05399"/>
    <w:rsid w:val="00D057EA"/>
    <w:rsid w:val="00D05819"/>
    <w:rsid w:val="00D0590B"/>
    <w:rsid w:val="00D05918"/>
    <w:rsid w:val="00D05D05"/>
    <w:rsid w:val="00D05F33"/>
    <w:rsid w:val="00D05F83"/>
    <w:rsid w:val="00D05FCF"/>
    <w:rsid w:val="00D0602E"/>
    <w:rsid w:val="00D0628E"/>
    <w:rsid w:val="00D063FE"/>
    <w:rsid w:val="00D0647F"/>
    <w:rsid w:val="00D064D6"/>
    <w:rsid w:val="00D06837"/>
    <w:rsid w:val="00D06B88"/>
    <w:rsid w:val="00D06BA5"/>
    <w:rsid w:val="00D06D7E"/>
    <w:rsid w:val="00D070DC"/>
    <w:rsid w:val="00D0736C"/>
    <w:rsid w:val="00D074F1"/>
    <w:rsid w:val="00D0751D"/>
    <w:rsid w:val="00D0776A"/>
    <w:rsid w:val="00D07779"/>
    <w:rsid w:val="00D077C9"/>
    <w:rsid w:val="00D077F9"/>
    <w:rsid w:val="00D078C8"/>
    <w:rsid w:val="00D07BF6"/>
    <w:rsid w:val="00D07DCB"/>
    <w:rsid w:val="00D07E08"/>
    <w:rsid w:val="00D100A1"/>
    <w:rsid w:val="00D1021C"/>
    <w:rsid w:val="00D1024A"/>
    <w:rsid w:val="00D104A4"/>
    <w:rsid w:val="00D105CE"/>
    <w:rsid w:val="00D107F2"/>
    <w:rsid w:val="00D108B4"/>
    <w:rsid w:val="00D10911"/>
    <w:rsid w:val="00D10B57"/>
    <w:rsid w:val="00D10BC9"/>
    <w:rsid w:val="00D10D19"/>
    <w:rsid w:val="00D110EF"/>
    <w:rsid w:val="00D11179"/>
    <w:rsid w:val="00D1158C"/>
    <w:rsid w:val="00D11939"/>
    <w:rsid w:val="00D11B98"/>
    <w:rsid w:val="00D11D92"/>
    <w:rsid w:val="00D11F84"/>
    <w:rsid w:val="00D12149"/>
    <w:rsid w:val="00D1220B"/>
    <w:rsid w:val="00D12576"/>
    <w:rsid w:val="00D125F6"/>
    <w:rsid w:val="00D12765"/>
    <w:rsid w:val="00D12938"/>
    <w:rsid w:val="00D129CD"/>
    <w:rsid w:val="00D12A4C"/>
    <w:rsid w:val="00D12A8B"/>
    <w:rsid w:val="00D12BC1"/>
    <w:rsid w:val="00D12D61"/>
    <w:rsid w:val="00D133D5"/>
    <w:rsid w:val="00D1342E"/>
    <w:rsid w:val="00D13472"/>
    <w:rsid w:val="00D1375E"/>
    <w:rsid w:val="00D13773"/>
    <w:rsid w:val="00D137F2"/>
    <w:rsid w:val="00D137FE"/>
    <w:rsid w:val="00D13BEB"/>
    <w:rsid w:val="00D13E5C"/>
    <w:rsid w:val="00D143E2"/>
    <w:rsid w:val="00D144C8"/>
    <w:rsid w:val="00D14501"/>
    <w:rsid w:val="00D145F3"/>
    <w:rsid w:val="00D14807"/>
    <w:rsid w:val="00D149AC"/>
    <w:rsid w:val="00D14B1E"/>
    <w:rsid w:val="00D14B3E"/>
    <w:rsid w:val="00D14CFF"/>
    <w:rsid w:val="00D14E1E"/>
    <w:rsid w:val="00D15057"/>
    <w:rsid w:val="00D150A9"/>
    <w:rsid w:val="00D1521A"/>
    <w:rsid w:val="00D15336"/>
    <w:rsid w:val="00D15422"/>
    <w:rsid w:val="00D159D7"/>
    <w:rsid w:val="00D15AA1"/>
    <w:rsid w:val="00D15BE2"/>
    <w:rsid w:val="00D16072"/>
    <w:rsid w:val="00D160ED"/>
    <w:rsid w:val="00D16487"/>
    <w:rsid w:val="00D16662"/>
    <w:rsid w:val="00D1669E"/>
    <w:rsid w:val="00D16852"/>
    <w:rsid w:val="00D16948"/>
    <w:rsid w:val="00D169F1"/>
    <w:rsid w:val="00D16B93"/>
    <w:rsid w:val="00D16C5E"/>
    <w:rsid w:val="00D16F4A"/>
    <w:rsid w:val="00D16FE7"/>
    <w:rsid w:val="00D16FE9"/>
    <w:rsid w:val="00D170F5"/>
    <w:rsid w:val="00D1721B"/>
    <w:rsid w:val="00D17250"/>
    <w:rsid w:val="00D173FE"/>
    <w:rsid w:val="00D17471"/>
    <w:rsid w:val="00D1772F"/>
    <w:rsid w:val="00D17863"/>
    <w:rsid w:val="00D17CBE"/>
    <w:rsid w:val="00D17E74"/>
    <w:rsid w:val="00D20041"/>
    <w:rsid w:val="00D2015C"/>
    <w:rsid w:val="00D201E3"/>
    <w:rsid w:val="00D202A3"/>
    <w:rsid w:val="00D203C1"/>
    <w:rsid w:val="00D205F2"/>
    <w:rsid w:val="00D2078F"/>
    <w:rsid w:val="00D20826"/>
    <w:rsid w:val="00D209F6"/>
    <w:rsid w:val="00D20ABF"/>
    <w:rsid w:val="00D20D99"/>
    <w:rsid w:val="00D20EA4"/>
    <w:rsid w:val="00D20FB2"/>
    <w:rsid w:val="00D21315"/>
    <w:rsid w:val="00D21596"/>
    <w:rsid w:val="00D215A7"/>
    <w:rsid w:val="00D215F7"/>
    <w:rsid w:val="00D21614"/>
    <w:rsid w:val="00D2172D"/>
    <w:rsid w:val="00D21D97"/>
    <w:rsid w:val="00D21D9A"/>
    <w:rsid w:val="00D21F38"/>
    <w:rsid w:val="00D2217A"/>
    <w:rsid w:val="00D222BB"/>
    <w:rsid w:val="00D223BC"/>
    <w:rsid w:val="00D223CA"/>
    <w:rsid w:val="00D22517"/>
    <w:rsid w:val="00D22C77"/>
    <w:rsid w:val="00D22F86"/>
    <w:rsid w:val="00D22FB4"/>
    <w:rsid w:val="00D23130"/>
    <w:rsid w:val="00D2342B"/>
    <w:rsid w:val="00D23458"/>
    <w:rsid w:val="00D23806"/>
    <w:rsid w:val="00D238CF"/>
    <w:rsid w:val="00D238E3"/>
    <w:rsid w:val="00D239BF"/>
    <w:rsid w:val="00D23A2D"/>
    <w:rsid w:val="00D23CDD"/>
    <w:rsid w:val="00D23DD9"/>
    <w:rsid w:val="00D23E2F"/>
    <w:rsid w:val="00D2419C"/>
    <w:rsid w:val="00D241DE"/>
    <w:rsid w:val="00D2426A"/>
    <w:rsid w:val="00D24572"/>
    <w:rsid w:val="00D24582"/>
    <w:rsid w:val="00D246DE"/>
    <w:rsid w:val="00D24777"/>
    <w:rsid w:val="00D24809"/>
    <w:rsid w:val="00D248C2"/>
    <w:rsid w:val="00D248FC"/>
    <w:rsid w:val="00D24CB9"/>
    <w:rsid w:val="00D24D06"/>
    <w:rsid w:val="00D24F19"/>
    <w:rsid w:val="00D24FA1"/>
    <w:rsid w:val="00D24FD9"/>
    <w:rsid w:val="00D25928"/>
    <w:rsid w:val="00D25BBC"/>
    <w:rsid w:val="00D25F36"/>
    <w:rsid w:val="00D2610B"/>
    <w:rsid w:val="00D2614B"/>
    <w:rsid w:val="00D261EF"/>
    <w:rsid w:val="00D26269"/>
    <w:rsid w:val="00D262C8"/>
    <w:rsid w:val="00D26316"/>
    <w:rsid w:val="00D263AE"/>
    <w:rsid w:val="00D266A0"/>
    <w:rsid w:val="00D26702"/>
    <w:rsid w:val="00D26A23"/>
    <w:rsid w:val="00D26EBE"/>
    <w:rsid w:val="00D26EF8"/>
    <w:rsid w:val="00D27147"/>
    <w:rsid w:val="00D275FF"/>
    <w:rsid w:val="00D276F1"/>
    <w:rsid w:val="00D278AE"/>
    <w:rsid w:val="00D278C7"/>
    <w:rsid w:val="00D278D0"/>
    <w:rsid w:val="00D27A3F"/>
    <w:rsid w:val="00D27B18"/>
    <w:rsid w:val="00D27D4C"/>
    <w:rsid w:val="00D27E7D"/>
    <w:rsid w:val="00D27E9C"/>
    <w:rsid w:val="00D27EBD"/>
    <w:rsid w:val="00D3015D"/>
    <w:rsid w:val="00D30695"/>
    <w:rsid w:val="00D307D4"/>
    <w:rsid w:val="00D30827"/>
    <w:rsid w:val="00D30AB6"/>
    <w:rsid w:val="00D30BB6"/>
    <w:rsid w:val="00D30F5B"/>
    <w:rsid w:val="00D311D1"/>
    <w:rsid w:val="00D31218"/>
    <w:rsid w:val="00D31232"/>
    <w:rsid w:val="00D3164D"/>
    <w:rsid w:val="00D316CF"/>
    <w:rsid w:val="00D31B8B"/>
    <w:rsid w:val="00D31CF3"/>
    <w:rsid w:val="00D31D56"/>
    <w:rsid w:val="00D31DBA"/>
    <w:rsid w:val="00D31E6C"/>
    <w:rsid w:val="00D31EC2"/>
    <w:rsid w:val="00D31EF9"/>
    <w:rsid w:val="00D31FDA"/>
    <w:rsid w:val="00D321E6"/>
    <w:rsid w:val="00D32819"/>
    <w:rsid w:val="00D328DF"/>
    <w:rsid w:val="00D329A1"/>
    <w:rsid w:val="00D329FA"/>
    <w:rsid w:val="00D32D15"/>
    <w:rsid w:val="00D3301E"/>
    <w:rsid w:val="00D3303B"/>
    <w:rsid w:val="00D33108"/>
    <w:rsid w:val="00D33393"/>
    <w:rsid w:val="00D333A9"/>
    <w:rsid w:val="00D33532"/>
    <w:rsid w:val="00D33641"/>
    <w:rsid w:val="00D338D4"/>
    <w:rsid w:val="00D33919"/>
    <w:rsid w:val="00D33B17"/>
    <w:rsid w:val="00D33E98"/>
    <w:rsid w:val="00D33EDA"/>
    <w:rsid w:val="00D34199"/>
    <w:rsid w:val="00D34420"/>
    <w:rsid w:val="00D34425"/>
    <w:rsid w:val="00D34449"/>
    <w:rsid w:val="00D348C8"/>
    <w:rsid w:val="00D3490E"/>
    <w:rsid w:val="00D34AEE"/>
    <w:rsid w:val="00D34BB1"/>
    <w:rsid w:val="00D34D25"/>
    <w:rsid w:val="00D34D9E"/>
    <w:rsid w:val="00D34DF8"/>
    <w:rsid w:val="00D34F0A"/>
    <w:rsid w:val="00D350A9"/>
    <w:rsid w:val="00D35106"/>
    <w:rsid w:val="00D3514A"/>
    <w:rsid w:val="00D3518D"/>
    <w:rsid w:val="00D3551F"/>
    <w:rsid w:val="00D35609"/>
    <w:rsid w:val="00D35656"/>
    <w:rsid w:val="00D3583A"/>
    <w:rsid w:val="00D35A56"/>
    <w:rsid w:val="00D35CBC"/>
    <w:rsid w:val="00D35DC8"/>
    <w:rsid w:val="00D36052"/>
    <w:rsid w:val="00D36367"/>
    <w:rsid w:val="00D363AE"/>
    <w:rsid w:val="00D363DB"/>
    <w:rsid w:val="00D3647A"/>
    <w:rsid w:val="00D365BB"/>
    <w:rsid w:val="00D366FF"/>
    <w:rsid w:val="00D3674E"/>
    <w:rsid w:val="00D36795"/>
    <w:rsid w:val="00D367B8"/>
    <w:rsid w:val="00D367F5"/>
    <w:rsid w:val="00D36A84"/>
    <w:rsid w:val="00D36AED"/>
    <w:rsid w:val="00D36D5B"/>
    <w:rsid w:val="00D36E49"/>
    <w:rsid w:val="00D37273"/>
    <w:rsid w:val="00D37327"/>
    <w:rsid w:val="00D37366"/>
    <w:rsid w:val="00D373EC"/>
    <w:rsid w:val="00D37427"/>
    <w:rsid w:val="00D377C8"/>
    <w:rsid w:val="00D37C81"/>
    <w:rsid w:val="00D37D96"/>
    <w:rsid w:val="00D37F70"/>
    <w:rsid w:val="00D40079"/>
    <w:rsid w:val="00D4034B"/>
    <w:rsid w:val="00D404E6"/>
    <w:rsid w:val="00D4055A"/>
    <w:rsid w:val="00D40597"/>
    <w:rsid w:val="00D406CB"/>
    <w:rsid w:val="00D40917"/>
    <w:rsid w:val="00D41091"/>
    <w:rsid w:val="00D410A8"/>
    <w:rsid w:val="00D41385"/>
    <w:rsid w:val="00D41588"/>
    <w:rsid w:val="00D4158C"/>
    <w:rsid w:val="00D417EB"/>
    <w:rsid w:val="00D418BE"/>
    <w:rsid w:val="00D41C14"/>
    <w:rsid w:val="00D41CF7"/>
    <w:rsid w:val="00D41E19"/>
    <w:rsid w:val="00D41E93"/>
    <w:rsid w:val="00D42038"/>
    <w:rsid w:val="00D4215C"/>
    <w:rsid w:val="00D4217C"/>
    <w:rsid w:val="00D42499"/>
    <w:rsid w:val="00D4254C"/>
    <w:rsid w:val="00D4255B"/>
    <w:rsid w:val="00D425ED"/>
    <w:rsid w:val="00D42749"/>
    <w:rsid w:val="00D42783"/>
    <w:rsid w:val="00D42861"/>
    <w:rsid w:val="00D42AFF"/>
    <w:rsid w:val="00D42B2B"/>
    <w:rsid w:val="00D42B9E"/>
    <w:rsid w:val="00D42BB0"/>
    <w:rsid w:val="00D42CD9"/>
    <w:rsid w:val="00D4302A"/>
    <w:rsid w:val="00D430F2"/>
    <w:rsid w:val="00D4321D"/>
    <w:rsid w:val="00D43234"/>
    <w:rsid w:val="00D435ED"/>
    <w:rsid w:val="00D436E8"/>
    <w:rsid w:val="00D437CD"/>
    <w:rsid w:val="00D43896"/>
    <w:rsid w:val="00D43C97"/>
    <w:rsid w:val="00D43CA9"/>
    <w:rsid w:val="00D43CED"/>
    <w:rsid w:val="00D43EEB"/>
    <w:rsid w:val="00D448FC"/>
    <w:rsid w:val="00D44BD0"/>
    <w:rsid w:val="00D44D6D"/>
    <w:rsid w:val="00D4501A"/>
    <w:rsid w:val="00D45154"/>
    <w:rsid w:val="00D4530F"/>
    <w:rsid w:val="00D4535C"/>
    <w:rsid w:val="00D45371"/>
    <w:rsid w:val="00D45491"/>
    <w:rsid w:val="00D45B2C"/>
    <w:rsid w:val="00D45C55"/>
    <w:rsid w:val="00D45CB1"/>
    <w:rsid w:val="00D460D4"/>
    <w:rsid w:val="00D461FF"/>
    <w:rsid w:val="00D4647F"/>
    <w:rsid w:val="00D46BA1"/>
    <w:rsid w:val="00D46C50"/>
    <w:rsid w:val="00D46D1A"/>
    <w:rsid w:val="00D46F2D"/>
    <w:rsid w:val="00D47154"/>
    <w:rsid w:val="00D47188"/>
    <w:rsid w:val="00D472EA"/>
    <w:rsid w:val="00D47333"/>
    <w:rsid w:val="00D47450"/>
    <w:rsid w:val="00D474A3"/>
    <w:rsid w:val="00D47533"/>
    <w:rsid w:val="00D4787C"/>
    <w:rsid w:val="00D47951"/>
    <w:rsid w:val="00D479BA"/>
    <w:rsid w:val="00D47B92"/>
    <w:rsid w:val="00D47C97"/>
    <w:rsid w:val="00D47D4E"/>
    <w:rsid w:val="00D47EDA"/>
    <w:rsid w:val="00D47F21"/>
    <w:rsid w:val="00D5007A"/>
    <w:rsid w:val="00D5009F"/>
    <w:rsid w:val="00D500BB"/>
    <w:rsid w:val="00D5013E"/>
    <w:rsid w:val="00D501B3"/>
    <w:rsid w:val="00D504BD"/>
    <w:rsid w:val="00D504C5"/>
    <w:rsid w:val="00D507BA"/>
    <w:rsid w:val="00D50883"/>
    <w:rsid w:val="00D50A47"/>
    <w:rsid w:val="00D50A98"/>
    <w:rsid w:val="00D50D6C"/>
    <w:rsid w:val="00D50DE4"/>
    <w:rsid w:val="00D5137F"/>
    <w:rsid w:val="00D513FF"/>
    <w:rsid w:val="00D515E1"/>
    <w:rsid w:val="00D517EE"/>
    <w:rsid w:val="00D51809"/>
    <w:rsid w:val="00D51819"/>
    <w:rsid w:val="00D51875"/>
    <w:rsid w:val="00D519DA"/>
    <w:rsid w:val="00D51B7D"/>
    <w:rsid w:val="00D51BED"/>
    <w:rsid w:val="00D520C8"/>
    <w:rsid w:val="00D525AB"/>
    <w:rsid w:val="00D526AA"/>
    <w:rsid w:val="00D528AD"/>
    <w:rsid w:val="00D5299C"/>
    <w:rsid w:val="00D52B43"/>
    <w:rsid w:val="00D52C0B"/>
    <w:rsid w:val="00D52D46"/>
    <w:rsid w:val="00D534E8"/>
    <w:rsid w:val="00D53763"/>
    <w:rsid w:val="00D539E9"/>
    <w:rsid w:val="00D539F8"/>
    <w:rsid w:val="00D53BEB"/>
    <w:rsid w:val="00D53CE3"/>
    <w:rsid w:val="00D53FA6"/>
    <w:rsid w:val="00D54099"/>
    <w:rsid w:val="00D540AD"/>
    <w:rsid w:val="00D541B1"/>
    <w:rsid w:val="00D544F7"/>
    <w:rsid w:val="00D54791"/>
    <w:rsid w:val="00D54E08"/>
    <w:rsid w:val="00D54F2E"/>
    <w:rsid w:val="00D55237"/>
    <w:rsid w:val="00D55288"/>
    <w:rsid w:val="00D5544A"/>
    <w:rsid w:val="00D55456"/>
    <w:rsid w:val="00D558D0"/>
    <w:rsid w:val="00D5594D"/>
    <w:rsid w:val="00D559E0"/>
    <w:rsid w:val="00D55AAD"/>
    <w:rsid w:val="00D55CB2"/>
    <w:rsid w:val="00D55CB5"/>
    <w:rsid w:val="00D55E81"/>
    <w:rsid w:val="00D55FCE"/>
    <w:rsid w:val="00D56072"/>
    <w:rsid w:val="00D563D1"/>
    <w:rsid w:val="00D5658F"/>
    <w:rsid w:val="00D56739"/>
    <w:rsid w:val="00D56B38"/>
    <w:rsid w:val="00D56CF4"/>
    <w:rsid w:val="00D56E31"/>
    <w:rsid w:val="00D56E36"/>
    <w:rsid w:val="00D56EA9"/>
    <w:rsid w:val="00D571D0"/>
    <w:rsid w:val="00D573B5"/>
    <w:rsid w:val="00D573F2"/>
    <w:rsid w:val="00D5756D"/>
    <w:rsid w:val="00D577D6"/>
    <w:rsid w:val="00D5785B"/>
    <w:rsid w:val="00D57882"/>
    <w:rsid w:val="00D57A7D"/>
    <w:rsid w:val="00D57C3B"/>
    <w:rsid w:val="00D57E5C"/>
    <w:rsid w:val="00D603F0"/>
    <w:rsid w:val="00D60617"/>
    <w:rsid w:val="00D60647"/>
    <w:rsid w:val="00D6066C"/>
    <w:rsid w:val="00D606FF"/>
    <w:rsid w:val="00D607D2"/>
    <w:rsid w:val="00D6084F"/>
    <w:rsid w:val="00D6091A"/>
    <w:rsid w:val="00D60A69"/>
    <w:rsid w:val="00D60B46"/>
    <w:rsid w:val="00D60CA1"/>
    <w:rsid w:val="00D60D12"/>
    <w:rsid w:val="00D611C9"/>
    <w:rsid w:val="00D61256"/>
    <w:rsid w:val="00D6130B"/>
    <w:rsid w:val="00D6169B"/>
    <w:rsid w:val="00D61A84"/>
    <w:rsid w:val="00D61B0B"/>
    <w:rsid w:val="00D61B41"/>
    <w:rsid w:val="00D61B94"/>
    <w:rsid w:val="00D61D35"/>
    <w:rsid w:val="00D61E45"/>
    <w:rsid w:val="00D61ED7"/>
    <w:rsid w:val="00D61F1C"/>
    <w:rsid w:val="00D62222"/>
    <w:rsid w:val="00D6233F"/>
    <w:rsid w:val="00D623E4"/>
    <w:rsid w:val="00D623EE"/>
    <w:rsid w:val="00D6250C"/>
    <w:rsid w:val="00D627CD"/>
    <w:rsid w:val="00D62849"/>
    <w:rsid w:val="00D62AA4"/>
    <w:rsid w:val="00D62AD3"/>
    <w:rsid w:val="00D62C1F"/>
    <w:rsid w:val="00D62CF0"/>
    <w:rsid w:val="00D62DF0"/>
    <w:rsid w:val="00D62E7B"/>
    <w:rsid w:val="00D630AA"/>
    <w:rsid w:val="00D630DE"/>
    <w:rsid w:val="00D63165"/>
    <w:rsid w:val="00D635D6"/>
    <w:rsid w:val="00D635DC"/>
    <w:rsid w:val="00D638F8"/>
    <w:rsid w:val="00D63A53"/>
    <w:rsid w:val="00D63BC8"/>
    <w:rsid w:val="00D63D96"/>
    <w:rsid w:val="00D63EA0"/>
    <w:rsid w:val="00D63EC0"/>
    <w:rsid w:val="00D63F3A"/>
    <w:rsid w:val="00D6406E"/>
    <w:rsid w:val="00D6462D"/>
    <w:rsid w:val="00D64AA9"/>
    <w:rsid w:val="00D64E15"/>
    <w:rsid w:val="00D64F6B"/>
    <w:rsid w:val="00D650CD"/>
    <w:rsid w:val="00D65259"/>
    <w:rsid w:val="00D652D7"/>
    <w:rsid w:val="00D654DA"/>
    <w:rsid w:val="00D6587A"/>
    <w:rsid w:val="00D658D0"/>
    <w:rsid w:val="00D65A13"/>
    <w:rsid w:val="00D65AAB"/>
    <w:rsid w:val="00D65D36"/>
    <w:rsid w:val="00D66084"/>
    <w:rsid w:val="00D66104"/>
    <w:rsid w:val="00D6628D"/>
    <w:rsid w:val="00D66529"/>
    <w:rsid w:val="00D66843"/>
    <w:rsid w:val="00D66F26"/>
    <w:rsid w:val="00D670EC"/>
    <w:rsid w:val="00D67622"/>
    <w:rsid w:val="00D67672"/>
    <w:rsid w:val="00D676F0"/>
    <w:rsid w:val="00D677A2"/>
    <w:rsid w:val="00D67B7A"/>
    <w:rsid w:val="00D67BBC"/>
    <w:rsid w:val="00D67E1A"/>
    <w:rsid w:val="00D67E9C"/>
    <w:rsid w:val="00D7003D"/>
    <w:rsid w:val="00D701EF"/>
    <w:rsid w:val="00D70258"/>
    <w:rsid w:val="00D70333"/>
    <w:rsid w:val="00D70814"/>
    <w:rsid w:val="00D709E6"/>
    <w:rsid w:val="00D70CD3"/>
    <w:rsid w:val="00D70E24"/>
    <w:rsid w:val="00D70E94"/>
    <w:rsid w:val="00D70F8A"/>
    <w:rsid w:val="00D70FE8"/>
    <w:rsid w:val="00D7121E"/>
    <w:rsid w:val="00D71233"/>
    <w:rsid w:val="00D713ED"/>
    <w:rsid w:val="00D71467"/>
    <w:rsid w:val="00D715B7"/>
    <w:rsid w:val="00D71647"/>
    <w:rsid w:val="00D71661"/>
    <w:rsid w:val="00D716AA"/>
    <w:rsid w:val="00D717EE"/>
    <w:rsid w:val="00D719AC"/>
    <w:rsid w:val="00D719B0"/>
    <w:rsid w:val="00D71AF1"/>
    <w:rsid w:val="00D71CD4"/>
    <w:rsid w:val="00D71DB9"/>
    <w:rsid w:val="00D71DCD"/>
    <w:rsid w:val="00D71EFC"/>
    <w:rsid w:val="00D71EFE"/>
    <w:rsid w:val="00D72083"/>
    <w:rsid w:val="00D723C5"/>
    <w:rsid w:val="00D72495"/>
    <w:rsid w:val="00D72667"/>
    <w:rsid w:val="00D72A90"/>
    <w:rsid w:val="00D72B31"/>
    <w:rsid w:val="00D72B3A"/>
    <w:rsid w:val="00D72CC0"/>
    <w:rsid w:val="00D72D53"/>
    <w:rsid w:val="00D72F9B"/>
    <w:rsid w:val="00D72FCC"/>
    <w:rsid w:val="00D7304A"/>
    <w:rsid w:val="00D7313F"/>
    <w:rsid w:val="00D73285"/>
    <w:rsid w:val="00D73404"/>
    <w:rsid w:val="00D73416"/>
    <w:rsid w:val="00D7343B"/>
    <w:rsid w:val="00D734B2"/>
    <w:rsid w:val="00D734B7"/>
    <w:rsid w:val="00D7370C"/>
    <w:rsid w:val="00D7370F"/>
    <w:rsid w:val="00D73822"/>
    <w:rsid w:val="00D738E3"/>
    <w:rsid w:val="00D739BE"/>
    <w:rsid w:val="00D73AE3"/>
    <w:rsid w:val="00D73B50"/>
    <w:rsid w:val="00D73E8B"/>
    <w:rsid w:val="00D73EA4"/>
    <w:rsid w:val="00D7405A"/>
    <w:rsid w:val="00D740C8"/>
    <w:rsid w:val="00D743A0"/>
    <w:rsid w:val="00D743D8"/>
    <w:rsid w:val="00D74653"/>
    <w:rsid w:val="00D748E2"/>
    <w:rsid w:val="00D74C6F"/>
    <w:rsid w:val="00D7504B"/>
    <w:rsid w:val="00D7506C"/>
    <w:rsid w:val="00D7506D"/>
    <w:rsid w:val="00D750A9"/>
    <w:rsid w:val="00D754EF"/>
    <w:rsid w:val="00D7555B"/>
    <w:rsid w:val="00D756B1"/>
    <w:rsid w:val="00D75800"/>
    <w:rsid w:val="00D759E0"/>
    <w:rsid w:val="00D75E55"/>
    <w:rsid w:val="00D75EB6"/>
    <w:rsid w:val="00D75ECE"/>
    <w:rsid w:val="00D760F9"/>
    <w:rsid w:val="00D761F1"/>
    <w:rsid w:val="00D762E9"/>
    <w:rsid w:val="00D76309"/>
    <w:rsid w:val="00D76384"/>
    <w:rsid w:val="00D763B0"/>
    <w:rsid w:val="00D7661F"/>
    <w:rsid w:val="00D76809"/>
    <w:rsid w:val="00D76885"/>
    <w:rsid w:val="00D76C42"/>
    <w:rsid w:val="00D76C85"/>
    <w:rsid w:val="00D76EBD"/>
    <w:rsid w:val="00D76F4E"/>
    <w:rsid w:val="00D770BF"/>
    <w:rsid w:val="00D77137"/>
    <w:rsid w:val="00D771F8"/>
    <w:rsid w:val="00D772C7"/>
    <w:rsid w:val="00D77322"/>
    <w:rsid w:val="00D7732D"/>
    <w:rsid w:val="00D773A5"/>
    <w:rsid w:val="00D77B75"/>
    <w:rsid w:val="00D77BC5"/>
    <w:rsid w:val="00D77D7F"/>
    <w:rsid w:val="00D77E13"/>
    <w:rsid w:val="00D77F45"/>
    <w:rsid w:val="00D80080"/>
    <w:rsid w:val="00D805CF"/>
    <w:rsid w:val="00D80797"/>
    <w:rsid w:val="00D80805"/>
    <w:rsid w:val="00D80C86"/>
    <w:rsid w:val="00D80CE7"/>
    <w:rsid w:val="00D80E86"/>
    <w:rsid w:val="00D80F1F"/>
    <w:rsid w:val="00D80FBB"/>
    <w:rsid w:val="00D812DF"/>
    <w:rsid w:val="00D81351"/>
    <w:rsid w:val="00D813C1"/>
    <w:rsid w:val="00D81470"/>
    <w:rsid w:val="00D814C3"/>
    <w:rsid w:val="00D8162D"/>
    <w:rsid w:val="00D81773"/>
    <w:rsid w:val="00D819AB"/>
    <w:rsid w:val="00D81A45"/>
    <w:rsid w:val="00D81BF4"/>
    <w:rsid w:val="00D82323"/>
    <w:rsid w:val="00D8245F"/>
    <w:rsid w:val="00D826B1"/>
    <w:rsid w:val="00D82891"/>
    <w:rsid w:val="00D82AB7"/>
    <w:rsid w:val="00D82BF5"/>
    <w:rsid w:val="00D82ED4"/>
    <w:rsid w:val="00D82F0C"/>
    <w:rsid w:val="00D83104"/>
    <w:rsid w:val="00D8323E"/>
    <w:rsid w:val="00D834CC"/>
    <w:rsid w:val="00D83568"/>
    <w:rsid w:val="00D83760"/>
    <w:rsid w:val="00D837C7"/>
    <w:rsid w:val="00D838D7"/>
    <w:rsid w:val="00D83D34"/>
    <w:rsid w:val="00D83F83"/>
    <w:rsid w:val="00D8404C"/>
    <w:rsid w:val="00D840DE"/>
    <w:rsid w:val="00D840FD"/>
    <w:rsid w:val="00D84346"/>
    <w:rsid w:val="00D84375"/>
    <w:rsid w:val="00D8488C"/>
    <w:rsid w:val="00D8492E"/>
    <w:rsid w:val="00D84B4F"/>
    <w:rsid w:val="00D84D0C"/>
    <w:rsid w:val="00D84D94"/>
    <w:rsid w:val="00D84F51"/>
    <w:rsid w:val="00D852AF"/>
    <w:rsid w:val="00D852FD"/>
    <w:rsid w:val="00D8531D"/>
    <w:rsid w:val="00D85415"/>
    <w:rsid w:val="00D8542A"/>
    <w:rsid w:val="00D8583A"/>
    <w:rsid w:val="00D85D48"/>
    <w:rsid w:val="00D85ED6"/>
    <w:rsid w:val="00D85F51"/>
    <w:rsid w:val="00D86194"/>
    <w:rsid w:val="00D86368"/>
    <w:rsid w:val="00D86495"/>
    <w:rsid w:val="00D86572"/>
    <w:rsid w:val="00D8673F"/>
    <w:rsid w:val="00D86B2A"/>
    <w:rsid w:val="00D86BAF"/>
    <w:rsid w:val="00D86E65"/>
    <w:rsid w:val="00D86E95"/>
    <w:rsid w:val="00D86EAC"/>
    <w:rsid w:val="00D86EB6"/>
    <w:rsid w:val="00D86F71"/>
    <w:rsid w:val="00D870E5"/>
    <w:rsid w:val="00D8712F"/>
    <w:rsid w:val="00D871EA"/>
    <w:rsid w:val="00D872D0"/>
    <w:rsid w:val="00D87418"/>
    <w:rsid w:val="00D877B8"/>
    <w:rsid w:val="00D8788C"/>
    <w:rsid w:val="00D87A1C"/>
    <w:rsid w:val="00D87D9A"/>
    <w:rsid w:val="00D87EC6"/>
    <w:rsid w:val="00D907F5"/>
    <w:rsid w:val="00D908D2"/>
    <w:rsid w:val="00D90AFE"/>
    <w:rsid w:val="00D90D4A"/>
    <w:rsid w:val="00D90DAF"/>
    <w:rsid w:val="00D91065"/>
    <w:rsid w:val="00D910BD"/>
    <w:rsid w:val="00D910C2"/>
    <w:rsid w:val="00D91287"/>
    <w:rsid w:val="00D912D5"/>
    <w:rsid w:val="00D914C2"/>
    <w:rsid w:val="00D916A0"/>
    <w:rsid w:val="00D91828"/>
    <w:rsid w:val="00D91856"/>
    <w:rsid w:val="00D918C7"/>
    <w:rsid w:val="00D91D75"/>
    <w:rsid w:val="00D91DAC"/>
    <w:rsid w:val="00D92003"/>
    <w:rsid w:val="00D92118"/>
    <w:rsid w:val="00D92272"/>
    <w:rsid w:val="00D92534"/>
    <w:rsid w:val="00D92738"/>
    <w:rsid w:val="00D9273E"/>
    <w:rsid w:val="00D92920"/>
    <w:rsid w:val="00D92947"/>
    <w:rsid w:val="00D92E67"/>
    <w:rsid w:val="00D92F4F"/>
    <w:rsid w:val="00D931AB"/>
    <w:rsid w:val="00D932D6"/>
    <w:rsid w:val="00D93352"/>
    <w:rsid w:val="00D93485"/>
    <w:rsid w:val="00D93545"/>
    <w:rsid w:val="00D939E7"/>
    <w:rsid w:val="00D93BEC"/>
    <w:rsid w:val="00D93E0A"/>
    <w:rsid w:val="00D93ECB"/>
    <w:rsid w:val="00D9409D"/>
    <w:rsid w:val="00D94357"/>
    <w:rsid w:val="00D94374"/>
    <w:rsid w:val="00D94534"/>
    <w:rsid w:val="00D94645"/>
    <w:rsid w:val="00D946A5"/>
    <w:rsid w:val="00D94746"/>
    <w:rsid w:val="00D94A97"/>
    <w:rsid w:val="00D94CE2"/>
    <w:rsid w:val="00D94ED0"/>
    <w:rsid w:val="00D94F0E"/>
    <w:rsid w:val="00D9508E"/>
    <w:rsid w:val="00D9534E"/>
    <w:rsid w:val="00D95512"/>
    <w:rsid w:val="00D95654"/>
    <w:rsid w:val="00D9565C"/>
    <w:rsid w:val="00D956CC"/>
    <w:rsid w:val="00D9593F"/>
    <w:rsid w:val="00D95C16"/>
    <w:rsid w:val="00D95D80"/>
    <w:rsid w:val="00D95E32"/>
    <w:rsid w:val="00D963BE"/>
    <w:rsid w:val="00D96677"/>
    <w:rsid w:val="00D969B0"/>
    <w:rsid w:val="00D96A1E"/>
    <w:rsid w:val="00D96DA2"/>
    <w:rsid w:val="00D96F20"/>
    <w:rsid w:val="00D97211"/>
    <w:rsid w:val="00D9722B"/>
    <w:rsid w:val="00D97692"/>
    <w:rsid w:val="00D97D4F"/>
    <w:rsid w:val="00DA00EB"/>
    <w:rsid w:val="00DA0274"/>
    <w:rsid w:val="00DA0455"/>
    <w:rsid w:val="00DA05D3"/>
    <w:rsid w:val="00DA095E"/>
    <w:rsid w:val="00DA09BB"/>
    <w:rsid w:val="00DA0B6F"/>
    <w:rsid w:val="00DA0B93"/>
    <w:rsid w:val="00DA0D43"/>
    <w:rsid w:val="00DA0FD8"/>
    <w:rsid w:val="00DA1379"/>
    <w:rsid w:val="00DA14BB"/>
    <w:rsid w:val="00DA159A"/>
    <w:rsid w:val="00DA1684"/>
    <w:rsid w:val="00DA1725"/>
    <w:rsid w:val="00DA19C9"/>
    <w:rsid w:val="00DA1C72"/>
    <w:rsid w:val="00DA1D2B"/>
    <w:rsid w:val="00DA1E57"/>
    <w:rsid w:val="00DA1ED8"/>
    <w:rsid w:val="00DA1EDA"/>
    <w:rsid w:val="00DA1F47"/>
    <w:rsid w:val="00DA226C"/>
    <w:rsid w:val="00DA2377"/>
    <w:rsid w:val="00DA23D1"/>
    <w:rsid w:val="00DA2410"/>
    <w:rsid w:val="00DA261A"/>
    <w:rsid w:val="00DA2663"/>
    <w:rsid w:val="00DA286E"/>
    <w:rsid w:val="00DA292F"/>
    <w:rsid w:val="00DA295F"/>
    <w:rsid w:val="00DA2B97"/>
    <w:rsid w:val="00DA2DEF"/>
    <w:rsid w:val="00DA2E03"/>
    <w:rsid w:val="00DA30B9"/>
    <w:rsid w:val="00DA319B"/>
    <w:rsid w:val="00DA34ED"/>
    <w:rsid w:val="00DA36F2"/>
    <w:rsid w:val="00DA385D"/>
    <w:rsid w:val="00DA3A11"/>
    <w:rsid w:val="00DA3C8F"/>
    <w:rsid w:val="00DA3DB3"/>
    <w:rsid w:val="00DA3E93"/>
    <w:rsid w:val="00DA3EBC"/>
    <w:rsid w:val="00DA3F6B"/>
    <w:rsid w:val="00DA3FBD"/>
    <w:rsid w:val="00DA40BF"/>
    <w:rsid w:val="00DA44C6"/>
    <w:rsid w:val="00DA4535"/>
    <w:rsid w:val="00DA46E6"/>
    <w:rsid w:val="00DA47B3"/>
    <w:rsid w:val="00DA4A0D"/>
    <w:rsid w:val="00DA4AF2"/>
    <w:rsid w:val="00DA4BD5"/>
    <w:rsid w:val="00DA4D4C"/>
    <w:rsid w:val="00DA4D5C"/>
    <w:rsid w:val="00DA4F76"/>
    <w:rsid w:val="00DA5149"/>
    <w:rsid w:val="00DA5360"/>
    <w:rsid w:val="00DA5540"/>
    <w:rsid w:val="00DA5B4C"/>
    <w:rsid w:val="00DA5E01"/>
    <w:rsid w:val="00DA5EA9"/>
    <w:rsid w:val="00DA5F4D"/>
    <w:rsid w:val="00DA6147"/>
    <w:rsid w:val="00DA638E"/>
    <w:rsid w:val="00DA63E6"/>
    <w:rsid w:val="00DA6826"/>
    <w:rsid w:val="00DA68CF"/>
    <w:rsid w:val="00DA6B54"/>
    <w:rsid w:val="00DA6D56"/>
    <w:rsid w:val="00DA6EF7"/>
    <w:rsid w:val="00DA7030"/>
    <w:rsid w:val="00DA70C0"/>
    <w:rsid w:val="00DA714D"/>
    <w:rsid w:val="00DA7582"/>
    <w:rsid w:val="00DA76B4"/>
    <w:rsid w:val="00DA7741"/>
    <w:rsid w:val="00DA7818"/>
    <w:rsid w:val="00DA79CE"/>
    <w:rsid w:val="00DA79F9"/>
    <w:rsid w:val="00DA79FA"/>
    <w:rsid w:val="00DA7ABB"/>
    <w:rsid w:val="00DA7AD8"/>
    <w:rsid w:val="00DA7BCE"/>
    <w:rsid w:val="00DA7D3C"/>
    <w:rsid w:val="00DA7E01"/>
    <w:rsid w:val="00DA7E11"/>
    <w:rsid w:val="00DA7EEE"/>
    <w:rsid w:val="00DB06CF"/>
    <w:rsid w:val="00DB0734"/>
    <w:rsid w:val="00DB085C"/>
    <w:rsid w:val="00DB0898"/>
    <w:rsid w:val="00DB0916"/>
    <w:rsid w:val="00DB091E"/>
    <w:rsid w:val="00DB0BF1"/>
    <w:rsid w:val="00DB0C4B"/>
    <w:rsid w:val="00DB0F9A"/>
    <w:rsid w:val="00DB1296"/>
    <w:rsid w:val="00DB14D8"/>
    <w:rsid w:val="00DB15A9"/>
    <w:rsid w:val="00DB1609"/>
    <w:rsid w:val="00DB1A98"/>
    <w:rsid w:val="00DB1B29"/>
    <w:rsid w:val="00DB1B5B"/>
    <w:rsid w:val="00DB1EFE"/>
    <w:rsid w:val="00DB1F8F"/>
    <w:rsid w:val="00DB1FE8"/>
    <w:rsid w:val="00DB2005"/>
    <w:rsid w:val="00DB20FA"/>
    <w:rsid w:val="00DB2180"/>
    <w:rsid w:val="00DB2275"/>
    <w:rsid w:val="00DB22FA"/>
    <w:rsid w:val="00DB2322"/>
    <w:rsid w:val="00DB23BB"/>
    <w:rsid w:val="00DB2536"/>
    <w:rsid w:val="00DB26C4"/>
    <w:rsid w:val="00DB2860"/>
    <w:rsid w:val="00DB288A"/>
    <w:rsid w:val="00DB2937"/>
    <w:rsid w:val="00DB295E"/>
    <w:rsid w:val="00DB29E5"/>
    <w:rsid w:val="00DB2A73"/>
    <w:rsid w:val="00DB2A9D"/>
    <w:rsid w:val="00DB2B0E"/>
    <w:rsid w:val="00DB2C60"/>
    <w:rsid w:val="00DB2DA5"/>
    <w:rsid w:val="00DB303F"/>
    <w:rsid w:val="00DB3080"/>
    <w:rsid w:val="00DB319F"/>
    <w:rsid w:val="00DB31A9"/>
    <w:rsid w:val="00DB336D"/>
    <w:rsid w:val="00DB3491"/>
    <w:rsid w:val="00DB3B33"/>
    <w:rsid w:val="00DB3C10"/>
    <w:rsid w:val="00DB3D12"/>
    <w:rsid w:val="00DB3DF7"/>
    <w:rsid w:val="00DB4ACF"/>
    <w:rsid w:val="00DB4AD3"/>
    <w:rsid w:val="00DB4B0B"/>
    <w:rsid w:val="00DB4ECA"/>
    <w:rsid w:val="00DB4F69"/>
    <w:rsid w:val="00DB4FE2"/>
    <w:rsid w:val="00DB505C"/>
    <w:rsid w:val="00DB51DC"/>
    <w:rsid w:val="00DB5298"/>
    <w:rsid w:val="00DB551A"/>
    <w:rsid w:val="00DB55D6"/>
    <w:rsid w:val="00DB5609"/>
    <w:rsid w:val="00DB57FA"/>
    <w:rsid w:val="00DB599D"/>
    <w:rsid w:val="00DB59AC"/>
    <w:rsid w:val="00DB5C70"/>
    <w:rsid w:val="00DB5CDD"/>
    <w:rsid w:val="00DB5DB2"/>
    <w:rsid w:val="00DB60C6"/>
    <w:rsid w:val="00DB610B"/>
    <w:rsid w:val="00DB61C1"/>
    <w:rsid w:val="00DB6213"/>
    <w:rsid w:val="00DB634F"/>
    <w:rsid w:val="00DB6362"/>
    <w:rsid w:val="00DB6427"/>
    <w:rsid w:val="00DB6513"/>
    <w:rsid w:val="00DB6612"/>
    <w:rsid w:val="00DB6621"/>
    <w:rsid w:val="00DB66A1"/>
    <w:rsid w:val="00DB67A9"/>
    <w:rsid w:val="00DB6961"/>
    <w:rsid w:val="00DB6B43"/>
    <w:rsid w:val="00DB6B9B"/>
    <w:rsid w:val="00DB6D32"/>
    <w:rsid w:val="00DB6E17"/>
    <w:rsid w:val="00DB6F2F"/>
    <w:rsid w:val="00DB709E"/>
    <w:rsid w:val="00DB710C"/>
    <w:rsid w:val="00DB71DA"/>
    <w:rsid w:val="00DB7309"/>
    <w:rsid w:val="00DB730A"/>
    <w:rsid w:val="00DB7713"/>
    <w:rsid w:val="00DB7B1C"/>
    <w:rsid w:val="00DB7B32"/>
    <w:rsid w:val="00DB7B8A"/>
    <w:rsid w:val="00DB7CE5"/>
    <w:rsid w:val="00DB7F1E"/>
    <w:rsid w:val="00DC009F"/>
    <w:rsid w:val="00DC0385"/>
    <w:rsid w:val="00DC0501"/>
    <w:rsid w:val="00DC0553"/>
    <w:rsid w:val="00DC0882"/>
    <w:rsid w:val="00DC0952"/>
    <w:rsid w:val="00DC0992"/>
    <w:rsid w:val="00DC0A28"/>
    <w:rsid w:val="00DC0A86"/>
    <w:rsid w:val="00DC0B08"/>
    <w:rsid w:val="00DC0C98"/>
    <w:rsid w:val="00DC0EEC"/>
    <w:rsid w:val="00DC0F40"/>
    <w:rsid w:val="00DC0FC1"/>
    <w:rsid w:val="00DC126A"/>
    <w:rsid w:val="00DC1374"/>
    <w:rsid w:val="00DC149E"/>
    <w:rsid w:val="00DC18CC"/>
    <w:rsid w:val="00DC18D0"/>
    <w:rsid w:val="00DC18D5"/>
    <w:rsid w:val="00DC1DF7"/>
    <w:rsid w:val="00DC203C"/>
    <w:rsid w:val="00DC2487"/>
    <w:rsid w:val="00DC2634"/>
    <w:rsid w:val="00DC27AD"/>
    <w:rsid w:val="00DC2AB2"/>
    <w:rsid w:val="00DC2ADE"/>
    <w:rsid w:val="00DC2C01"/>
    <w:rsid w:val="00DC2CAA"/>
    <w:rsid w:val="00DC2D9F"/>
    <w:rsid w:val="00DC2DA5"/>
    <w:rsid w:val="00DC2DE1"/>
    <w:rsid w:val="00DC3129"/>
    <w:rsid w:val="00DC31A2"/>
    <w:rsid w:val="00DC3410"/>
    <w:rsid w:val="00DC3571"/>
    <w:rsid w:val="00DC35D7"/>
    <w:rsid w:val="00DC36D6"/>
    <w:rsid w:val="00DC3783"/>
    <w:rsid w:val="00DC37E0"/>
    <w:rsid w:val="00DC38D7"/>
    <w:rsid w:val="00DC3988"/>
    <w:rsid w:val="00DC399A"/>
    <w:rsid w:val="00DC3C40"/>
    <w:rsid w:val="00DC3C42"/>
    <w:rsid w:val="00DC3D63"/>
    <w:rsid w:val="00DC3F1F"/>
    <w:rsid w:val="00DC3FDE"/>
    <w:rsid w:val="00DC404A"/>
    <w:rsid w:val="00DC4421"/>
    <w:rsid w:val="00DC445A"/>
    <w:rsid w:val="00DC4589"/>
    <w:rsid w:val="00DC4A8E"/>
    <w:rsid w:val="00DC4CD3"/>
    <w:rsid w:val="00DC4D2B"/>
    <w:rsid w:val="00DC4D3E"/>
    <w:rsid w:val="00DC4E7B"/>
    <w:rsid w:val="00DC4FA1"/>
    <w:rsid w:val="00DC5063"/>
    <w:rsid w:val="00DC52A1"/>
    <w:rsid w:val="00DC5424"/>
    <w:rsid w:val="00DC589A"/>
    <w:rsid w:val="00DC59D1"/>
    <w:rsid w:val="00DC5DA5"/>
    <w:rsid w:val="00DC5E8F"/>
    <w:rsid w:val="00DC5FF0"/>
    <w:rsid w:val="00DC60D0"/>
    <w:rsid w:val="00DC61C0"/>
    <w:rsid w:val="00DC626D"/>
    <w:rsid w:val="00DC63F3"/>
    <w:rsid w:val="00DC642F"/>
    <w:rsid w:val="00DC66A3"/>
    <w:rsid w:val="00DC6809"/>
    <w:rsid w:val="00DC6915"/>
    <w:rsid w:val="00DC6952"/>
    <w:rsid w:val="00DC6975"/>
    <w:rsid w:val="00DC69CC"/>
    <w:rsid w:val="00DC69D9"/>
    <w:rsid w:val="00DC6A05"/>
    <w:rsid w:val="00DC6A32"/>
    <w:rsid w:val="00DC6B7D"/>
    <w:rsid w:val="00DC6BC0"/>
    <w:rsid w:val="00DC6D5C"/>
    <w:rsid w:val="00DC6E07"/>
    <w:rsid w:val="00DC6EEF"/>
    <w:rsid w:val="00DC6FD9"/>
    <w:rsid w:val="00DC73C6"/>
    <w:rsid w:val="00DC753C"/>
    <w:rsid w:val="00DC765E"/>
    <w:rsid w:val="00DC76E1"/>
    <w:rsid w:val="00DC776E"/>
    <w:rsid w:val="00DC77D7"/>
    <w:rsid w:val="00DC7885"/>
    <w:rsid w:val="00DC7CD4"/>
    <w:rsid w:val="00DD01C1"/>
    <w:rsid w:val="00DD0306"/>
    <w:rsid w:val="00DD03CE"/>
    <w:rsid w:val="00DD0AF2"/>
    <w:rsid w:val="00DD0BEC"/>
    <w:rsid w:val="00DD0C62"/>
    <w:rsid w:val="00DD0CDD"/>
    <w:rsid w:val="00DD1089"/>
    <w:rsid w:val="00DD1443"/>
    <w:rsid w:val="00DD1491"/>
    <w:rsid w:val="00DD1520"/>
    <w:rsid w:val="00DD1841"/>
    <w:rsid w:val="00DD1846"/>
    <w:rsid w:val="00DD1AAC"/>
    <w:rsid w:val="00DD1B9D"/>
    <w:rsid w:val="00DD1C5F"/>
    <w:rsid w:val="00DD1C79"/>
    <w:rsid w:val="00DD23F2"/>
    <w:rsid w:val="00DD249D"/>
    <w:rsid w:val="00DD27C8"/>
    <w:rsid w:val="00DD2967"/>
    <w:rsid w:val="00DD29EE"/>
    <w:rsid w:val="00DD2A23"/>
    <w:rsid w:val="00DD2ACD"/>
    <w:rsid w:val="00DD2BDD"/>
    <w:rsid w:val="00DD30F8"/>
    <w:rsid w:val="00DD314C"/>
    <w:rsid w:val="00DD3259"/>
    <w:rsid w:val="00DD32CF"/>
    <w:rsid w:val="00DD33D9"/>
    <w:rsid w:val="00DD35BE"/>
    <w:rsid w:val="00DD373B"/>
    <w:rsid w:val="00DD3D67"/>
    <w:rsid w:val="00DD3DB0"/>
    <w:rsid w:val="00DD3E08"/>
    <w:rsid w:val="00DD3F9D"/>
    <w:rsid w:val="00DD41AA"/>
    <w:rsid w:val="00DD46DB"/>
    <w:rsid w:val="00DD496C"/>
    <w:rsid w:val="00DD4990"/>
    <w:rsid w:val="00DD4A0D"/>
    <w:rsid w:val="00DD4A34"/>
    <w:rsid w:val="00DD4A8C"/>
    <w:rsid w:val="00DD4B74"/>
    <w:rsid w:val="00DD4C64"/>
    <w:rsid w:val="00DD4D78"/>
    <w:rsid w:val="00DD4DC7"/>
    <w:rsid w:val="00DD500E"/>
    <w:rsid w:val="00DD501C"/>
    <w:rsid w:val="00DD579F"/>
    <w:rsid w:val="00DD5934"/>
    <w:rsid w:val="00DD5954"/>
    <w:rsid w:val="00DD5E58"/>
    <w:rsid w:val="00DD5F57"/>
    <w:rsid w:val="00DD5FF2"/>
    <w:rsid w:val="00DD60BB"/>
    <w:rsid w:val="00DD6167"/>
    <w:rsid w:val="00DD6443"/>
    <w:rsid w:val="00DD6470"/>
    <w:rsid w:val="00DD67CC"/>
    <w:rsid w:val="00DD6869"/>
    <w:rsid w:val="00DD6AC4"/>
    <w:rsid w:val="00DD6B66"/>
    <w:rsid w:val="00DD6D21"/>
    <w:rsid w:val="00DD6D51"/>
    <w:rsid w:val="00DD6DBE"/>
    <w:rsid w:val="00DD6E61"/>
    <w:rsid w:val="00DD6E99"/>
    <w:rsid w:val="00DD6F9C"/>
    <w:rsid w:val="00DD7420"/>
    <w:rsid w:val="00DD75CF"/>
    <w:rsid w:val="00DD7B75"/>
    <w:rsid w:val="00DD7DD6"/>
    <w:rsid w:val="00DD7E1C"/>
    <w:rsid w:val="00DE00A8"/>
    <w:rsid w:val="00DE00E7"/>
    <w:rsid w:val="00DE043E"/>
    <w:rsid w:val="00DE0506"/>
    <w:rsid w:val="00DE0636"/>
    <w:rsid w:val="00DE068A"/>
    <w:rsid w:val="00DE0698"/>
    <w:rsid w:val="00DE08B1"/>
    <w:rsid w:val="00DE0ACD"/>
    <w:rsid w:val="00DE0BDF"/>
    <w:rsid w:val="00DE1057"/>
    <w:rsid w:val="00DE106D"/>
    <w:rsid w:val="00DE1148"/>
    <w:rsid w:val="00DE133C"/>
    <w:rsid w:val="00DE1412"/>
    <w:rsid w:val="00DE15E3"/>
    <w:rsid w:val="00DE18EE"/>
    <w:rsid w:val="00DE195F"/>
    <w:rsid w:val="00DE1C3B"/>
    <w:rsid w:val="00DE1DEF"/>
    <w:rsid w:val="00DE1F9D"/>
    <w:rsid w:val="00DE1FF9"/>
    <w:rsid w:val="00DE226B"/>
    <w:rsid w:val="00DE2308"/>
    <w:rsid w:val="00DE2451"/>
    <w:rsid w:val="00DE249F"/>
    <w:rsid w:val="00DE251A"/>
    <w:rsid w:val="00DE2653"/>
    <w:rsid w:val="00DE269B"/>
    <w:rsid w:val="00DE2736"/>
    <w:rsid w:val="00DE289B"/>
    <w:rsid w:val="00DE28D2"/>
    <w:rsid w:val="00DE2911"/>
    <w:rsid w:val="00DE2E6C"/>
    <w:rsid w:val="00DE31E0"/>
    <w:rsid w:val="00DE3661"/>
    <w:rsid w:val="00DE369C"/>
    <w:rsid w:val="00DE3800"/>
    <w:rsid w:val="00DE39B8"/>
    <w:rsid w:val="00DE3A0B"/>
    <w:rsid w:val="00DE3BB1"/>
    <w:rsid w:val="00DE3BC9"/>
    <w:rsid w:val="00DE3BE2"/>
    <w:rsid w:val="00DE3F87"/>
    <w:rsid w:val="00DE4181"/>
    <w:rsid w:val="00DE418F"/>
    <w:rsid w:val="00DE4340"/>
    <w:rsid w:val="00DE43B9"/>
    <w:rsid w:val="00DE4522"/>
    <w:rsid w:val="00DE45C3"/>
    <w:rsid w:val="00DE45CB"/>
    <w:rsid w:val="00DE4605"/>
    <w:rsid w:val="00DE4767"/>
    <w:rsid w:val="00DE47C4"/>
    <w:rsid w:val="00DE47FC"/>
    <w:rsid w:val="00DE4872"/>
    <w:rsid w:val="00DE49EE"/>
    <w:rsid w:val="00DE49F2"/>
    <w:rsid w:val="00DE4C0E"/>
    <w:rsid w:val="00DE4C12"/>
    <w:rsid w:val="00DE4D28"/>
    <w:rsid w:val="00DE4EC5"/>
    <w:rsid w:val="00DE5092"/>
    <w:rsid w:val="00DE51EC"/>
    <w:rsid w:val="00DE5532"/>
    <w:rsid w:val="00DE56E1"/>
    <w:rsid w:val="00DE579E"/>
    <w:rsid w:val="00DE5821"/>
    <w:rsid w:val="00DE5A8B"/>
    <w:rsid w:val="00DE5AA3"/>
    <w:rsid w:val="00DE5B71"/>
    <w:rsid w:val="00DE5CA8"/>
    <w:rsid w:val="00DE5CDF"/>
    <w:rsid w:val="00DE6394"/>
    <w:rsid w:val="00DE6455"/>
    <w:rsid w:val="00DE6654"/>
    <w:rsid w:val="00DE67AF"/>
    <w:rsid w:val="00DE69A7"/>
    <w:rsid w:val="00DE69AF"/>
    <w:rsid w:val="00DE6A41"/>
    <w:rsid w:val="00DE6A65"/>
    <w:rsid w:val="00DE6A90"/>
    <w:rsid w:val="00DE6B4D"/>
    <w:rsid w:val="00DE6B56"/>
    <w:rsid w:val="00DE6E76"/>
    <w:rsid w:val="00DE6F95"/>
    <w:rsid w:val="00DE6FDB"/>
    <w:rsid w:val="00DE6FF4"/>
    <w:rsid w:val="00DE71C5"/>
    <w:rsid w:val="00DE71E7"/>
    <w:rsid w:val="00DE721B"/>
    <w:rsid w:val="00DE72DC"/>
    <w:rsid w:val="00DE7677"/>
    <w:rsid w:val="00DE7727"/>
    <w:rsid w:val="00DE790D"/>
    <w:rsid w:val="00DE7A11"/>
    <w:rsid w:val="00DE7A85"/>
    <w:rsid w:val="00DE7B3D"/>
    <w:rsid w:val="00DE7CDC"/>
    <w:rsid w:val="00DE7DD5"/>
    <w:rsid w:val="00DF0466"/>
    <w:rsid w:val="00DF0725"/>
    <w:rsid w:val="00DF074B"/>
    <w:rsid w:val="00DF07BF"/>
    <w:rsid w:val="00DF07E6"/>
    <w:rsid w:val="00DF0823"/>
    <w:rsid w:val="00DF09BA"/>
    <w:rsid w:val="00DF0A28"/>
    <w:rsid w:val="00DF0C52"/>
    <w:rsid w:val="00DF0DDD"/>
    <w:rsid w:val="00DF0F2B"/>
    <w:rsid w:val="00DF11A7"/>
    <w:rsid w:val="00DF12BC"/>
    <w:rsid w:val="00DF155A"/>
    <w:rsid w:val="00DF15ED"/>
    <w:rsid w:val="00DF17D2"/>
    <w:rsid w:val="00DF18FF"/>
    <w:rsid w:val="00DF1C36"/>
    <w:rsid w:val="00DF1CF0"/>
    <w:rsid w:val="00DF1FDF"/>
    <w:rsid w:val="00DF20A0"/>
    <w:rsid w:val="00DF2201"/>
    <w:rsid w:val="00DF225F"/>
    <w:rsid w:val="00DF2502"/>
    <w:rsid w:val="00DF2542"/>
    <w:rsid w:val="00DF27FC"/>
    <w:rsid w:val="00DF2866"/>
    <w:rsid w:val="00DF2AEB"/>
    <w:rsid w:val="00DF2B8E"/>
    <w:rsid w:val="00DF2BAD"/>
    <w:rsid w:val="00DF2CC7"/>
    <w:rsid w:val="00DF2E6F"/>
    <w:rsid w:val="00DF2ECD"/>
    <w:rsid w:val="00DF2F12"/>
    <w:rsid w:val="00DF2F44"/>
    <w:rsid w:val="00DF3034"/>
    <w:rsid w:val="00DF3226"/>
    <w:rsid w:val="00DF34AA"/>
    <w:rsid w:val="00DF351D"/>
    <w:rsid w:val="00DF3835"/>
    <w:rsid w:val="00DF3B16"/>
    <w:rsid w:val="00DF3BB2"/>
    <w:rsid w:val="00DF3BE8"/>
    <w:rsid w:val="00DF3C26"/>
    <w:rsid w:val="00DF3D4E"/>
    <w:rsid w:val="00DF3E00"/>
    <w:rsid w:val="00DF4286"/>
    <w:rsid w:val="00DF4318"/>
    <w:rsid w:val="00DF4538"/>
    <w:rsid w:val="00DF46C5"/>
    <w:rsid w:val="00DF47B5"/>
    <w:rsid w:val="00DF47CA"/>
    <w:rsid w:val="00DF48D9"/>
    <w:rsid w:val="00DF4921"/>
    <w:rsid w:val="00DF49C8"/>
    <w:rsid w:val="00DF49EB"/>
    <w:rsid w:val="00DF4B67"/>
    <w:rsid w:val="00DF4DA0"/>
    <w:rsid w:val="00DF4E18"/>
    <w:rsid w:val="00DF4EB3"/>
    <w:rsid w:val="00DF4F74"/>
    <w:rsid w:val="00DF518B"/>
    <w:rsid w:val="00DF53CA"/>
    <w:rsid w:val="00DF54FB"/>
    <w:rsid w:val="00DF569E"/>
    <w:rsid w:val="00DF574C"/>
    <w:rsid w:val="00DF5BA0"/>
    <w:rsid w:val="00DF5CD5"/>
    <w:rsid w:val="00DF5F8B"/>
    <w:rsid w:val="00DF6195"/>
    <w:rsid w:val="00DF6205"/>
    <w:rsid w:val="00DF6333"/>
    <w:rsid w:val="00DF661A"/>
    <w:rsid w:val="00DF6703"/>
    <w:rsid w:val="00DF6AF1"/>
    <w:rsid w:val="00DF6C01"/>
    <w:rsid w:val="00DF7143"/>
    <w:rsid w:val="00DF72C5"/>
    <w:rsid w:val="00DF7525"/>
    <w:rsid w:val="00DF76A4"/>
    <w:rsid w:val="00DF794A"/>
    <w:rsid w:val="00DF7A27"/>
    <w:rsid w:val="00DF7FAB"/>
    <w:rsid w:val="00E003B3"/>
    <w:rsid w:val="00E0040F"/>
    <w:rsid w:val="00E0085B"/>
    <w:rsid w:val="00E008AE"/>
    <w:rsid w:val="00E00CEF"/>
    <w:rsid w:val="00E00D15"/>
    <w:rsid w:val="00E00D6F"/>
    <w:rsid w:val="00E00F8C"/>
    <w:rsid w:val="00E00FB4"/>
    <w:rsid w:val="00E00FC7"/>
    <w:rsid w:val="00E0104F"/>
    <w:rsid w:val="00E010F1"/>
    <w:rsid w:val="00E01176"/>
    <w:rsid w:val="00E011C2"/>
    <w:rsid w:val="00E012AB"/>
    <w:rsid w:val="00E013DD"/>
    <w:rsid w:val="00E0191C"/>
    <w:rsid w:val="00E01B4B"/>
    <w:rsid w:val="00E01C13"/>
    <w:rsid w:val="00E01D16"/>
    <w:rsid w:val="00E01D8A"/>
    <w:rsid w:val="00E0200C"/>
    <w:rsid w:val="00E02163"/>
    <w:rsid w:val="00E02358"/>
    <w:rsid w:val="00E0237A"/>
    <w:rsid w:val="00E024EA"/>
    <w:rsid w:val="00E02782"/>
    <w:rsid w:val="00E028A7"/>
    <w:rsid w:val="00E02C34"/>
    <w:rsid w:val="00E02F5E"/>
    <w:rsid w:val="00E035B2"/>
    <w:rsid w:val="00E03A86"/>
    <w:rsid w:val="00E03D2A"/>
    <w:rsid w:val="00E03DB8"/>
    <w:rsid w:val="00E03F88"/>
    <w:rsid w:val="00E042A8"/>
    <w:rsid w:val="00E04637"/>
    <w:rsid w:val="00E046A0"/>
    <w:rsid w:val="00E04738"/>
    <w:rsid w:val="00E04AD9"/>
    <w:rsid w:val="00E04C0B"/>
    <w:rsid w:val="00E04C5D"/>
    <w:rsid w:val="00E051A7"/>
    <w:rsid w:val="00E057D1"/>
    <w:rsid w:val="00E0598C"/>
    <w:rsid w:val="00E05B42"/>
    <w:rsid w:val="00E05BA5"/>
    <w:rsid w:val="00E060EE"/>
    <w:rsid w:val="00E06141"/>
    <w:rsid w:val="00E065B9"/>
    <w:rsid w:val="00E067E7"/>
    <w:rsid w:val="00E06990"/>
    <w:rsid w:val="00E06B19"/>
    <w:rsid w:val="00E06DFB"/>
    <w:rsid w:val="00E07038"/>
    <w:rsid w:val="00E0712E"/>
    <w:rsid w:val="00E071A9"/>
    <w:rsid w:val="00E07213"/>
    <w:rsid w:val="00E073F8"/>
    <w:rsid w:val="00E075CF"/>
    <w:rsid w:val="00E07622"/>
    <w:rsid w:val="00E07660"/>
    <w:rsid w:val="00E07662"/>
    <w:rsid w:val="00E0766F"/>
    <w:rsid w:val="00E077A1"/>
    <w:rsid w:val="00E077BB"/>
    <w:rsid w:val="00E07C30"/>
    <w:rsid w:val="00E1027F"/>
    <w:rsid w:val="00E102B5"/>
    <w:rsid w:val="00E105EB"/>
    <w:rsid w:val="00E10A86"/>
    <w:rsid w:val="00E10B99"/>
    <w:rsid w:val="00E10D25"/>
    <w:rsid w:val="00E10DC6"/>
    <w:rsid w:val="00E110AE"/>
    <w:rsid w:val="00E11175"/>
    <w:rsid w:val="00E112BE"/>
    <w:rsid w:val="00E11334"/>
    <w:rsid w:val="00E117FD"/>
    <w:rsid w:val="00E11876"/>
    <w:rsid w:val="00E119DD"/>
    <w:rsid w:val="00E11BC5"/>
    <w:rsid w:val="00E11C54"/>
    <w:rsid w:val="00E11DDD"/>
    <w:rsid w:val="00E11E47"/>
    <w:rsid w:val="00E1244B"/>
    <w:rsid w:val="00E124C0"/>
    <w:rsid w:val="00E124DA"/>
    <w:rsid w:val="00E124DB"/>
    <w:rsid w:val="00E12A5C"/>
    <w:rsid w:val="00E12BCE"/>
    <w:rsid w:val="00E12C5B"/>
    <w:rsid w:val="00E12DB6"/>
    <w:rsid w:val="00E13189"/>
    <w:rsid w:val="00E1318F"/>
    <w:rsid w:val="00E13228"/>
    <w:rsid w:val="00E1342F"/>
    <w:rsid w:val="00E13555"/>
    <w:rsid w:val="00E136B4"/>
    <w:rsid w:val="00E138E6"/>
    <w:rsid w:val="00E13AE5"/>
    <w:rsid w:val="00E13BB2"/>
    <w:rsid w:val="00E13C84"/>
    <w:rsid w:val="00E13CB8"/>
    <w:rsid w:val="00E13F22"/>
    <w:rsid w:val="00E13F9A"/>
    <w:rsid w:val="00E148F7"/>
    <w:rsid w:val="00E14933"/>
    <w:rsid w:val="00E1495D"/>
    <w:rsid w:val="00E14B37"/>
    <w:rsid w:val="00E14B3A"/>
    <w:rsid w:val="00E14D45"/>
    <w:rsid w:val="00E14E60"/>
    <w:rsid w:val="00E15006"/>
    <w:rsid w:val="00E153E9"/>
    <w:rsid w:val="00E1548A"/>
    <w:rsid w:val="00E155B9"/>
    <w:rsid w:val="00E155D1"/>
    <w:rsid w:val="00E156EC"/>
    <w:rsid w:val="00E156F1"/>
    <w:rsid w:val="00E15732"/>
    <w:rsid w:val="00E158E5"/>
    <w:rsid w:val="00E15C08"/>
    <w:rsid w:val="00E15E1D"/>
    <w:rsid w:val="00E15F15"/>
    <w:rsid w:val="00E15F5E"/>
    <w:rsid w:val="00E16047"/>
    <w:rsid w:val="00E160FB"/>
    <w:rsid w:val="00E161CA"/>
    <w:rsid w:val="00E1691F"/>
    <w:rsid w:val="00E16B0A"/>
    <w:rsid w:val="00E16B21"/>
    <w:rsid w:val="00E16B5D"/>
    <w:rsid w:val="00E16B87"/>
    <w:rsid w:val="00E16CC2"/>
    <w:rsid w:val="00E171A3"/>
    <w:rsid w:val="00E1722C"/>
    <w:rsid w:val="00E172F7"/>
    <w:rsid w:val="00E17352"/>
    <w:rsid w:val="00E17914"/>
    <w:rsid w:val="00E1799B"/>
    <w:rsid w:val="00E17B20"/>
    <w:rsid w:val="00E17D15"/>
    <w:rsid w:val="00E17D5C"/>
    <w:rsid w:val="00E17F66"/>
    <w:rsid w:val="00E203A2"/>
    <w:rsid w:val="00E206AD"/>
    <w:rsid w:val="00E20A09"/>
    <w:rsid w:val="00E20A2E"/>
    <w:rsid w:val="00E20B55"/>
    <w:rsid w:val="00E20C53"/>
    <w:rsid w:val="00E20C83"/>
    <w:rsid w:val="00E216A5"/>
    <w:rsid w:val="00E2197E"/>
    <w:rsid w:val="00E21A23"/>
    <w:rsid w:val="00E21A5F"/>
    <w:rsid w:val="00E21D52"/>
    <w:rsid w:val="00E22119"/>
    <w:rsid w:val="00E22156"/>
    <w:rsid w:val="00E22235"/>
    <w:rsid w:val="00E22261"/>
    <w:rsid w:val="00E22320"/>
    <w:rsid w:val="00E2232D"/>
    <w:rsid w:val="00E223C8"/>
    <w:rsid w:val="00E22523"/>
    <w:rsid w:val="00E22769"/>
    <w:rsid w:val="00E2277C"/>
    <w:rsid w:val="00E22B4E"/>
    <w:rsid w:val="00E22B9B"/>
    <w:rsid w:val="00E22C1D"/>
    <w:rsid w:val="00E22EA0"/>
    <w:rsid w:val="00E22F4A"/>
    <w:rsid w:val="00E2328B"/>
    <w:rsid w:val="00E2328E"/>
    <w:rsid w:val="00E23391"/>
    <w:rsid w:val="00E23EDB"/>
    <w:rsid w:val="00E24107"/>
    <w:rsid w:val="00E24394"/>
    <w:rsid w:val="00E24850"/>
    <w:rsid w:val="00E24A11"/>
    <w:rsid w:val="00E24C27"/>
    <w:rsid w:val="00E24EF4"/>
    <w:rsid w:val="00E24F26"/>
    <w:rsid w:val="00E2512E"/>
    <w:rsid w:val="00E251AE"/>
    <w:rsid w:val="00E251C2"/>
    <w:rsid w:val="00E25215"/>
    <w:rsid w:val="00E253AE"/>
    <w:rsid w:val="00E255B8"/>
    <w:rsid w:val="00E25656"/>
    <w:rsid w:val="00E25829"/>
    <w:rsid w:val="00E2594E"/>
    <w:rsid w:val="00E25974"/>
    <w:rsid w:val="00E25AC2"/>
    <w:rsid w:val="00E25ACB"/>
    <w:rsid w:val="00E26290"/>
    <w:rsid w:val="00E26507"/>
    <w:rsid w:val="00E26519"/>
    <w:rsid w:val="00E2671B"/>
    <w:rsid w:val="00E2693B"/>
    <w:rsid w:val="00E26A27"/>
    <w:rsid w:val="00E26A4E"/>
    <w:rsid w:val="00E26A56"/>
    <w:rsid w:val="00E26C46"/>
    <w:rsid w:val="00E26C9B"/>
    <w:rsid w:val="00E26CF8"/>
    <w:rsid w:val="00E26DB4"/>
    <w:rsid w:val="00E274EA"/>
    <w:rsid w:val="00E274F1"/>
    <w:rsid w:val="00E27590"/>
    <w:rsid w:val="00E275A5"/>
    <w:rsid w:val="00E2768B"/>
    <w:rsid w:val="00E27AAC"/>
    <w:rsid w:val="00E27B16"/>
    <w:rsid w:val="00E27BD6"/>
    <w:rsid w:val="00E27E24"/>
    <w:rsid w:val="00E300E9"/>
    <w:rsid w:val="00E30141"/>
    <w:rsid w:val="00E301B8"/>
    <w:rsid w:val="00E30255"/>
    <w:rsid w:val="00E302F9"/>
    <w:rsid w:val="00E303B4"/>
    <w:rsid w:val="00E303E6"/>
    <w:rsid w:val="00E304D7"/>
    <w:rsid w:val="00E30604"/>
    <w:rsid w:val="00E306B0"/>
    <w:rsid w:val="00E30756"/>
    <w:rsid w:val="00E309F4"/>
    <w:rsid w:val="00E30C80"/>
    <w:rsid w:val="00E30E7A"/>
    <w:rsid w:val="00E31564"/>
    <w:rsid w:val="00E3168B"/>
    <w:rsid w:val="00E31895"/>
    <w:rsid w:val="00E319C9"/>
    <w:rsid w:val="00E31D41"/>
    <w:rsid w:val="00E31E2E"/>
    <w:rsid w:val="00E31E60"/>
    <w:rsid w:val="00E31EE1"/>
    <w:rsid w:val="00E31F60"/>
    <w:rsid w:val="00E32136"/>
    <w:rsid w:val="00E32512"/>
    <w:rsid w:val="00E3269B"/>
    <w:rsid w:val="00E328AD"/>
    <w:rsid w:val="00E32917"/>
    <w:rsid w:val="00E32A27"/>
    <w:rsid w:val="00E32BC3"/>
    <w:rsid w:val="00E3336E"/>
    <w:rsid w:val="00E334BA"/>
    <w:rsid w:val="00E33AC0"/>
    <w:rsid w:val="00E33B2E"/>
    <w:rsid w:val="00E33BB4"/>
    <w:rsid w:val="00E33BB5"/>
    <w:rsid w:val="00E33CD1"/>
    <w:rsid w:val="00E33D30"/>
    <w:rsid w:val="00E33EA4"/>
    <w:rsid w:val="00E34159"/>
    <w:rsid w:val="00E345E9"/>
    <w:rsid w:val="00E34723"/>
    <w:rsid w:val="00E3479A"/>
    <w:rsid w:val="00E34AB6"/>
    <w:rsid w:val="00E34B2F"/>
    <w:rsid w:val="00E34C09"/>
    <w:rsid w:val="00E34CF3"/>
    <w:rsid w:val="00E34D67"/>
    <w:rsid w:val="00E34E44"/>
    <w:rsid w:val="00E34E4F"/>
    <w:rsid w:val="00E352BE"/>
    <w:rsid w:val="00E3557B"/>
    <w:rsid w:val="00E355BD"/>
    <w:rsid w:val="00E358B4"/>
    <w:rsid w:val="00E35956"/>
    <w:rsid w:val="00E359C4"/>
    <w:rsid w:val="00E35B20"/>
    <w:rsid w:val="00E35DA7"/>
    <w:rsid w:val="00E35DB2"/>
    <w:rsid w:val="00E362AA"/>
    <w:rsid w:val="00E36544"/>
    <w:rsid w:val="00E369DD"/>
    <w:rsid w:val="00E36A27"/>
    <w:rsid w:val="00E36C20"/>
    <w:rsid w:val="00E36F77"/>
    <w:rsid w:val="00E36FD6"/>
    <w:rsid w:val="00E374E7"/>
    <w:rsid w:val="00E376CD"/>
    <w:rsid w:val="00E377CA"/>
    <w:rsid w:val="00E379F5"/>
    <w:rsid w:val="00E37A5F"/>
    <w:rsid w:val="00E37B43"/>
    <w:rsid w:val="00E37B9A"/>
    <w:rsid w:val="00E37BE6"/>
    <w:rsid w:val="00E37C3F"/>
    <w:rsid w:val="00E37CAD"/>
    <w:rsid w:val="00E40026"/>
    <w:rsid w:val="00E4007D"/>
    <w:rsid w:val="00E403BE"/>
    <w:rsid w:val="00E403FC"/>
    <w:rsid w:val="00E4046C"/>
    <w:rsid w:val="00E40481"/>
    <w:rsid w:val="00E4057B"/>
    <w:rsid w:val="00E40702"/>
    <w:rsid w:val="00E4079A"/>
    <w:rsid w:val="00E40870"/>
    <w:rsid w:val="00E4097A"/>
    <w:rsid w:val="00E40A96"/>
    <w:rsid w:val="00E40B89"/>
    <w:rsid w:val="00E40D16"/>
    <w:rsid w:val="00E40DF4"/>
    <w:rsid w:val="00E4115A"/>
    <w:rsid w:val="00E412D8"/>
    <w:rsid w:val="00E416DC"/>
    <w:rsid w:val="00E41735"/>
    <w:rsid w:val="00E417E8"/>
    <w:rsid w:val="00E419B6"/>
    <w:rsid w:val="00E41A5A"/>
    <w:rsid w:val="00E41AC8"/>
    <w:rsid w:val="00E41BE3"/>
    <w:rsid w:val="00E41CC0"/>
    <w:rsid w:val="00E41FD6"/>
    <w:rsid w:val="00E41FFE"/>
    <w:rsid w:val="00E42153"/>
    <w:rsid w:val="00E4219E"/>
    <w:rsid w:val="00E42473"/>
    <w:rsid w:val="00E42509"/>
    <w:rsid w:val="00E42853"/>
    <w:rsid w:val="00E429DC"/>
    <w:rsid w:val="00E42B5E"/>
    <w:rsid w:val="00E42BB1"/>
    <w:rsid w:val="00E42C34"/>
    <w:rsid w:val="00E42DF8"/>
    <w:rsid w:val="00E42FB5"/>
    <w:rsid w:val="00E4332F"/>
    <w:rsid w:val="00E434EF"/>
    <w:rsid w:val="00E436F5"/>
    <w:rsid w:val="00E436F9"/>
    <w:rsid w:val="00E43835"/>
    <w:rsid w:val="00E439A6"/>
    <w:rsid w:val="00E43D3C"/>
    <w:rsid w:val="00E43D6E"/>
    <w:rsid w:val="00E43F5C"/>
    <w:rsid w:val="00E43FFA"/>
    <w:rsid w:val="00E4436F"/>
    <w:rsid w:val="00E4439A"/>
    <w:rsid w:val="00E44419"/>
    <w:rsid w:val="00E449D6"/>
    <w:rsid w:val="00E44AC8"/>
    <w:rsid w:val="00E44C1B"/>
    <w:rsid w:val="00E44C21"/>
    <w:rsid w:val="00E44C3B"/>
    <w:rsid w:val="00E44CB1"/>
    <w:rsid w:val="00E44F95"/>
    <w:rsid w:val="00E450FC"/>
    <w:rsid w:val="00E455E5"/>
    <w:rsid w:val="00E4568C"/>
    <w:rsid w:val="00E456F8"/>
    <w:rsid w:val="00E4586A"/>
    <w:rsid w:val="00E458D1"/>
    <w:rsid w:val="00E45B1B"/>
    <w:rsid w:val="00E45B9B"/>
    <w:rsid w:val="00E45C94"/>
    <w:rsid w:val="00E45CAB"/>
    <w:rsid w:val="00E45D00"/>
    <w:rsid w:val="00E45F76"/>
    <w:rsid w:val="00E46051"/>
    <w:rsid w:val="00E460EF"/>
    <w:rsid w:val="00E4627C"/>
    <w:rsid w:val="00E46614"/>
    <w:rsid w:val="00E467A4"/>
    <w:rsid w:val="00E46933"/>
    <w:rsid w:val="00E46AC1"/>
    <w:rsid w:val="00E46B12"/>
    <w:rsid w:val="00E46FB5"/>
    <w:rsid w:val="00E47044"/>
    <w:rsid w:val="00E473D8"/>
    <w:rsid w:val="00E478E3"/>
    <w:rsid w:val="00E478FA"/>
    <w:rsid w:val="00E479D3"/>
    <w:rsid w:val="00E47AA3"/>
    <w:rsid w:val="00E47D96"/>
    <w:rsid w:val="00E47DC3"/>
    <w:rsid w:val="00E47E48"/>
    <w:rsid w:val="00E47F5D"/>
    <w:rsid w:val="00E50597"/>
    <w:rsid w:val="00E50602"/>
    <w:rsid w:val="00E50677"/>
    <w:rsid w:val="00E50909"/>
    <w:rsid w:val="00E5093E"/>
    <w:rsid w:val="00E509E4"/>
    <w:rsid w:val="00E50B33"/>
    <w:rsid w:val="00E50E7D"/>
    <w:rsid w:val="00E50F20"/>
    <w:rsid w:val="00E510E6"/>
    <w:rsid w:val="00E510ED"/>
    <w:rsid w:val="00E51133"/>
    <w:rsid w:val="00E512A8"/>
    <w:rsid w:val="00E51492"/>
    <w:rsid w:val="00E514C7"/>
    <w:rsid w:val="00E51707"/>
    <w:rsid w:val="00E5170C"/>
    <w:rsid w:val="00E51830"/>
    <w:rsid w:val="00E5199E"/>
    <w:rsid w:val="00E51A16"/>
    <w:rsid w:val="00E5205F"/>
    <w:rsid w:val="00E5249D"/>
    <w:rsid w:val="00E52674"/>
    <w:rsid w:val="00E526FB"/>
    <w:rsid w:val="00E52823"/>
    <w:rsid w:val="00E5282C"/>
    <w:rsid w:val="00E52953"/>
    <w:rsid w:val="00E52B1B"/>
    <w:rsid w:val="00E52D7E"/>
    <w:rsid w:val="00E52E55"/>
    <w:rsid w:val="00E531D9"/>
    <w:rsid w:val="00E53475"/>
    <w:rsid w:val="00E534D3"/>
    <w:rsid w:val="00E53780"/>
    <w:rsid w:val="00E53977"/>
    <w:rsid w:val="00E53986"/>
    <w:rsid w:val="00E539FF"/>
    <w:rsid w:val="00E53FD1"/>
    <w:rsid w:val="00E540AA"/>
    <w:rsid w:val="00E542ED"/>
    <w:rsid w:val="00E543F3"/>
    <w:rsid w:val="00E5441B"/>
    <w:rsid w:val="00E54433"/>
    <w:rsid w:val="00E545F2"/>
    <w:rsid w:val="00E54993"/>
    <w:rsid w:val="00E549E7"/>
    <w:rsid w:val="00E54A01"/>
    <w:rsid w:val="00E54A2D"/>
    <w:rsid w:val="00E54B8C"/>
    <w:rsid w:val="00E54CFD"/>
    <w:rsid w:val="00E5506B"/>
    <w:rsid w:val="00E5546A"/>
    <w:rsid w:val="00E554F9"/>
    <w:rsid w:val="00E55588"/>
    <w:rsid w:val="00E5565D"/>
    <w:rsid w:val="00E556E9"/>
    <w:rsid w:val="00E558C4"/>
    <w:rsid w:val="00E55B77"/>
    <w:rsid w:val="00E55C66"/>
    <w:rsid w:val="00E55EB1"/>
    <w:rsid w:val="00E55ED1"/>
    <w:rsid w:val="00E55F99"/>
    <w:rsid w:val="00E560F8"/>
    <w:rsid w:val="00E563F6"/>
    <w:rsid w:val="00E56508"/>
    <w:rsid w:val="00E5653A"/>
    <w:rsid w:val="00E5653D"/>
    <w:rsid w:val="00E566C0"/>
    <w:rsid w:val="00E5677A"/>
    <w:rsid w:val="00E5689C"/>
    <w:rsid w:val="00E56B51"/>
    <w:rsid w:val="00E56BD6"/>
    <w:rsid w:val="00E56D6D"/>
    <w:rsid w:val="00E56DFA"/>
    <w:rsid w:val="00E56FDE"/>
    <w:rsid w:val="00E570C0"/>
    <w:rsid w:val="00E5753B"/>
    <w:rsid w:val="00E57598"/>
    <w:rsid w:val="00E575FE"/>
    <w:rsid w:val="00E57742"/>
    <w:rsid w:val="00E578E6"/>
    <w:rsid w:val="00E57911"/>
    <w:rsid w:val="00E57ACE"/>
    <w:rsid w:val="00E57C40"/>
    <w:rsid w:val="00E57F7A"/>
    <w:rsid w:val="00E57FED"/>
    <w:rsid w:val="00E600D4"/>
    <w:rsid w:val="00E601D9"/>
    <w:rsid w:val="00E604B8"/>
    <w:rsid w:val="00E60508"/>
    <w:rsid w:val="00E60583"/>
    <w:rsid w:val="00E6066C"/>
    <w:rsid w:val="00E608BB"/>
    <w:rsid w:val="00E60923"/>
    <w:rsid w:val="00E60B23"/>
    <w:rsid w:val="00E60D0F"/>
    <w:rsid w:val="00E60DBC"/>
    <w:rsid w:val="00E610E3"/>
    <w:rsid w:val="00E6113D"/>
    <w:rsid w:val="00E612C3"/>
    <w:rsid w:val="00E61835"/>
    <w:rsid w:val="00E61856"/>
    <w:rsid w:val="00E618E6"/>
    <w:rsid w:val="00E61993"/>
    <w:rsid w:val="00E61A43"/>
    <w:rsid w:val="00E61ADA"/>
    <w:rsid w:val="00E61BE1"/>
    <w:rsid w:val="00E61BEE"/>
    <w:rsid w:val="00E61D7A"/>
    <w:rsid w:val="00E61DCF"/>
    <w:rsid w:val="00E61E02"/>
    <w:rsid w:val="00E61EA1"/>
    <w:rsid w:val="00E61ED8"/>
    <w:rsid w:val="00E6200A"/>
    <w:rsid w:val="00E621F9"/>
    <w:rsid w:val="00E6230D"/>
    <w:rsid w:val="00E62389"/>
    <w:rsid w:val="00E62612"/>
    <w:rsid w:val="00E62702"/>
    <w:rsid w:val="00E62742"/>
    <w:rsid w:val="00E62844"/>
    <w:rsid w:val="00E629BD"/>
    <w:rsid w:val="00E62B75"/>
    <w:rsid w:val="00E62B87"/>
    <w:rsid w:val="00E62BDF"/>
    <w:rsid w:val="00E62C35"/>
    <w:rsid w:val="00E62C66"/>
    <w:rsid w:val="00E62DB3"/>
    <w:rsid w:val="00E63017"/>
    <w:rsid w:val="00E6306E"/>
    <w:rsid w:val="00E63096"/>
    <w:rsid w:val="00E63208"/>
    <w:rsid w:val="00E6334B"/>
    <w:rsid w:val="00E633FE"/>
    <w:rsid w:val="00E63805"/>
    <w:rsid w:val="00E638AD"/>
    <w:rsid w:val="00E63921"/>
    <w:rsid w:val="00E639E7"/>
    <w:rsid w:val="00E63A32"/>
    <w:rsid w:val="00E63B2B"/>
    <w:rsid w:val="00E63BE4"/>
    <w:rsid w:val="00E63DF6"/>
    <w:rsid w:val="00E63E7D"/>
    <w:rsid w:val="00E640AD"/>
    <w:rsid w:val="00E64166"/>
    <w:rsid w:val="00E64369"/>
    <w:rsid w:val="00E644A8"/>
    <w:rsid w:val="00E644D6"/>
    <w:rsid w:val="00E64893"/>
    <w:rsid w:val="00E649FF"/>
    <w:rsid w:val="00E64C40"/>
    <w:rsid w:val="00E64DAF"/>
    <w:rsid w:val="00E64F48"/>
    <w:rsid w:val="00E64F6D"/>
    <w:rsid w:val="00E6514D"/>
    <w:rsid w:val="00E65514"/>
    <w:rsid w:val="00E656BF"/>
    <w:rsid w:val="00E65956"/>
    <w:rsid w:val="00E65A4B"/>
    <w:rsid w:val="00E65B34"/>
    <w:rsid w:val="00E65C70"/>
    <w:rsid w:val="00E65C8F"/>
    <w:rsid w:val="00E65CAD"/>
    <w:rsid w:val="00E65DF2"/>
    <w:rsid w:val="00E65EC8"/>
    <w:rsid w:val="00E66251"/>
    <w:rsid w:val="00E667DE"/>
    <w:rsid w:val="00E669B1"/>
    <w:rsid w:val="00E66AC7"/>
    <w:rsid w:val="00E66CAB"/>
    <w:rsid w:val="00E66E36"/>
    <w:rsid w:val="00E66EA2"/>
    <w:rsid w:val="00E6742A"/>
    <w:rsid w:val="00E6759D"/>
    <w:rsid w:val="00E6767C"/>
    <w:rsid w:val="00E6771A"/>
    <w:rsid w:val="00E67786"/>
    <w:rsid w:val="00E677D5"/>
    <w:rsid w:val="00E67A26"/>
    <w:rsid w:val="00E67CD2"/>
    <w:rsid w:val="00E67D48"/>
    <w:rsid w:val="00E701B2"/>
    <w:rsid w:val="00E7021E"/>
    <w:rsid w:val="00E702CA"/>
    <w:rsid w:val="00E702E2"/>
    <w:rsid w:val="00E70349"/>
    <w:rsid w:val="00E7034C"/>
    <w:rsid w:val="00E70354"/>
    <w:rsid w:val="00E70512"/>
    <w:rsid w:val="00E70648"/>
    <w:rsid w:val="00E70758"/>
    <w:rsid w:val="00E709AB"/>
    <w:rsid w:val="00E70E90"/>
    <w:rsid w:val="00E70F39"/>
    <w:rsid w:val="00E70FD9"/>
    <w:rsid w:val="00E7107B"/>
    <w:rsid w:val="00E71429"/>
    <w:rsid w:val="00E71694"/>
    <w:rsid w:val="00E716BC"/>
    <w:rsid w:val="00E717C7"/>
    <w:rsid w:val="00E7184C"/>
    <w:rsid w:val="00E71B0C"/>
    <w:rsid w:val="00E71E96"/>
    <w:rsid w:val="00E71FE1"/>
    <w:rsid w:val="00E724BA"/>
    <w:rsid w:val="00E7266D"/>
    <w:rsid w:val="00E728AD"/>
    <w:rsid w:val="00E729A6"/>
    <w:rsid w:val="00E72AAA"/>
    <w:rsid w:val="00E72ABE"/>
    <w:rsid w:val="00E72ACD"/>
    <w:rsid w:val="00E72B82"/>
    <w:rsid w:val="00E72BC0"/>
    <w:rsid w:val="00E72C21"/>
    <w:rsid w:val="00E72C35"/>
    <w:rsid w:val="00E72C72"/>
    <w:rsid w:val="00E72E2F"/>
    <w:rsid w:val="00E72E8C"/>
    <w:rsid w:val="00E72FFB"/>
    <w:rsid w:val="00E73208"/>
    <w:rsid w:val="00E73340"/>
    <w:rsid w:val="00E7384F"/>
    <w:rsid w:val="00E73ADF"/>
    <w:rsid w:val="00E73B72"/>
    <w:rsid w:val="00E73CCD"/>
    <w:rsid w:val="00E73D70"/>
    <w:rsid w:val="00E73E29"/>
    <w:rsid w:val="00E74150"/>
    <w:rsid w:val="00E7418D"/>
    <w:rsid w:val="00E741A3"/>
    <w:rsid w:val="00E743D5"/>
    <w:rsid w:val="00E74739"/>
    <w:rsid w:val="00E747F8"/>
    <w:rsid w:val="00E74897"/>
    <w:rsid w:val="00E7492B"/>
    <w:rsid w:val="00E7497A"/>
    <w:rsid w:val="00E74B6F"/>
    <w:rsid w:val="00E74C04"/>
    <w:rsid w:val="00E74D62"/>
    <w:rsid w:val="00E74DB6"/>
    <w:rsid w:val="00E74E6B"/>
    <w:rsid w:val="00E75036"/>
    <w:rsid w:val="00E7538E"/>
    <w:rsid w:val="00E753D2"/>
    <w:rsid w:val="00E75455"/>
    <w:rsid w:val="00E754DE"/>
    <w:rsid w:val="00E756F7"/>
    <w:rsid w:val="00E759B8"/>
    <w:rsid w:val="00E75A60"/>
    <w:rsid w:val="00E75BD7"/>
    <w:rsid w:val="00E75C5C"/>
    <w:rsid w:val="00E75C82"/>
    <w:rsid w:val="00E76073"/>
    <w:rsid w:val="00E760F9"/>
    <w:rsid w:val="00E763C0"/>
    <w:rsid w:val="00E765DD"/>
    <w:rsid w:val="00E7663B"/>
    <w:rsid w:val="00E76757"/>
    <w:rsid w:val="00E76762"/>
    <w:rsid w:val="00E7684A"/>
    <w:rsid w:val="00E76918"/>
    <w:rsid w:val="00E76983"/>
    <w:rsid w:val="00E76AF1"/>
    <w:rsid w:val="00E76C84"/>
    <w:rsid w:val="00E76F16"/>
    <w:rsid w:val="00E76F79"/>
    <w:rsid w:val="00E77146"/>
    <w:rsid w:val="00E771C2"/>
    <w:rsid w:val="00E77217"/>
    <w:rsid w:val="00E775D9"/>
    <w:rsid w:val="00E77639"/>
    <w:rsid w:val="00E777A8"/>
    <w:rsid w:val="00E778A4"/>
    <w:rsid w:val="00E778FC"/>
    <w:rsid w:val="00E77B5F"/>
    <w:rsid w:val="00E77CD6"/>
    <w:rsid w:val="00E77DDF"/>
    <w:rsid w:val="00E80015"/>
    <w:rsid w:val="00E80059"/>
    <w:rsid w:val="00E801EA"/>
    <w:rsid w:val="00E804D7"/>
    <w:rsid w:val="00E804ED"/>
    <w:rsid w:val="00E8069C"/>
    <w:rsid w:val="00E8072A"/>
    <w:rsid w:val="00E80915"/>
    <w:rsid w:val="00E80980"/>
    <w:rsid w:val="00E80A1F"/>
    <w:rsid w:val="00E80AEF"/>
    <w:rsid w:val="00E80B94"/>
    <w:rsid w:val="00E80C7E"/>
    <w:rsid w:val="00E80CCC"/>
    <w:rsid w:val="00E80D9C"/>
    <w:rsid w:val="00E80E7F"/>
    <w:rsid w:val="00E817CA"/>
    <w:rsid w:val="00E818E2"/>
    <w:rsid w:val="00E81BA5"/>
    <w:rsid w:val="00E81C58"/>
    <w:rsid w:val="00E81D14"/>
    <w:rsid w:val="00E81D20"/>
    <w:rsid w:val="00E81D82"/>
    <w:rsid w:val="00E81DEC"/>
    <w:rsid w:val="00E81E18"/>
    <w:rsid w:val="00E81FB6"/>
    <w:rsid w:val="00E820BE"/>
    <w:rsid w:val="00E820C9"/>
    <w:rsid w:val="00E8275C"/>
    <w:rsid w:val="00E8286F"/>
    <w:rsid w:val="00E8299F"/>
    <w:rsid w:val="00E82A84"/>
    <w:rsid w:val="00E82AFF"/>
    <w:rsid w:val="00E82DC8"/>
    <w:rsid w:val="00E82EEB"/>
    <w:rsid w:val="00E830E8"/>
    <w:rsid w:val="00E8310A"/>
    <w:rsid w:val="00E8320D"/>
    <w:rsid w:val="00E833B0"/>
    <w:rsid w:val="00E833E1"/>
    <w:rsid w:val="00E8363C"/>
    <w:rsid w:val="00E836A9"/>
    <w:rsid w:val="00E8383E"/>
    <w:rsid w:val="00E838C2"/>
    <w:rsid w:val="00E838C5"/>
    <w:rsid w:val="00E8392F"/>
    <w:rsid w:val="00E83C36"/>
    <w:rsid w:val="00E83C74"/>
    <w:rsid w:val="00E83F2D"/>
    <w:rsid w:val="00E83FD5"/>
    <w:rsid w:val="00E84088"/>
    <w:rsid w:val="00E840CB"/>
    <w:rsid w:val="00E84205"/>
    <w:rsid w:val="00E84382"/>
    <w:rsid w:val="00E843B9"/>
    <w:rsid w:val="00E84556"/>
    <w:rsid w:val="00E84692"/>
    <w:rsid w:val="00E8472C"/>
    <w:rsid w:val="00E848EA"/>
    <w:rsid w:val="00E84B51"/>
    <w:rsid w:val="00E84FED"/>
    <w:rsid w:val="00E852F4"/>
    <w:rsid w:val="00E85335"/>
    <w:rsid w:val="00E85606"/>
    <w:rsid w:val="00E856C1"/>
    <w:rsid w:val="00E857C6"/>
    <w:rsid w:val="00E858B8"/>
    <w:rsid w:val="00E8597F"/>
    <w:rsid w:val="00E85C6C"/>
    <w:rsid w:val="00E8619B"/>
    <w:rsid w:val="00E862F4"/>
    <w:rsid w:val="00E865B8"/>
    <w:rsid w:val="00E8665A"/>
    <w:rsid w:val="00E86726"/>
    <w:rsid w:val="00E86810"/>
    <w:rsid w:val="00E868A5"/>
    <w:rsid w:val="00E869C9"/>
    <w:rsid w:val="00E86B75"/>
    <w:rsid w:val="00E870D6"/>
    <w:rsid w:val="00E871AB"/>
    <w:rsid w:val="00E87237"/>
    <w:rsid w:val="00E87266"/>
    <w:rsid w:val="00E87301"/>
    <w:rsid w:val="00E8757C"/>
    <w:rsid w:val="00E876D7"/>
    <w:rsid w:val="00E87732"/>
    <w:rsid w:val="00E87760"/>
    <w:rsid w:val="00E9018F"/>
    <w:rsid w:val="00E901B2"/>
    <w:rsid w:val="00E902AF"/>
    <w:rsid w:val="00E90462"/>
    <w:rsid w:val="00E90565"/>
    <w:rsid w:val="00E906D3"/>
    <w:rsid w:val="00E907A5"/>
    <w:rsid w:val="00E908D0"/>
    <w:rsid w:val="00E9098F"/>
    <w:rsid w:val="00E90C97"/>
    <w:rsid w:val="00E90D17"/>
    <w:rsid w:val="00E90F30"/>
    <w:rsid w:val="00E91087"/>
    <w:rsid w:val="00E91134"/>
    <w:rsid w:val="00E912FF"/>
    <w:rsid w:val="00E91536"/>
    <w:rsid w:val="00E91C14"/>
    <w:rsid w:val="00E91CAA"/>
    <w:rsid w:val="00E91CE3"/>
    <w:rsid w:val="00E91E38"/>
    <w:rsid w:val="00E92524"/>
    <w:rsid w:val="00E92856"/>
    <w:rsid w:val="00E92AE6"/>
    <w:rsid w:val="00E92C9B"/>
    <w:rsid w:val="00E9315B"/>
    <w:rsid w:val="00E9320C"/>
    <w:rsid w:val="00E9336F"/>
    <w:rsid w:val="00E93610"/>
    <w:rsid w:val="00E9376F"/>
    <w:rsid w:val="00E9398B"/>
    <w:rsid w:val="00E939E0"/>
    <w:rsid w:val="00E93A51"/>
    <w:rsid w:val="00E93CF3"/>
    <w:rsid w:val="00E93DF0"/>
    <w:rsid w:val="00E93DF2"/>
    <w:rsid w:val="00E943C9"/>
    <w:rsid w:val="00E943DB"/>
    <w:rsid w:val="00E943E9"/>
    <w:rsid w:val="00E94674"/>
    <w:rsid w:val="00E946BD"/>
    <w:rsid w:val="00E94719"/>
    <w:rsid w:val="00E9474C"/>
    <w:rsid w:val="00E95493"/>
    <w:rsid w:val="00E954C8"/>
    <w:rsid w:val="00E95932"/>
    <w:rsid w:val="00E95A4F"/>
    <w:rsid w:val="00E95D62"/>
    <w:rsid w:val="00E95EA9"/>
    <w:rsid w:val="00E95EEE"/>
    <w:rsid w:val="00E9610D"/>
    <w:rsid w:val="00E9638A"/>
    <w:rsid w:val="00E96421"/>
    <w:rsid w:val="00E966B4"/>
    <w:rsid w:val="00E966C0"/>
    <w:rsid w:val="00E9680A"/>
    <w:rsid w:val="00E9686C"/>
    <w:rsid w:val="00E96EA9"/>
    <w:rsid w:val="00E96F50"/>
    <w:rsid w:val="00E96FC6"/>
    <w:rsid w:val="00E9712F"/>
    <w:rsid w:val="00E972D6"/>
    <w:rsid w:val="00E972EA"/>
    <w:rsid w:val="00E97457"/>
    <w:rsid w:val="00E97473"/>
    <w:rsid w:val="00E97613"/>
    <w:rsid w:val="00E9770D"/>
    <w:rsid w:val="00E97727"/>
    <w:rsid w:val="00E977E9"/>
    <w:rsid w:val="00E97830"/>
    <w:rsid w:val="00E978A9"/>
    <w:rsid w:val="00E978C5"/>
    <w:rsid w:val="00E97958"/>
    <w:rsid w:val="00E97BDE"/>
    <w:rsid w:val="00E97F1F"/>
    <w:rsid w:val="00E97F91"/>
    <w:rsid w:val="00EA0041"/>
    <w:rsid w:val="00EA02E9"/>
    <w:rsid w:val="00EA04CB"/>
    <w:rsid w:val="00EA0993"/>
    <w:rsid w:val="00EA0A2D"/>
    <w:rsid w:val="00EA0A34"/>
    <w:rsid w:val="00EA0C1F"/>
    <w:rsid w:val="00EA0EB8"/>
    <w:rsid w:val="00EA112C"/>
    <w:rsid w:val="00EA11DE"/>
    <w:rsid w:val="00EA13E9"/>
    <w:rsid w:val="00EA1414"/>
    <w:rsid w:val="00EA14BA"/>
    <w:rsid w:val="00EA153B"/>
    <w:rsid w:val="00EA155C"/>
    <w:rsid w:val="00EA1607"/>
    <w:rsid w:val="00EA16AF"/>
    <w:rsid w:val="00EA1823"/>
    <w:rsid w:val="00EA183B"/>
    <w:rsid w:val="00EA199B"/>
    <w:rsid w:val="00EA19D9"/>
    <w:rsid w:val="00EA1A97"/>
    <w:rsid w:val="00EA1C0E"/>
    <w:rsid w:val="00EA1D91"/>
    <w:rsid w:val="00EA1E01"/>
    <w:rsid w:val="00EA1F0E"/>
    <w:rsid w:val="00EA2066"/>
    <w:rsid w:val="00EA20D8"/>
    <w:rsid w:val="00EA20E4"/>
    <w:rsid w:val="00EA22F9"/>
    <w:rsid w:val="00EA2318"/>
    <w:rsid w:val="00EA2A4E"/>
    <w:rsid w:val="00EA2A59"/>
    <w:rsid w:val="00EA2A65"/>
    <w:rsid w:val="00EA2B5B"/>
    <w:rsid w:val="00EA2B61"/>
    <w:rsid w:val="00EA2C8D"/>
    <w:rsid w:val="00EA2D4E"/>
    <w:rsid w:val="00EA2F8C"/>
    <w:rsid w:val="00EA2FAF"/>
    <w:rsid w:val="00EA309E"/>
    <w:rsid w:val="00EA31D7"/>
    <w:rsid w:val="00EA3410"/>
    <w:rsid w:val="00EA3419"/>
    <w:rsid w:val="00EA3529"/>
    <w:rsid w:val="00EA35FA"/>
    <w:rsid w:val="00EA36DE"/>
    <w:rsid w:val="00EA3734"/>
    <w:rsid w:val="00EA37A2"/>
    <w:rsid w:val="00EA38F8"/>
    <w:rsid w:val="00EA3969"/>
    <w:rsid w:val="00EA3984"/>
    <w:rsid w:val="00EA39B9"/>
    <w:rsid w:val="00EA3A11"/>
    <w:rsid w:val="00EA3BC3"/>
    <w:rsid w:val="00EA3C92"/>
    <w:rsid w:val="00EA3E07"/>
    <w:rsid w:val="00EA3E50"/>
    <w:rsid w:val="00EA403C"/>
    <w:rsid w:val="00EA406A"/>
    <w:rsid w:val="00EA40D9"/>
    <w:rsid w:val="00EA412F"/>
    <w:rsid w:val="00EA41BB"/>
    <w:rsid w:val="00EA41C4"/>
    <w:rsid w:val="00EA4351"/>
    <w:rsid w:val="00EA43D1"/>
    <w:rsid w:val="00EA46C1"/>
    <w:rsid w:val="00EA478A"/>
    <w:rsid w:val="00EA480A"/>
    <w:rsid w:val="00EA48EA"/>
    <w:rsid w:val="00EA4DC3"/>
    <w:rsid w:val="00EA509C"/>
    <w:rsid w:val="00EA536D"/>
    <w:rsid w:val="00EA5396"/>
    <w:rsid w:val="00EA53B2"/>
    <w:rsid w:val="00EA57A7"/>
    <w:rsid w:val="00EA583F"/>
    <w:rsid w:val="00EA587C"/>
    <w:rsid w:val="00EA5975"/>
    <w:rsid w:val="00EA5B06"/>
    <w:rsid w:val="00EA5B5C"/>
    <w:rsid w:val="00EA5C1C"/>
    <w:rsid w:val="00EA5C1F"/>
    <w:rsid w:val="00EA5E97"/>
    <w:rsid w:val="00EA5EA3"/>
    <w:rsid w:val="00EA605B"/>
    <w:rsid w:val="00EA60B0"/>
    <w:rsid w:val="00EA6515"/>
    <w:rsid w:val="00EA6635"/>
    <w:rsid w:val="00EA66C4"/>
    <w:rsid w:val="00EA68AA"/>
    <w:rsid w:val="00EA6C5F"/>
    <w:rsid w:val="00EA6D07"/>
    <w:rsid w:val="00EA6F39"/>
    <w:rsid w:val="00EA7606"/>
    <w:rsid w:val="00EA7760"/>
    <w:rsid w:val="00EA797C"/>
    <w:rsid w:val="00EA7AD2"/>
    <w:rsid w:val="00EA7E1F"/>
    <w:rsid w:val="00EA7F12"/>
    <w:rsid w:val="00EB00B3"/>
    <w:rsid w:val="00EB0508"/>
    <w:rsid w:val="00EB0575"/>
    <w:rsid w:val="00EB05D9"/>
    <w:rsid w:val="00EB06D1"/>
    <w:rsid w:val="00EB083C"/>
    <w:rsid w:val="00EB0989"/>
    <w:rsid w:val="00EB09DC"/>
    <w:rsid w:val="00EB0A60"/>
    <w:rsid w:val="00EB0AE7"/>
    <w:rsid w:val="00EB0C83"/>
    <w:rsid w:val="00EB0CDC"/>
    <w:rsid w:val="00EB0D5D"/>
    <w:rsid w:val="00EB0EB6"/>
    <w:rsid w:val="00EB0FD6"/>
    <w:rsid w:val="00EB1105"/>
    <w:rsid w:val="00EB11BE"/>
    <w:rsid w:val="00EB1321"/>
    <w:rsid w:val="00EB1384"/>
    <w:rsid w:val="00EB14A4"/>
    <w:rsid w:val="00EB1555"/>
    <w:rsid w:val="00EB1752"/>
    <w:rsid w:val="00EB1D05"/>
    <w:rsid w:val="00EB1E1B"/>
    <w:rsid w:val="00EB1E7A"/>
    <w:rsid w:val="00EB21FD"/>
    <w:rsid w:val="00EB2428"/>
    <w:rsid w:val="00EB247D"/>
    <w:rsid w:val="00EB24DD"/>
    <w:rsid w:val="00EB2821"/>
    <w:rsid w:val="00EB2891"/>
    <w:rsid w:val="00EB28D9"/>
    <w:rsid w:val="00EB297D"/>
    <w:rsid w:val="00EB2A22"/>
    <w:rsid w:val="00EB2C87"/>
    <w:rsid w:val="00EB2CB6"/>
    <w:rsid w:val="00EB2D89"/>
    <w:rsid w:val="00EB2DCC"/>
    <w:rsid w:val="00EB316F"/>
    <w:rsid w:val="00EB322E"/>
    <w:rsid w:val="00EB33EF"/>
    <w:rsid w:val="00EB35DB"/>
    <w:rsid w:val="00EB385B"/>
    <w:rsid w:val="00EB3917"/>
    <w:rsid w:val="00EB3961"/>
    <w:rsid w:val="00EB39B2"/>
    <w:rsid w:val="00EB3B4A"/>
    <w:rsid w:val="00EB3B96"/>
    <w:rsid w:val="00EB3D58"/>
    <w:rsid w:val="00EB3E9F"/>
    <w:rsid w:val="00EB4076"/>
    <w:rsid w:val="00EB4448"/>
    <w:rsid w:val="00EB444F"/>
    <w:rsid w:val="00EB44B5"/>
    <w:rsid w:val="00EB4547"/>
    <w:rsid w:val="00EB4760"/>
    <w:rsid w:val="00EB4820"/>
    <w:rsid w:val="00EB4A83"/>
    <w:rsid w:val="00EB4C23"/>
    <w:rsid w:val="00EB4CA8"/>
    <w:rsid w:val="00EB4D47"/>
    <w:rsid w:val="00EB4D51"/>
    <w:rsid w:val="00EB4E25"/>
    <w:rsid w:val="00EB4EB6"/>
    <w:rsid w:val="00EB5142"/>
    <w:rsid w:val="00EB53ED"/>
    <w:rsid w:val="00EB56F9"/>
    <w:rsid w:val="00EB58B6"/>
    <w:rsid w:val="00EB5A9C"/>
    <w:rsid w:val="00EB5B51"/>
    <w:rsid w:val="00EB5B73"/>
    <w:rsid w:val="00EB63F7"/>
    <w:rsid w:val="00EB65CD"/>
    <w:rsid w:val="00EB6691"/>
    <w:rsid w:val="00EB6A6E"/>
    <w:rsid w:val="00EB6B00"/>
    <w:rsid w:val="00EB6B22"/>
    <w:rsid w:val="00EB6BC7"/>
    <w:rsid w:val="00EB6CFC"/>
    <w:rsid w:val="00EB6D32"/>
    <w:rsid w:val="00EB6D54"/>
    <w:rsid w:val="00EB6FB9"/>
    <w:rsid w:val="00EB70BA"/>
    <w:rsid w:val="00EB7391"/>
    <w:rsid w:val="00EB74E8"/>
    <w:rsid w:val="00EB784A"/>
    <w:rsid w:val="00EB7B49"/>
    <w:rsid w:val="00EB7BC2"/>
    <w:rsid w:val="00EB7C05"/>
    <w:rsid w:val="00EB7D60"/>
    <w:rsid w:val="00EC0383"/>
    <w:rsid w:val="00EC0441"/>
    <w:rsid w:val="00EC0482"/>
    <w:rsid w:val="00EC051A"/>
    <w:rsid w:val="00EC07D2"/>
    <w:rsid w:val="00EC07D8"/>
    <w:rsid w:val="00EC08FE"/>
    <w:rsid w:val="00EC095B"/>
    <w:rsid w:val="00EC0A8F"/>
    <w:rsid w:val="00EC0AA3"/>
    <w:rsid w:val="00EC0BFA"/>
    <w:rsid w:val="00EC0C37"/>
    <w:rsid w:val="00EC1216"/>
    <w:rsid w:val="00EC1362"/>
    <w:rsid w:val="00EC1A51"/>
    <w:rsid w:val="00EC1A86"/>
    <w:rsid w:val="00EC1B7A"/>
    <w:rsid w:val="00EC1CEE"/>
    <w:rsid w:val="00EC1D5F"/>
    <w:rsid w:val="00EC1FB0"/>
    <w:rsid w:val="00EC2056"/>
    <w:rsid w:val="00EC209F"/>
    <w:rsid w:val="00EC2173"/>
    <w:rsid w:val="00EC21A3"/>
    <w:rsid w:val="00EC22A3"/>
    <w:rsid w:val="00EC23CF"/>
    <w:rsid w:val="00EC24FD"/>
    <w:rsid w:val="00EC2533"/>
    <w:rsid w:val="00EC25E5"/>
    <w:rsid w:val="00EC27B2"/>
    <w:rsid w:val="00EC293B"/>
    <w:rsid w:val="00EC2987"/>
    <w:rsid w:val="00EC2999"/>
    <w:rsid w:val="00EC2A8B"/>
    <w:rsid w:val="00EC2B33"/>
    <w:rsid w:val="00EC2BDF"/>
    <w:rsid w:val="00EC2C1E"/>
    <w:rsid w:val="00EC2C83"/>
    <w:rsid w:val="00EC2EEC"/>
    <w:rsid w:val="00EC2FAE"/>
    <w:rsid w:val="00EC2FDD"/>
    <w:rsid w:val="00EC32B8"/>
    <w:rsid w:val="00EC3480"/>
    <w:rsid w:val="00EC3533"/>
    <w:rsid w:val="00EC3569"/>
    <w:rsid w:val="00EC358B"/>
    <w:rsid w:val="00EC35F9"/>
    <w:rsid w:val="00EC3710"/>
    <w:rsid w:val="00EC38B9"/>
    <w:rsid w:val="00EC397E"/>
    <w:rsid w:val="00EC3993"/>
    <w:rsid w:val="00EC39E2"/>
    <w:rsid w:val="00EC3B82"/>
    <w:rsid w:val="00EC3D4D"/>
    <w:rsid w:val="00EC3EFE"/>
    <w:rsid w:val="00EC4350"/>
    <w:rsid w:val="00EC4377"/>
    <w:rsid w:val="00EC440F"/>
    <w:rsid w:val="00EC4495"/>
    <w:rsid w:val="00EC4523"/>
    <w:rsid w:val="00EC4845"/>
    <w:rsid w:val="00EC48E0"/>
    <w:rsid w:val="00EC4918"/>
    <w:rsid w:val="00EC49F3"/>
    <w:rsid w:val="00EC4DE2"/>
    <w:rsid w:val="00EC4F49"/>
    <w:rsid w:val="00EC50E9"/>
    <w:rsid w:val="00EC5177"/>
    <w:rsid w:val="00EC5216"/>
    <w:rsid w:val="00EC52BE"/>
    <w:rsid w:val="00EC5578"/>
    <w:rsid w:val="00EC56BB"/>
    <w:rsid w:val="00EC56C1"/>
    <w:rsid w:val="00EC5890"/>
    <w:rsid w:val="00EC590E"/>
    <w:rsid w:val="00EC5B00"/>
    <w:rsid w:val="00EC5B70"/>
    <w:rsid w:val="00EC5CF7"/>
    <w:rsid w:val="00EC5D42"/>
    <w:rsid w:val="00EC610B"/>
    <w:rsid w:val="00EC62F7"/>
    <w:rsid w:val="00EC6346"/>
    <w:rsid w:val="00EC63CF"/>
    <w:rsid w:val="00EC643B"/>
    <w:rsid w:val="00EC6488"/>
    <w:rsid w:val="00EC654D"/>
    <w:rsid w:val="00EC6698"/>
    <w:rsid w:val="00EC68B0"/>
    <w:rsid w:val="00EC6C63"/>
    <w:rsid w:val="00EC6DC8"/>
    <w:rsid w:val="00EC6E6A"/>
    <w:rsid w:val="00EC704C"/>
    <w:rsid w:val="00EC7387"/>
    <w:rsid w:val="00EC7562"/>
    <w:rsid w:val="00EC7602"/>
    <w:rsid w:val="00EC768D"/>
    <w:rsid w:val="00EC786D"/>
    <w:rsid w:val="00EC788E"/>
    <w:rsid w:val="00EC7896"/>
    <w:rsid w:val="00EC7F7F"/>
    <w:rsid w:val="00ED01AC"/>
    <w:rsid w:val="00ED0283"/>
    <w:rsid w:val="00ED02CE"/>
    <w:rsid w:val="00ED031C"/>
    <w:rsid w:val="00ED0334"/>
    <w:rsid w:val="00ED04FA"/>
    <w:rsid w:val="00ED0601"/>
    <w:rsid w:val="00ED0640"/>
    <w:rsid w:val="00ED091F"/>
    <w:rsid w:val="00ED0BFE"/>
    <w:rsid w:val="00ED0D0E"/>
    <w:rsid w:val="00ED0D72"/>
    <w:rsid w:val="00ED0DDA"/>
    <w:rsid w:val="00ED0EAC"/>
    <w:rsid w:val="00ED0F41"/>
    <w:rsid w:val="00ED103B"/>
    <w:rsid w:val="00ED1109"/>
    <w:rsid w:val="00ED123E"/>
    <w:rsid w:val="00ED12A3"/>
    <w:rsid w:val="00ED1516"/>
    <w:rsid w:val="00ED156A"/>
    <w:rsid w:val="00ED159F"/>
    <w:rsid w:val="00ED1617"/>
    <w:rsid w:val="00ED163C"/>
    <w:rsid w:val="00ED172E"/>
    <w:rsid w:val="00ED1BD1"/>
    <w:rsid w:val="00ED1D58"/>
    <w:rsid w:val="00ED2051"/>
    <w:rsid w:val="00ED2054"/>
    <w:rsid w:val="00ED20A0"/>
    <w:rsid w:val="00ED20EB"/>
    <w:rsid w:val="00ED237E"/>
    <w:rsid w:val="00ED23BD"/>
    <w:rsid w:val="00ED28D4"/>
    <w:rsid w:val="00ED2906"/>
    <w:rsid w:val="00ED2945"/>
    <w:rsid w:val="00ED2A2D"/>
    <w:rsid w:val="00ED2B9B"/>
    <w:rsid w:val="00ED2C8A"/>
    <w:rsid w:val="00ED3012"/>
    <w:rsid w:val="00ED30AB"/>
    <w:rsid w:val="00ED3325"/>
    <w:rsid w:val="00ED3338"/>
    <w:rsid w:val="00ED3373"/>
    <w:rsid w:val="00ED350E"/>
    <w:rsid w:val="00ED36B8"/>
    <w:rsid w:val="00ED37EB"/>
    <w:rsid w:val="00ED3B60"/>
    <w:rsid w:val="00ED3B72"/>
    <w:rsid w:val="00ED3CD5"/>
    <w:rsid w:val="00ED410B"/>
    <w:rsid w:val="00ED430C"/>
    <w:rsid w:val="00ED440A"/>
    <w:rsid w:val="00ED455A"/>
    <w:rsid w:val="00ED4682"/>
    <w:rsid w:val="00ED4693"/>
    <w:rsid w:val="00ED47A5"/>
    <w:rsid w:val="00ED4C52"/>
    <w:rsid w:val="00ED4C6D"/>
    <w:rsid w:val="00ED4D48"/>
    <w:rsid w:val="00ED4E85"/>
    <w:rsid w:val="00ED538C"/>
    <w:rsid w:val="00ED54E6"/>
    <w:rsid w:val="00ED54F7"/>
    <w:rsid w:val="00ED567C"/>
    <w:rsid w:val="00ED56A3"/>
    <w:rsid w:val="00ED58A6"/>
    <w:rsid w:val="00ED5C39"/>
    <w:rsid w:val="00ED5C4B"/>
    <w:rsid w:val="00ED5D9D"/>
    <w:rsid w:val="00ED61D4"/>
    <w:rsid w:val="00ED65A0"/>
    <w:rsid w:val="00ED65F5"/>
    <w:rsid w:val="00ED679C"/>
    <w:rsid w:val="00ED6935"/>
    <w:rsid w:val="00ED6B33"/>
    <w:rsid w:val="00ED6B71"/>
    <w:rsid w:val="00ED6CEE"/>
    <w:rsid w:val="00ED6D85"/>
    <w:rsid w:val="00ED6FE3"/>
    <w:rsid w:val="00ED7090"/>
    <w:rsid w:val="00ED72DC"/>
    <w:rsid w:val="00ED736A"/>
    <w:rsid w:val="00ED744A"/>
    <w:rsid w:val="00ED7664"/>
    <w:rsid w:val="00ED7692"/>
    <w:rsid w:val="00ED7738"/>
    <w:rsid w:val="00ED7775"/>
    <w:rsid w:val="00ED786F"/>
    <w:rsid w:val="00ED7AE5"/>
    <w:rsid w:val="00ED7C97"/>
    <w:rsid w:val="00ED7CE0"/>
    <w:rsid w:val="00ED7D5A"/>
    <w:rsid w:val="00ED7E74"/>
    <w:rsid w:val="00ED7ED8"/>
    <w:rsid w:val="00ED7F74"/>
    <w:rsid w:val="00EE01EB"/>
    <w:rsid w:val="00EE02CF"/>
    <w:rsid w:val="00EE0366"/>
    <w:rsid w:val="00EE06E2"/>
    <w:rsid w:val="00EE08AA"/>
    <w:rsid w:val="00EE08B4"/>
    <w:rsid w:val="00EE0D2D"/>
    <w:rsid w:val="00EE1103"/>
    <w:rsid w:val="00EE14A4"/>
    <w:rsid w:val="00EE151E"/>
    <w:rsid w:val="00EE1581"/>
    <w:rsid w:val="00EE17A1"/>
    <w:rsid w:val="00EE1B29"/>
    <w:rsid w:val="00EE1BA0"/>
    <w:rsid w:val="00EE1C44"/>
    <w:rsid w:val="00EE1CF1"/>
    <w:rsid w:val="00EE1D4D"/>
    <w:rsid w:val="00EE1D53"/>
    <w:rsid w:val="00EE1DD5"/>
    <w:rsid w:val="00EE1DE8"/>
    <w:rsid w:val="00EE1E07"/>
    <w:rsid w:val="00EE22EA"/>
    <w:rsid w:val="00EE24CB"/>
    <w:rsid w:val="00EE2637"/>
    <w:rsid w:val="00EE265C"/>
    <w:rsid w:val="00EE282F"/>
    <w:rsid w:val="00EE2B31"/>
    <w:rsid w:val="00EE2BF7"/>
    <w:rsid w:val="00EE3007"/>
    <w:rsid w:val="00EE307D"/>
    <w:rsid w:val="00EE30AA"/>
    <w:rsid w:val="00EE318C"/>
    <w:rsid w:val="00EE3207"/>
    <w:rsid w:val="00EE327F"/>
    <w:rsid w:val="00EE32E3"/>
    <w:rsid w:val="00EE336D"/>
    <w:rsid w:val="00EE3699"/>
    <w:rsid w:val="00EE3957"/>
    <w:rsid w:val="00EE3A56"/>
    <w:rsid w:val="00EE3A84"/>
    <w:rsid w:val="00EE3AA9"/>
    <w:rsid w:val="00EE3BBB"/>
    <w:rsid w:val="00EE3BFF"/>
    <w:rsid w:val="00EE3C90"/>
    <w:rsid w:val="00EE4085"/>
    <w:rsid w:val="00EE4394"/>
    <w:rsid w:val="00EE4535"/>
    <w:rsid w:val="00EE45A5"/>
    <w:rsid w:val="00EE4747"/>
    <w:rsid w:val="00EE47C9"/>
    <w:rsid w:val="00EE4861"/>
    <w:rsid w:val="00EE487C"/>
    <w:rsid w:val="00EE48B2"/>
    <w:rsid w:val="00EE49BB"/>
    <w:rsid w:val="00EE49FB"/>
    <w:rsid w:val="00EE4A9A"/>
    <w:rsid w:val="00EE4C25"/>
    <w:rsid w:val="00EE4C38"/>
    <w:rsid w:val="00EE4D45"/>
    <w:rsid w:val="00EE4E28"/>
    <w:rsid w:val="00EE4E94"/>
    <w:rsid w:val="00EE4EB2"/>
    <w:rsid w:val="00EE4ED2"/>
    <w:rsid w:val="00EE4FC9"/>
    <w:rsid w:val="00EE51EF"/>
    <w:rsid w:val="00EE5697"/>
    <w:rsid w:val="00EE5778"/>
    <w:rsid w:val="00EE57AD"/>
    <w:rsid w:val="00EE586E"/>
    <w:rsid w:val="00EE5CD2"/>
    <w:rsid w:val="00EE5D95"/>
    <w:rsid w:val="00EE5DDB"/>
    <w:rsid w:val="00EE5F15"/>
    <w:rsid w:val="00EE5FDE"/>
    <w:rsid w:val="00EE6099"/>
    <w:rsid w:val="00EE640F"/>
    <w:rsid w:val="00EE6471"/>
    <w:rsid w:val="00EE669C"/>
    <w:rsid w:val="00EE673D"/>
    <w:rsid w:val="00EE682A"/>
    <w:rsid w:val="00EE69AC"/>
    <w:rsid w:val="00EE6A49"/>
    <w:rsid w:val="00EE7173"/>
    <w:rsid w:val="00EE73AF"/>
    <w:rsid w:val="00EE746C"/>
    <w:rsid w:val="00EE7726"/>
    <w:rsid w:val="00EE7815"/>
    <w:rsid w:val="00EE78C6"/>
    <w:rsid w:val="00EE7A54"/>
    <w:rsid w:val="00EE7B66"/>
    <w:rsid w:val="00EE7C0C"/>
    <w:rsid w:val="00EE7ED1"/>
    <w:rsid w:val="00EF0047"/>
    <w:rsid w:val="00EF053B"/>
    <w:rsid w:val="00EF0714"/>
    <w:rsid w:val="00EF07E6"/>
    <w:rsid w:val="00EF088F"/>
    <w:rsid w:val="00EF0893"/>
    <w:rsid w:val="00EF08CF"/>
    <w:rsid w:val="00EF08D8"/>
    <w:rsid w:val="00EF08EB"/>
    <w:rsid w:val="00EF09C0"/>
    <w:rsid w:val="00EF0A24"/>
    <w:rsid w:val="00EF0E69"/>
    <w:rsid w:val="00EF0FA7"/>
    <w:rsid w:val="00EF1295"/>
    <w:rsid w:val="00EF1407"/>
    <w:rsid w:val="00EF16B0"/>
    <w:rsid w:val="00EF16F9"/>
    <w:rsid w:val="00EF195B"/>
    <w:rsid w:val="00EF1993"/>
    <w:rsid w:val="00EF1A38"/>
    <w:rsid w:val="00EF1AA7"/>
    <w:rsid w:val="00EF1E44"/>
    <w:rsid w:val="00EF1F60"/>
    <w:rsid w:val="00EF1FF2"/>
    <w:rsid w:val="00EF208C"/>
    <w:rsid w:val="00EF225A"/>
    <w:rsid w:val="00EF27BA"/>
    <w:rsid w:val="00EF289B"/>
    <w:rsid w:val="00EF2B49"/>
    <w:rsid w:val="00EF2C0F"/>
    <w:rsid w:val="00EF3003"/>
    <w:rsid w:val="00EF31F1"/>
    <w:rsid w:val="00EF327D"/>
    <w:rsid w:val="00EF3348"/>
    <w:rsid w:val="00EF3497"/>
    <w:rsid w:val="00EF360D"/>
    <w:rsid w:val="00EF368F"/>
    <w:rsid w:val="00EF37A0"/>
    <w:rsid w:val="00EF3A94"/>
    <w:rsid w:val="00EF3CD6"/>
    <w:rsid w:val="00EF3CD8"/>
    <w:rsid w:val="00EF42A4"/>
    <w:rsid w:val="00EF440E"/>
    <w:rsid w:val="00EF4497"/>
    <w:rsid w:val="00EF45B2"/>
    <w:rsid w:val="00EF4703"/>
    <w:rsid w:val="00EF4A6F"/>
    <w:rsid w:val="00EF4A8E"/>
    <w:rsid w:val="00EF4B58"/>
    <w:rsid w:val="00EF4ED1"/>
    <w:rsid w:val="00EF513F"/>
    <w:rsid w:val="00EF5271"/>
    <w:rsid w:val="00EF539D"/>
    <w:rsid w:val="00EF564E"/>
    <w:rsid w:val="00EF56AE"/>
    <w:rsid w:val="00EF5875"/>
    <w:rsid w:val="00EF58FF"/>
    <w:rsid w:val="00EF5905"/>
    <w:rsid w:val="00EF5B61"/>
    <w:rsid w:val="00EF5BA6"/>
    <w:rsid w:val="00EF5DC2"/>
    <w:rsid w:val="00EF5DDA"/>
    <w:rsid w:val="00EF6056"/>
    <w:rsid w:val="00EF6144"/>
    <w:rsid w:val="00EF62B8"/>
    <w:rsid w:val="00EF63EA"/>
    <w:rsid w:val="00EF64FD"/>
    <w:rsid w:val="00EF667F"/>
    <w:rsid w:val="00EF6862"/>
    <w:rsid w:val="00EF6965"/>
    <w:rsid w:val="00EF6BB3"/>
    <w:rsid w:val="00EF6BE1"/>
    <w:rsid w:val="00EF6C3A"/>
    <w:rsid w:val="00EF6D10"/>
    <w:rsid w:val="00EF6E2E"/>
    <w:rsid w:val="00EF6EED"/>
    <w:rsid w:val="00EF710A"/>
    <w:rsid w:val="00EF7185"/>
    <w:rsid w:val="00EF7324"/>
    <w:rsid w:val="00EF7329"/>
    <w:rsid w:val="00EF73B4"/>
    <w:rsid w:val="00EF74FD"/>
    <w:rsid w:val="00EF76BA"/>
    <w:rsid w:val="00EF7831"/>
    <w:rsid w:val="00EF79D2"/>
    <w:rsid w:val="00EF7AEA"/>
    <w:rsid w:val="00EF7B12"/>
    <w:rsid w:val="00EF7CEC"/>
    <w:rsid w:val="00EF7F39"/>
    <w:rsid w:val="00EF8C2C"/>
    <w:rsid w:val="00F000FA"/>
    <w:rsid w:val="00F00387"/>
    <w:rsid w:val="00F00472"/>
    <w:rsid w:val="00F004C6"/>
    <w:rsid w:val="00F0067E"/>
    <w:rsid w:val="00F00727"/>
    <w:rsid w:val="00F0099F"/>
    <w:rsid w:val="00F00DB1"/>
    <w:rsid w:val="00F00E24"/>
    <w:rsid w:val="00F00E6A"/>
    <w:rsid w:val="00F0101B"/>
    <w:rsid w:val="00F0104A"/>
    <w:rsid w:val="00F01144"/>
    <w:rsid w:val="00F011C6"/>
    <w:rsid w:val="00F01227"/>
    <w:rsid w:val="00F0123B"/>
    <w:rsid w:val="00F012DE"/>
    <w:rsid w:val="00F01300"/>
    <w:rsid w:val="00F014AA"/>
    <w:rsid w:val="00F014C9"/>
    <w:rsid w:val="00F016FB"/>
    <w:rsid w:val="00F019AA"/>
    <w:rsid w:val="00F01BAD"/>
    <w:rsid w:val="00F01D0D"/>
    <w:rsid w:val="00F01D6B"/>
    <w:rsid w:val="00F01E79"/>
    <w:rsid w:val="00F01FA7"/>
    <w:rsid w:val="00F01FCB"/>
    <w:rsid w:val="00F020C5"/>
    <w:rsid w:val="00F021AA"/>
    <w:rsid w:val="00F021B9"/>
    <w:rsid w:val="00F022E4"/>
    <w:rsid w:val="00F02370"/>
    <w:rsid w:val="00F025A7"/>
    <w:rsid w:val="00F0264E"/>
    <w:rsid w:val="00F026F3"/>
    <w:rsid w:val="00F029CA"/>
    <w:rsid w:val="00F029D4"/>
    <w:rsid w:val="00F02BE8"/>
    <w:rsid w:val="00F02C17"/>
    <w:rsid w:val="00F02E99"/>
    <w:rsid w:val="00F030AD"/>
    <w:rsid w:val="00F03111"/>
    <w:rsid w:val="00F0314B"/>
    <w:rsid w:val="00F0315B"/>
    <w:rsid w:val="00F035AA"/>
    <w:rsid w:val="00F0371C"/>
    <w:rsid w:val="00F0377D"/>
    <w:rsid w:val="00F0395A"/>
    <w:rsid w:val="00F03A10"/>
    <w:rsid w:val="00F03B8D"/>
    <w:rsid w:val="00F03CE4"/>
    <w:rsid w:val="00F03D45"/>
    <w:rsid w:val="00F03DA4"/>
    <w:rsid w:val="00F04087"/>
    <w:rsid w:val="00F0425E"/>
    <w:rsid w:val="00F04466"/>
    <w:rsid w:val="00F04A9E"/>
    <w:rsid w:val="00F04AF0"/>
    <w:rsid w:val="00F04BC6"/>
    <w:rsid w:val="00F04CC0"/>
    <w:rsid w:val="00F04ED2"/>
    <w:rsid w:val="00F04F73"/>
    <w:rsid w:val="00F050B1"/>
    <w:rsid w:val="00F05D9C"/>
    <w:rsid w:val="00F05EB1"/>
    <w:rsid w:val="00F05EF8"/>
    <w:rsid w:val="00F06170"/>
    <w:rsid w:val="00F06333"/>
    <w:rsid w:val="00F06398"/>
    <w:rsid w:val="00F067B8"/>
    <w:rsid w:val="00F06901"/>
    <w:rsid w:val="00F06AE0"/>
    <w:rsid w:val="00F06BB3"/>
    <w:rsid w:val="00F06BC4"/>
    <w:rsid w:val="00F06E0E"/>
    <w:rsid w:val="00F06E2E"/>
    <w:rsid w:val="00F06E3B"/>
    <w:rsid w:val="00F06E67"/>
    <w:rsid w:val="00F07094"/>
    <w:rsid w:val="00F0711F"/>
    <w:rsid w:val="00F07121"/>
    <w:rsid w:val="00F07442"/>
    <w:rsid w:val="00F07459"/>
    <w:rsid w:val="00F0764D"/>
    <w:rsid w:val="00F0775E"/>
    <w:rsid w:val="00F0784C"/>
    <w:rsid w:val="00F079C0"/>
    <w:rsid w:val="00F07ACE"/>
    <w:rsid w:val="00F07BF2"/>
    <w:rsid w:val="00F07E60"/>
    <w:rsid w:val="00F07F81"/>
    <w:rsid w:val="00F1008A"/>
    <w:rsid w:val="00F100F0"/>
    <w:rsid w:val="00F10139"/>
    <w:rsid w:val="00F102E3"/>
    <w:rsid w:val="00F1036F"/>
    <w:rsid w:val="00F10443"/>
    <w:rsid w:val="00F105D2"/>
    <w:rsid w:val="00F10679"/>
    <w:rsid w:val="00F10872"/>
    <w:rsid w:val="00F10A19"/>
    <w:rsid w:val="00F10B18"/>
    <w:rsid w:val="00F10C55"/>
    <w:rsid w:val="00F11323"/>
    <w:rsid w:val="00F1134C"/>
    <w:rsid w:val="00F11746"/>
    <w:rsid w:val="00F11B0F"/>
    <w:rsid w:val="00F11D8D"/>
    <w:rsid w:val="00F11DE4"/>
    <w:rsid w:val="00F11F71"/>
    <w:rsid w:val="00F1226E"/>
    <w:rsid w:val="00F12391"/>
    <w:rsid w:val="00F123F5"/>
    <w:rsid w:val="00F127F0"/>
    <w:rsid w:val="00F128B5"/>
    <w:rsid w:val="00F129D0"/>
    <w:rsid w:val="00F1336C"/>
    <w:rsid w:val="00F133E3"/>
    <w:rsid w:val="00F13F5A"/>
    <w:rsid w:val="00F1420E"/>
    <w:rsid w:val="00F14280"/>
    <w:rsid w:val="00F142E8"/>
    <w:rsid w:val="00F1431E"/>
    <w:rsid w:val="00F14399"/>
    <w:rsid w:val="00F144AA"/>
    <w:rsid w:val="00F145CD"/>
    <w:rsid w:val="00F145E0"/>
    <w:rsid w:val="00F148B3"/>
    <w:rsid w:val="00F149D8"/>
    <w:rsid w:val="00F14C2E"/>
    <w:rsid w:val="00F14C5E"/>
    <w:rsid w:val="00F14D1E"/>
    <w:rsid w:val="00F14F06"/>
    <w:rsid w:val="00F14F2F"/>
    <w:rsid w:val="00F15196"/>
    <w:rsid w:val="00F1520D"/>
    <w:rsid w:val="00F154E4"/>
    <w:rsid w:val="00F157A5"/>
    <w:rsid w:val="00F1587F"/>
    <w:rsid w:val="00F158F9"/>
    <w:rsid w:val="00F15904"/>
    <w:rsid w:val="00F15966"/>
    <w:rsid w:val="00F15A11"/>
    <w:rsid w:val="00F15A7E"/>
    <w:rsid w:val="00F15BE9"/>
    <w:rsid w:val="00F15C34"/>
    <w:rsid w:val="00F15CBC"/>
    <w:rsid w:val="00F15E99"/>
    <w:rsid w:val="00F15F8B"/>
    <w:rsid w:val="00F16217"/>
    <w:rsid w:val="00F163D2"/>
    <w:rsid w:val="00F16933"/>
    <w:rsid w:val="00F1693B"/>
    <w:rsid w:val="00F16A61"/>
    <w:rsid w:val="00F16B04"/>
    <w:rsid w:val="00F16B61"/>
    <w:rsid w:val="00F16F88"/>
    <w:rsid w:val="00F17177"/>
    <w:rsid w:val="00F171E3"/>
    <w:rsid w:val="00F172B1"/>
    <w:rsid w:val="00F1762A"/>
    <w:rsid w:val="00F178EA"/>
    <w:rsid w:val="00F17D51"/>
    <w:rsid w:val="00F17F63"/>
    <w:rsid w:val="00F17FBA"/>
    <w:rsid w:val="00F20341"/>
    <w:rsid w:val="00F2037E"/>
    <w:rsid w:val="00F20391"/>
    <w:rsid w:val="00F203E7"/>
    <w:rsid w:val="00F2047C"/>
    <w:rsid w:val="00F204D7"/>
    <w:rsid w:val="00F2060F"/>
    <w:rsid w:val="00F206D6"/>
    <w:rsid w:val="00F2086C"/>
    <w:rsid w:val="00F209D3"/>
    <w:rsid w:val="00F20CFC"/>
    <w:rsid w:val="00F20DDF"/>
    <w:rsid w:val="00F21124"/>
    <w:rsid w:val="00F212E5"/>
    <w:rsid w:val="00F21425"/>
    <w:rsid w:val="00F2174A"/>
    <w:rsid w:val="00F21B29"/>
    <w:rsid w:val="00F21F23"/>
    <w:rsid w:val="00F21FDD"/>
    <w:rsid w:val="00F22164"/>
    <w:rsid w:val="00F221D4"/>
    <w:rsid w:val="00F22380"/>
    <w:rsid w:val="00F22384"/>
    <w:rsid w:val="00F227B7"/>
    <w:rsid w:val="00F22871"/>
    <w:rsid w:val="00F22A09"/>
    <w:rsid w:val="00F22AB2"/>
    <w:rsid w:val="00F22AFC"/>
    <w:rsid w:val="00F22C2F"/>
    <w:rsid w:val="00F22CF7"/>
    <w:rsid w:val="00F22D3C"/>
    <w:rsid w:val="00F22D6A"/>
    <w:rsid w:val="00F23018"/>
    <w:rsid w:val="00F2332D"/>
    <w:rsid w:val="00F233C7"/>
    <w:rsid w:val="00F23452"/>
    <w:rsid w:val="00F234A6"/>
    <w:rsid w:val="00F235D6"/>
    <w:rsid w:val="00F23A01"/>
    <w:rsid w:val="00F23E80"/>
    <w:rsid w:val="00F23ECA"/>
    <w:rsid w:val="00F2401B"/>
    <w:rsid w:val="00F24093"/>
    <w:rsid w:val="00F240EF"/>
    <w:rsid w:val="00F2421B"/>
    <w:rsid w:val="00F2444F"/>
    <w:rsid w:val="00F244B8"/>
    <w:rsid w:val="00F2462E"/>
    <w:rsid w:val="00F247BE"/>
    <w:rsid w:val="00F24BA1"/>
    <w:rsid w:val="00F24E05"/>
    <w:rsid w:val="00F24ED5"/>
    <w:rsid w:val="00F24FE6"/>
    <w:rsid w:val="00F25117"/>
    <w:rsid w:val="00F25518"/>
    <w:rsid w:val="00F256E9"/>
    <w:rsid w:val="00F2586E"/>
    <w:rsid w:val="00F25911"/>
    <w:rsid w:val="00F25A5F"/>
    <w:rsid w:val="00F25BE5"/>
    <w:rsid w:val="00F25CB6"/>
    <w:rsid w:val="00F25E02"/>
    <w:rsid w:val="00F25EBE"/>
    <w:rsid w:val="00F261AF"/>
    <w:rsid w:val="00F262D3"/>
    <w:rsid w:val="00F26335"/>
    <w:rsid w:val="00F26365"/>
    <w:rsid w:val="00F26447"/>
    <w:rsid w:val="00F264FC"/>
    <w:rsid w:val="00F26641"/>
    <w:rsid w:val="00F267EA"/>
    <w:rsid w:val="00F26831"/>
    <w:rsid w:val="00F2683A"/>
    <w:rsid w:val="00F26962"/>
    <w:rsid w:val="00F26C34"/>
    <w:rsid w:val="00F26C79"/>
    <w:rsid w:val="00F26D21"/>
    <w:rsid w:val="00F26D57"/>
    <w:rsid w:val="00F2701D"/>
    <w:rsid w:val="00F270E9"/>
    <w:rsid w:val="00F27665"/>
    <w:rsid w:val="00F2767D"/>
    <w:rsid w:val="00F2769B"/>
    <w:rsid w:val="00F276EA"/>
    <w:rsid w:val="00F2778A"/>
    <w:rsid w:val="00F27918"/>
    <w:rsid w:val="00F279E0"/>
    <w:rsid w:val="00F27BA0"/>
    <w:rsid w:val="00F27C04"/>
    <w:rsid w:val="00F27E54"/>
    <w:rsid w:val="00F3006E"/>
    <w:rsid w:val="00F3043C"/>
    <w:rsid w:val="00F30665"/>
    <w:rsid w:val="00F307AC"/>
    <w:rsid w:val="00F30A01"/>
    <w:rsid w:val="00F30BC8"/>
    <w:rsid w:val="00F30C7D"/>
    <w:rsid w:val="00F30CB6"/>
    <w:rsid w:val="00F30CF1"/>
    <w:rsid w:val="00F3101E"/>
    <w:rsid w:val="00F3141F"/>
    <w:rsid w:val="00F31629"/>
    <w:rsid w:val="00F319D3"/>
    <w:rsid w:val="00F31A65"/>
    <w:rsid w:val="00F31D70"/>
    <w:rsid w:val="00F32288"/>
    <w:rsid w:val="00F32793"/>
    <w:rsid w:val="00F32881"/>
    <w:rsid w:val="00F3292C"/>
    <w:rsid w:val="00F3297A"/>
    <w:rsid w:val="00F32998"/>
    <w:rsid w:val="00F329AD"/>
    <w:rsid w:val="00F32A8F"/>
    <w:rsid w:val="00F32C64"/>
    <w:rsid w:val="00F32C75"/>
    <w:rsid w:val="00F32D7A"/>
    <w:rsid w:val="00F32F60"/>
    <w:rsid w:val="00F33230"/>
    <w:rsid w:val="00F33522"/>
    <w:rsid w:val="00F3356F"/>
    <w:rsid w:val="00F336F8"/>
    <w:rsid w:val="00F33769"/>
    <w:rsid w:val="00F33AAD"/>
    <w:rsid w:val="00F33AC5"/>
    <w:rsid w:val="00F33CE7"/>
    <w:rsid w:val="00F33DDE"/>
    <w:rsid w:val="00F33F1E"/>
    <w:rsid w:val="00F33FC7"/>
    <w:rsid w:val="00F34093"/>
    <w:rsid w:val="00F34698"/>
    <w:rsid w:val="00F34A6F"/>
    <w:rsid w:val="00F34D53"/>
    <w:rsid w:val="00F34F72"/>
    <w:rsid w:val="00F34FFF"/>
    <w:rsid w:val="00F35203"/>
    <w:rsid w:val="00F353CB"/>
    <w:rsid w:val="00F354A1"/>
    <w:rsid w:val="00F35742"/>
    <w:rsid w:val="00F35A5E"/>
    <w:rsid w:val="00F35A62"/>
    <w:rsid w:val="00F35ADB"/>
    <w:rsid w:val="00F35D71"/>
    <w:rsid w:val="00F35DDB"/>
    <w:rsid w:val="00F35ECB"/>
    <w:rsid w:val="00F3661A"/>
    <w:rsid w:val="00F366B3"/>
    <w:rsid w:val="00F366E5"/>
    <w:rsid w:val="00F36735"/>
    <w:rsid w:val="00F36929"/>
    <w:rsid w:val="00F36ADE"/>
    <w:rsid w:val="00F36C8D"/>
    <w:rsid w:val="00F36FB4"/>
    <w:rsid w:val="00F36FDC"/>
    <w:rsid w:val="00F37584"/>
    <w:rsid w:val="00F375E0"/>
    <w:rsid w:val="00F3760B"/>
    <w:rsid w:val="00F37659"/>
    <w:rsid w:val="00F376B6"/>
    <w:rsid w:val="00F3777C"/>
    <w:rsid w:val="00F37842"/>
    <w:rsid w:val="00F3784D"/>
    <w:rsid w:val="00F37C4B"/>
    <w:rsid w:val="00F40094"/>
    <w:rsid w:val="00F4043A"/>
    <w:rsid w:val="00F407BF"/>
    <w:rsid w:val="00F407DA"/>
    <w:rsid w:val="00F40ACB"/>
    <w:rsid w:val="00F40B64"/>
    <w:rsid w:val="00F40DA7"/>
    <w:rsid w:val="00F40DD1"/>
    <w:rsid w:val="00F40E0A"/>
    <w:rsid w:val="00F4102F"/>
    <w:rsid w:val="00F41101"/>
    <w:rsid w:val="00F41140"/>
    <w:rsid w:val="00F411BC"/>
    <w:rsid w:val="00F41212"/>
    <w:rsid w:val="00F41232"/>
    <w:rsid w:val="00F413AE"/>
    <w:rsid w:val="00F413C5"/>
    <w:rsid w:val="00F413E9"/>
    <w:rsid w:val="00F41407"/>
    <w:rsid w:val="00F415B0"/>
    <w:rsid w:val="00F41815"/>
    <w:rsid w:val="00F41900"/>
    <w:rsid w:val="00F41927"/>
    <w:rsid w:val="00F41A2B"/>
    <w:rsid w:val="00F41A63"/>
    <w:rsid w:val="00F41BDB"/>
    <w:rsid w:val="00F424D7"/>
    <w:rsid w:val="00F4264E"/>
    <w:rsid w:val="00F426F9"/>
    <w:rsid w:val="00F427F1"/>
    <w:rsid w:val="00F429A9"/>
    <w:rsid w:val="00F42B95"/>
    <w:rsid w:val="00F42C92"/>
    <w:rsid w:val="00F42CFB"/>
    <w:rsid w:val="00F42D87"/>
    <w:rsid w:val="00F4303C"/>
    <w:rsid w:val="00F43114"/>
    <w:rsid w:val="00F434AF"/>
    <w:rsid w:val="00F435B1"/>
    <w:rsid w:val="00F435EC"/>
    <w:rsid w:val="00F43612"/>
    <w:rsid w:val="00F43668"/>
    <w:rsid w:val="00F436AF"/>
    <w:rsid w:val="00F4374D"/>
    <w:rsid w:val="00F43760"/>
    <w:rsid w:val="00F43AAF"/>
    <w:rsid w:val="00F43C19"/>
    <w:rsid w:val="00F43D18"/>
    <w:rsid w:val="00F43DFA"/>
    <w:rsid w:val="00F4402F"/>
    <w:rsid w:val="00F442FC"/>
    <w:rsid w:val="00F44448"/>
    <w:rsid w:val="00F44505"/>
    <w:rsid w:val="00F44983"/>
    <w:rsid w:val="00F44993"/>
    <w:rsid w:val="00F44D0F"/>
    <w:rsid w:val="00F44DFE"/>
    <w:rsid w:val="00F45271"/>
    <w:rsid w:val="00F454D3"/>
    <w:rsid w:val="00F45545"/>
    <w:rsid w:val="00F456FC"/>
    <w:rsid w:val="00F45836"/>
    <w:rsid w:val="00F458AA"/>
    <w:rsid w:val="00F45964"/>
    <w:rsid w:val="00F45B21"/>
    <w:rsid w:val="00F45B2D"/>
    <w:rsid w:val="00F45CB5"/>
    <w:rsid w:val="00F45CD7"/>
    <w:rsid w:val="00F4609B"/>
    <w:rsid w:val="00F46377"/>
    <w:rsid w:val="00F4640A"/>
    <w:rsid w:val="00F46525"/>
    <w:rsid w:val="00F4657F"/>
    <w:rsid w:val="00F465EB"/>
    <w:rsid w:val="00F46611"/>
    <w:rsid w:val="00F46630"/>
    <w:rsid w:val="00F46657"/>
    <w:rsid w:val="00F466AB"/>
    <w:rsid w:val="00F466C1"/>
    <w:rsid w:val="00F46978"/>
    <w:rsid w:val="00F46A57"/>
    <w:rsid w:val="00F46BAA"/>
    <w:rsid w:val="00F46D77"/>
    <w:rsid w:val="00F46E1C"/>
    <w:rsid w:val="00F46F4D"/>
    <w:rsid w:val="00F46FC5"/>
    <w:rsid w:val="00F47027"/>
    <w:rsid w:val="00F47157"/>
    <w:rsid w:val="00F471C4"/>
    <w:rsid w:val="00F47260"/>
    <w:rsid w:val="00F472CC"/>
    <w:rsid w:val="00F4764C"/>
    <w:rsid w:val="00F476D4"/>
    <w:rsid w:val="00F47956"/>
    <w:rsid w:val="00F47958"/>
    <w:rsid w:val="00F47B14"/>
    <w:rsid w:val="00F47B4C"/>
    <w:rsid w:val="00F47CFD"/>
    <w:rsid w:val="00F47D36"/>
    <w:rsid w:val="00F5014F"/>
    <w:rsid w:val="00F50176"/>
    <w:rsid w:val="00F50229"/>
    <w:rsid w:val="00F5045A"/>
    <w:rsid w:val="00F50500"/>
    <w:rsid w:val="00F50599"/>
    <w:rsid w:val="00F505AC"/>
    <w:rsid w:val="00F50788"/>
    <w:rsid w:val="00F50990"/>
    <w:rsid w:val="00F50B30"/>
    <w:rsid w:val="00F50BBE"/>
    <w:rsid w:val="00F50C37"/>
    <w:rsid w:val="00F50FE4"/>
    <w:rsid w:val="00F510F6"/>
    <w:rsid w:val="00F511FB"/>
    <w:rsid w:val="00F513C5"/>
    <w:rsid w:val="00F513EE"/>
    <w:rsid w:val="00F516F1"/>
    <w:rsid w:val="00F51C48"/>
    <w:rsid w:val="00F51DE9"/>
    <w:rsid w:val="00F51EC9"/>
    <w:rsid w:val="00F52089"/>
    <w:rsid w:val="00F522BE"/>
    <w:rsid w:val="00F524BB"/>
    <w:rsid w:val="00F526D2"/>
    <w:rsid w:val="00F52913"/>
    <w:rsid w:val="00F5295F"/>
    <w:rsid w:val="00F52A76"/>
    <w:rsid w:val="00F52A78"/>
    <w:rsid w:val="00F52BE8"/>
    <w:rsid w:val="00F52C10"/>
    <w:rsid w:val="00F52D60"/>
    <w:rsid w:val="00F530D5"/>
    <w:rsid w:val="00F53186"/>
    <w:rsid w:val="00F531D4"/>
    <w:rsid w:val="00F533C9"/>
    <w:rsid w:val="00F534BC"/>
    <w:rsid w:val="00F53592"/>
    <w:rsid w:val="00F535CC"/>
    <w:rsid w:val="00F535FD"/>
    <w:rsid w:val="00F5360D"/>
    <w:rsid w:val="00F53866"/>
    <w:rsid w:val="00F53BAB"/>
    <w:rsid w:val="00F53F4D"/>
    <w:rsid w:val="00F54006"/>
    <w:rsid w:val="00F54086"/>
    <w:rsid w:val="00F542D8"/>
    <w:rsid w:val="00F5488A"/>
    <w:rsid w:val="00F54894"/>
    <w:rsid w:val="00F54BA1"/>
    <w:rsid w:val="00F54D0C"/>
    <w:rsid w:val="00F54D68"/>
    <w:rsid w:val="00F551D2"/>
    <w:rsid w:val="00F55436"/>
    <w:rsid w:val="00F55601"/>
    <w:rsid w:val="00F55672"/>
    <w:rsid w:val="00F556B9"/>
    <w:rsid w:val="00F5598F"/>
    <w:rsid w:val="00F55B01"/>
    <w:rsid w:val="00F55BBD"/>
    <w:rsid w:val="00F55C74"/>
    <w:rsid w:val="00F55CC4"/>
    <w:rsid w:val="00F55ED9"/>
    <w:rsid w:val="00F55FBD"/>
    <w:rsid w:val="00F56053"/>
    <w:rsid w:val="00F5605C"/>
    <w:rsid w:val="00F5611F"/>
    <w:rsid w:val="00F5614E"/>
    <w:rsid w:val="00F561B0"/>
    <w:rsid w:val="00F5621A"/>
    <w:rsid w:val="00F5622E"/>
    <w:rsid w:val="00F5625D"/>
    <w:rsid w:val="00F562BC"/>
    <w:rsid w:val="00F5671B"/>
    <w:rsid w:val="00F56A99"/>
    <w:rsid w:val="00F56CC0"/>
    <w:rsid w:val="00F56E75"/>
    <w:rsid w:val="00F56F8F"/>
    <w:rsid w:val="00F570ED"/>
    <w:rsid w:val="00F57199"/>
    <w:rsid w:val="00F5722B"/>
    <w:rsid w:val="00F57384"/>
    <w:rsid w:val="00F57688"/>
    <w:rsid w:val="00F5789A"/>
    <w:rsid w:val="00F57E4A"/>
    <w:rsid w:val="00F57EF0"/>
    <w:rsid w:val="00F60371"/>
    <w:rsid w:val="00F60551"/>
    <w:rsid w:val="00F6060E"/>
    <w:rsid w:val="00F6082E"/>
    <w:rsid w:val="00F609B1"/>
    <w:rsid w:val="00F61040"/>
    <w:rsid w:val="00F6122B"/>
    <w:rsid w:val="00F612F3"/>
    <w:rsid w:val="00F614A5"/>
    <w:rsid w:val="00F614D0"/>
    <w:rsid w:val="00F61591"/>
    <w:rsid w:val="00F615F4"/>
    <w:rsid w:val="00F6161D"/>
    <w:rsid w:val="00F6162C"/>
    <w:rsid w:val="00F61728"/>
    <w:rsid w:val="00F618EA"/>
    <w:rsid w:val="00F61B23"/>
    <w:rsid w:val="00F61C66"/>
    <w:rsid w:val="00F61F07"/>
    <w:rsid w:val="00F62277"/>
    <w:rsid w:val="00F622C6"/>
    <w:rsid w:val="00F62448"/>
    <w:rsid w:val="00F62468"/>
    <w:rsid w:val="00F624C6"/>
    <w:rsid w:val="00F6257B"/>
    <w:rsid w:val="00F62598"/>
    <w:rsid w:val="00F626F5"/>
    <w:rsid w:val="00F627D7"/>
    <w:rsid w:val="00F62B6D"/>
    <w:rsid w:val="00F631F7"/>
    <w:rsid w:val="00F632B7"/>
    <w:rsid w:val="00F634D2"/>
    <w:rsid w:val="00F637EA"/>
    <w:rsid w:val="00F63948"/>
    <w:rsid w:val="00F63A24"/>
    <w:rsid w:val="00F63D3A"/>
    <w:rsid w:val="00F64018"/>
    <w:rsid w:val="00F6415E"/>
    <w:rsid w:val="00F641F2"/>
    <w:rsid w:val="00F64270"/>
    <w:rsid w:val="00F64728"/>
    <w:rsid w:val="00F648BF"/>
    <w:rsid w:val="00F64C53"/>
    <w:rsid w:val="00F64DB3"/>
    <w:rsid w:val="00F64E01"/>
    <w:rsid w:val="00F64E0E"/>
    <w:rsid w:val="00F64E95"/>
    <w:rsid w:val="00F64FCE"/>
    <w:rsid w:val="00F652BC"/>
    <w:rsid w:val="00F6533C"/>
    <w:rsid w:val="00F65383"/>
    <w:rsid w:val="00F65414"/>
    <w:rsid w:val="00F65662"/>
    <w:rsid w:val="00F65955"/>
    <w:rsid w:val="00F65B2E"/>
    <w:rsid w:val="00F65B3C"/>
    <w:rsid w:val="00F65D56"/>
    <w:rsid w:val="00F664FD"/>
    <w:rsid w:val="00F66533"/>
    <w:rsid w:val="00F667B4"/>
    <w:rsid w:val="00F667DA"/>
    <w:rsid w:val="00F6689D"/>
    <w:rsid w:val="00F66AAC"/>
    <w:rsid w:val="00F66EBE"/>
    <w:rsid w:val="00F67530"/>
    <w:rsid w:val="00F675B8"/>
    <w:rsid w:val="00F675D4"/>
    <w:rsid w:val="00F6764A"/>
    <w:rsid w:val="00F676CA"/>
    <w:rsid w:val="00F67797"/>
    <w:rsid w:val="00F67972"/>
    <w:rsid w:val="00F67B29"/>
    <w:rsid w:val="00F67C81"/>
    <w:rsid w:val="00F67CF4"/>
    <w:rsid w:val="00F67F11"/>
    <w:rsid w:val="00F67FC7"/>
    <w:rsid w:val="00F7002D"/>
    <w:rsid w:val="00F7022F"/>
    <w:rsid w:val="00F70258"/>
    <w:rsid w:val="00F703C0"/>
    <w:rsid w:val="00F7052C"/>
    <w:rsid w:val="00F7060F"/>
    <w:rsid w:val="00F706F6"/>
    <w:rsid w:val="00F70A31"/>
    <w:rsid w:val="00F70BCC"/>
    <w:rsid w:val="00F70C37"/>
    <w:rsid w:val="00F70C8B"/>
    <w:rsid w:val="00F70C8C"/>
    <w:rsid w:val="00F70CF5"/>
    <w:rsid w:val="00F70D49"/>
    <w:rsid w:val="00F70D60"/>
    <w:rsid w:val="00F70D6C"/>
    <w:rsid w:val="00F70DBB"/>
    <w:rsid w:val="00F70F5B"/>
    <w:rsid w:val="00F70F89"/>
    <w:rsid w:val="00F70FD8"/>
    <w:rsid w:val="00F70FF9"/>
    <w:rsid w:val="00F7125E"/>
    <w:rsid w:val="00F71348"/>
    <w:rsid w:val="00F7144B"/>
    <w:rsid w:val="00F71516"/>
    <w:rsid w:val="00F71926"/>
    <w:rsid w:val="00F71B06"/>
    <w:rsid w:val="00F71D94"/>
    <w:rsid w:val="00F71E08"/>
    <w:rsid w:val="00F7203B"/>
    <w:rsid w:val="00F72493"/>
    <w:rsid w:val="00F72633"/>
    <w:rsid w:val="00F72736"/>
    <w:rsid w:val="00F727AE"/>
    <w:rsid w:val="00F72872"/>
    <w:rsid w:val="00F728A7"/>
    <w:rsid w:val="00F729F9"/>
    <w:rsid w:val="00F72AF3"/>
    <w:rsid w:val="00F72B2F"/>
    <w:rsid w:val="00F72B9C"/>
    <w:rsid w:val="00F72C1D"/>
    <w:rsid w:val="00F72CE6"/>
    <w:rsid w:val="00F72DF3"/>
    <w:rsid w:val="00F72E24"/>
    <w:rsid w:val="00F72EEE"/>
    <w:rsid w:val="00F72F33"/>
    <w:rsid w:val="00F72FC7"/>
    <w:rsid w:val="00F730A0"/>
    <w:rsid w:val="00F73149"/>
    <w:rsid w:val="00F731A2"/>
    <w:rsid w:val="00F73238"/>
    <w:rsid w:val="00F732EC"/>
    <w:rsid w:val="00F73316"/>
    <w:rsid w:val="00F737C5"/>
    <w:rsid w:val="00F739F5"/>
    <w:rsid w:val="00F73E06"/>
    <w:rsid w:val="00F74094"/>
    <w:rsid w:val="00F74129"/>
    <w:rsid w:val="00F742E0"/>
    <w:rsid w:val="00F7433A"/>
    <w:rsid w:val="00F744D8"/>
    <w:rsid w:val="00F7450A"/>
    <w:rsid w:val="00F74514"/>
    <w:rsid w:val="00F74A1A"/>
    <w:rsid w:val="00F74A1E"/>
    <w:rsid w:val="00F74C58"/>
    <w:rsid w:val="00F751A8"/>
    <w:rsid w:val="00F751FA"/>
    <w:rsid w:val="00F752B5"/>
    <w:rsid w:val="00F752E2"/>
    <w:rsid w:val="00F75567"/>
    <w:rsid w:val="00F75599"/>
    <w:rsid w:val="00F756C4"/>
    <w:rsid w:val="00F75868"/>
    <w:rsid w:val="00F75A21"/>
    <w:rsid w:val="00F75C0D"/>
    <w:rsid w:val="00F75D5F"/>
    <w:rsid w:val="00F75DBA"/>
    <w:rsid w:val="00F75EF0"/>
    <w:rsid w:val="00F76220"/>
    <w:rsid w:val="00F7671A"/>
    <w:rsid w:val="00F76830"/>
    <w:rsid w:val="00F76A22"/>
    <w:rsid w:val="00F76A5E"/>
    <w:rsid w:val="00F76D0E"/>
    <w:rsid w:val="00F76D43"/>
    <w:rsid w:val="00F77003"/>
    <w:rsid w:val="00F770C5"/>
    <w:rsid w:val="00F77239"/>
    <w:rsid w:val="00F772A0"/>
    <w:rsid w:val="00F772A5"/>
    <w:rsid w:val="00F774FC"/>
    <w:rsid w:val="00F7767C"/>
    <w:rsid w:val="00F776F6"/>
    <w:rsid w:val="00F7771C"/>
    <w:rsid w:val="00F7788F"/>
    <w:rsid w:val="00F77961"/>
    <w:rsid w:val="00F77ABB"/>
    <w:rsid w:val="00F77D6E"/>
    <w:rsid w:val="00F77DFA"/>
    <w:rsid w:val="00F77E56"/>
    <w:rsid w:val="00F80228"/>
    <w:rsid w:val="00F8028A"/>
    <w:rsid w:val="00F80384"/>
    <w:rsid w:val="00F8044B"/>
    <w:rsid w:val="00F804FB"/>
    <w:rsid w:val="00F80601"/>
    <w:rsid w:val="00F80A36"/>
    <w:rsid w:val="00F80B84"/>
    <w:rsid w:val="00F80BF8"/>
    <w:rsid w:val="00F80DC0"/>
    <w:rsid w:val="00F80DC4"/>
    <w:rsid w:val="00F80DCB"/>
    <w:rsid w:val="00F80F54"/>
    <w:rsid w:val="00F812D5"/>
    <w:rsid w:val="00F813E5"/>
    <w:rsid w:val="00F8143A"/>
    <w:rsid w:val="00F8143D"/>
    <w:rsid w:val="00F81440"/>
    <w:rsid w:val="00F81A0B"/>
    <w:rsid w:val="00F81C02"/>
    <w:rsid w:val="00F81CB8"/>
    <w:rsid w:val="00F81EAB"/>
    <w:rsid w:val="00F81EDB"/>
    <w:rsid w:val="00F81FDC"/>
    <w:rsid w:val="00F82268"/>
    <w:rsid w:val="00F822C6"/>
    <w:rsid w:val="00F82343"/>
    <w:rsid w:val="00F8257B"/>
    <w:rsid w:val="00F82685"/>
    <w:rsid w:val="00F826B1"/>
    <w:rsid w:val="00F82757"/>
    <w:rsid w:val="00F827F8"/>
    <w:rsid w:val="00F82882"/>
    <w:rsid w:val="00F828B1"/>
    <w:rsid w:val="00F828C1"/>
    <w:rsid w:val="00F82975"/>
    <w:rsid w:val="00F82A7B"/>
    <w:rsid w:val="00F82AF9"/>
    <w:rsid w:val="00F82B44"/>
    <w:rsid w:val="00F82BAD"/>
    <w:rsid w:val="00F82FE6"/>
    <w:rsid w:val="00F830C3"/>
    <w:rsid w:val="00F831B8"/>
    <w:rsid w:val="00F8320D"/>
    <w:rsid w:val="00F8321C"/>
    <w:rsid w:val="00F832DE"/>
    <w:rsid w:val="00F833BD"/>
    <w:rsid w:val="00F8387A"/>
    <w:rsid w:val="00F83962"/>
    <w:rsid w:val="00F83C1E"/>
    <w:rsid w:val="00F83C81"/>
    <w:rsid w:val="00F83CCA"/>
    <w:rsid w:val="00F83EFE"/>
    <w:rsid w:val="00F846B3"/>
    <w:rsid w:val="00F84719"/>
    <w:rsid w:val="00F847ED"/>
    <w:rsid w:val="00F848E2"/>
    <w:rsid w:val="00F849B3"/>
    <w:rsid w:val="00F84B3D"/>
    <w:rsid w:val="00F84BCA"/>
    <w:rsid w:val="00F84C1F"/>
    <w:rsid w:val="00F84F25"/>
    <w:rsid w:val="00F851C1"/>
    <w:rsid w:val="00F8528B"/>
    <w:rsid w:val="00F852DC"/>
    <w:rsid w:val="00F85374"/>
    <w:rsid w:val="00F855B6"/>
    <w:rsid w:val="00F85707"/>
    <w:rsid w:val="00F8581F"/>
    <w:rsid w:val="00F85947"/>
    <w:rsid w:val="00F85A62"/>
    <w:rsid w:val="00F85D2E"/>
    <w:rsid w:val="00F85D51"/>
    <w:rsid w:val="00F85FB6"/>
    <w:rsid w:val="00F860FD"/>
    <w:rsid w:val="00F861B1"/>
    <w:rsid w:val="00F86259"/>
    <w:rsid w:val="00F862F5"/>
    <w:rsid w:val="00F86307"/>
    <w:rsid w:val="00F8652F"/>
    <w:rsid w:val="00F8674D"/>
    <w:rsid w:val="00F8676D"/>
    <w:rsid w:val="00F86B67"/>
    <w:rsid w:val="00F86F0F"/>
    <w:rsid w:val="00F86F74"/>
    <w:rsid w:val="00F86F84"/>
    <w:rsid w:val="00F86FDA"/>
    <w:rsid w:val="00F872A3"/>
    <w:rsid w:val="00F878D8"/>
    <w:rsid w:val="00F878FF"/>
    <w:rsid w:val="00F87B3E"/>
    <w:rsid w:val="00F87B44"/>
    <w:rsid w:val="00F87BB3"/>
    <w:rsid w:val="00F87C2C"/>
    <w:rsid w:val="00F87C6B"/>
    <w:rsid w:val="00F87DEF"/>
    <w:rsid w:val="00F90084"/>
    <w:rsid w:val="00F9025C"/>
    <w:rsid w:val="00F902E9"/>
    <w:rsid w:val="00F903C8"/>
    <w:rsid w:val="00F90498"/>
    <w:rsid w:val="00F906FB"/>
    <w:rsid w:val="00F907A1"/>
    <w:rsid w:val="00F909D2"/>
    <w:rsid w:val="00F90CA1"/>
    <w:rsid w:val="00F90D19"/>
    <w:rsid w:val="00F90D5C"/>
    <w:rsid w:val="00F90E74"/>
    <w:rsid w:val="00F90F22"/>
    <w:rsid w:val="00F90FC2"/>
    <w:rsid w:val="00F91043"/>
    <w:rsid w:val="00F91126"/>
    <w:rsid w:val="00F9182E"/>
    <w:rsid w:val="00F919FD"/>
    <w:rsid w:val="00F91B9D"/>
    <w:rsid w:val="00F91C49"/>
    <w:rsid w:val="00F91E01"/>
    <w:rsid w:val="00F91E16"/>
    <w:rsid w:val="00F91EDB"/>
    <w:rsid w:val="00F920F9"/>
    <w:rsid w:val="00F9211C"/>
    <w:rsid w:val="00F92236"/>
    <w:rsid w:val="00F9234E"/>
    <w:rsid w:val="00F924F8"/>
    <w:rsid w:val="00F9260A"/>
    <w:rsid w:val="00F92668"/>
    <w:rsid w:val="00F928CE"/>
    <w:rsid w:val="00F92A8D"/>
    <w:rsid w:val="00F92D27"/>
    <w:rsid w:val="00F92D64"/>
    <w:rsid w:val="00F92DE2"/>
    <w:rsid w:val="00F92FA8"/>
    <w:rsid w:val="00F930FD"/>
    <w:rsid w:val="00F931AF"/>
    <w:rsid w:val="00F93682"/>
    <w:rsid w:val="00F939F3"/>
    <w:rsid w:val="00F93CC6"/>
    <w:rsid w:val="00F93EFF"/>
    <w:rsid w:val="00F93FD0"/>
    <w:rsid w:val="00F940A3"/>
    <w:rsid w:val="00F94120"/>
    <w:rsid w:val="00F94153"/>
    <w:rsid w:val="00F942C0"/>
    <w:rsid w:val="00F94502"/>
    <w:rsid w:val="00F94582"/>
    <w:rsid w:val="00F94587"/>
    <w:rsid w:val="00F94938"/>
    <w:rsid w:val="00F94987"/>
    <w:rsid w:val="00F94A9C"/>
    <w:rsid w:val="00F94AEB"/>
    <w:rsid w:val="00F94C9B"/>
    <w:rsid w:val="00F94CAD"/>
    <w:rsid w:val="00F94D3C"/>
    <w:rsid w:val="00F94F5A"/>
    <w:rsid w:val="00F9507B"/>
    <w:rsid w:val="00F950B4"/>
    <w:rsid w:val="00F9516D"/>
    <w:rsid w:val="00F951A4"/>
    <w:rsid w:val="00F951D6"/>
    <w:rsid w:val="00F953BD"/>
    <w:rsid w:val="00F9541A"/>
    <w:rsid w:val="00F95490"/>
    <w:rsid w:val="00F95620"/>
    <w:rsid w:val="00F95663"/>
    <w:rsid w:val="00F958AF"/>
    <w:rsid w:val="00F959A8"/>
    <w:rsid w:val="00F95E04"/>
    <w:rsid w:val="00F95F55"/>
    <w:rsid w:val="00F95F62"/>
    <w:rsid w:val="00F95FD2"/>
    <w:rsid w:val="00F96098"/>
    <w:rsid w:val="00F9617F"/>
    <w:rsid w:val="00F962D7"/>
    <w:rsid w:val="00F963AB"/>
    <w:rsid w:val="00F968A4"/>
    <w:rsid w:val="00F968BD"/>
    <w:rsid w:val="00F96CE7"/>
    <w:rsid w:val="00F96E14"/>
    <w:rsid w:val="00F96EA2"/>
    <w:rsid w:val="00F96F8D"/>
    <w:rsid w:val="00F97182"/>
    <w:rsid w:val="00F97313"/>
    <w:rsid w:val="00F97459"/>
    <w:rsid w:val="00F976CB"/>
    <w:rsid w:val="00F977F2"/>
    <w:rsid w:val="00F97979"/>
    <w:rsid w:val="00F979B5"/>
    <w:rsid w:val="00F97A0D"/>
    <w:rsid w:val="00F97A93"/>
    <w:rsid w:val="00F97B7E"/>
    <w:rsid w:val="00F97CA0"/>
    <w:rsid w:val="00F97F98"/>
    <w:rsid w:val="00F97FAE"/>
    <w:rsid w:val="00FA00B6"/>
    <w:rsid w:val="00FA0355"/>
    <w:rsid w:val="00FA0555"/>
    <w:rsid w:val="00FA063C"/>
    <w:rsid w:val="00FA0730"/>
    <w:rsid w:val="00FA090D"/>
    <w:rsid w:val="00FA0A36"/>
    <w:rsid w:val="00FA0A5F"/>
    <w:rsid w:val="00FA0B25"/>
    <w:rsid w:val="00FA0C59"/>
    <w:rsid w:val="00FA0CC8"/>
    <w:rsid w:val="00FA0F66"/>
    <w:rsid w:val="00FA114E"/>
    <w:rsid w:val="00FA1185"/>
    <w:rsid w:val="00FA11DD"/>
    <w:rsid w:val="00FA13B5"/>
    <w:rsid w:val="00FA14AA"/>
    <w:rsid w:val="00FA1635"/>
    <w:rsid w:val="00FA1717"/>
    <w:rsid w:val="00FA17D9"/>
    <w:rsid w:val="00FA19B0"/>
    <w:rsid w:val="00FA1BA0"/>
    <w:rsid w:val="00FA1C4C"/>
    <w:rsid w:val="00FA1C57"/>
    <w:rsid w:val="00FA1DDB"/>
    <w:rsid w:val="00FA1E46"/>
    <w:rsid w:val="00FA1F45"/>
    <w:rsid w:val="00FA1F70"/>
    <w:rsid w:val="00FA2240"/>
    <w:rsid w:val="00FA2271"/>
    <w:rsid w:val="00FA23DB"/>
    <w:rsid w:val="00FA2509"/>
    <w:rsid w:val="00FA2627"/>
    <w:rsid w:val="00FA2698"/>
    <w:rsid w:val="00FA277D"/>
    <w:rsid w:val="00FA278B"/>
    <w:rsid w:val="00FA2829"/>
    <w:rsid w:val="00FA2993"/>
    <w:rsid w:val="00FA29E3"/>
    <w:rsid w:val="00FA2AD0"/>
    <w:rsid w:val="00FA2CD1"/>
    <w:rsid w:val="00FA2D34"/>
    <w:rsid w:val="00FA2EAE"/>
    <w:rsid w:val="00FA3633"/>
    <w:rsid w:val="00FA365F"/>
    <w:rsid w:val="00FA3A32"/>
    <w:rsid w:val="00FA3B26"/>
    <w:rsid w:val="00FA3CD7"/>
    <w:rsid w:val="00FA3CE3"/>
    <w:rsid w:val="00FA3E14"/>
    <w:rsid w:val="00FA4760"/>
    <w:rsid w:val="00FA4C4B"/>
    <w:rsid w:val="00FA4CFA"/>
    <w:rsid w:val="00FA4F1E"/>
    <w:rsid w:val="00FA4FE6"/>
    <w:rsid w:val="00FA50F8"/>
    <w:rsid w:val="00FA535B"/>
    <w:rsid w:val="00FA56C0"/>
    <w:rsid w:val="00FA57C8"/>
    <w:rsid w:val="00FA5983"/>
    <w:rsid w:val="00FA5A38"/>
    <w:rsid w:val="00FA5BA5"/>
    <w:rsid w:val="00FA5BC3"/>
    <w:rsid w:val="00FA5D75"/>
    <w:rsid w:val="00FA5DF0"/>
    <w:rsid w:val="00FA5FF8"/>
    <w:rsid w:val="00FA6218"/>
    <w:rsid w:val="00FA6258"/>
    <w:rsid w:val="00FA634F"/>
    <w:rsid w:val="00FA650E"/>
    <w:rsid w:val="00FA65DC"/>
    <w:rsid w:val="00FA660E"/>
    <w:rsid w:val="00FA6612"/>
    <w:rsid w:val="00FA6770"/>
    <w:rsid w:val="00FA6865"/>
    <w:rsid w:val="00FA6964"/>
    <w:rsid w:val="00FA6AD4"/>
    <w:rsid w:val="00FA6CE6"/>
    <w:rsid w:val="00FA6E77"/>
    <w:rsid w:val="00FA7288"/>
    <w:rsid w:val="00FA74D4"/>
    <w:rsid w:val="00FA768E"/>
    <w:rsid w:val="00FA76DB"/>
    <w:rsid w:val="00FA76E2"/>
    <w:rsid w:val="00FA779D"/>
    <w:rsid w:val="00FA78D2"/>
    <w:rsid w:val="00FA78DA"/>
    <w:rsid w:val="00FA7A38"/>
    <w:rsid w:val="00FA7E24"/>
    <w:rsid w:val="00FA7EB8"/>
    <w:rsid w:val="00FB001E"/>
    <w:rsid w:val="00FB00DB"/>
    <w:rsid w:val="00FB02FF"/>
    <w:rsid w:val="00FB07D8"/>
    <w:rsid w:val="00FB0C9F"/>
    <w:rsid w:val="00FB0D48"/>
    <w:rsid w:val="00FB0D90"/>
    <w:rsid w:val="00FB101E"/>
    <w:rsid w:val="00FB1276"/>
    <w:rsid w:val="00FB174A"/>
    <w:rsid w:val="00FB17FA"/>
    <w:rsid w:val="00FB1846"/>
    <w:rsid w:val="00FB1B97"/>
    <w:rsid w:val="00FB1C4D"/>
    <w:rsid w:val="00FB1D2F"/>
    <w:rsid w:val="00FB1E2F"/>
    <w:rsid w:val="00FB1FCC"/>
    <w:rsid w:val="00FB1FD7"/>
    <w:rsid w:val="00FB2496"/>
    <w:rsid w:val="00FB249F"/>
    <w:rsid w:val="00FB26CD"/>
    <w:rsid w:val="00FB29C5"/>
    <w:rsid w:val="00FB29EF"/>
    <w:rsid w:val="00FB2C2E"/>
    <w:rsid w:val="00FB2CB0"/>
    <w:rsid w:val="00FB2D03"/>
    <w:rsid w:val="00FB2D2E"/>
    <w:rsid w:val="00FB2DA7"/>
    <w:rsid w:val="00FB2E5D"/>
    <w:rsid w:val="00FB3562"/>
    <w:rsid w:val="00FB378E"/>
    <w:rsid w:val="00FB3814"/>
    <w:rsid w:val="00FB3952"/>
    <w:rsid w:val="00FB396F"/>
    <w:rsid w:val="00FB3B95"/>
    <w:rsid w:val="00FB3C5B"/>
    <w:rsid w:val="00FB3D10"/>
    <w:rsid w:val="00FB3D16"/>
    <w:rsid w:val="00FB3DB9"/>
    <w:rsid w:val="00FB3EED"/>
    <w:rsid w:val="00FB3FB0"/>
    <w:rsid w:val="00FB40B9"/>
    <w:rsid w:val="00FB455D"/>
    <w:rsid w:val="00FB466E"/>
    <w:rsid w:val="00FB47EF"/>
    <w:rsid w:val="00FB4B75"/>
    <w:rsid w:val="00FB4E7B"/>
    <w:rsid w:val="00FB5218"/>
    <w:rsid w:val="00FB5384"/>
    <w:rsid w:val="00FB5452"/>
    <w:rsid w:val="00FB54C2"/>
    <w:rsid w:val="00FB5859"/>
    <w:rsid w:val="00FB593C"/>
    <w:rsid w:val="00FB59EF"/>
    <w:rsid w:val="00FB5A15"/>
    <w:rsid w:val="00FB5B81"/>
    <w:rsid w:val="00FB5C21"/>
    <w:rsid w:val="00FB5CA2"/>
    <w:rsid w:val="00FB5D77"/>
    <w:rsid w:val="00FB5DC2"/>
    <w:rsid w:val="00FB5F76"/>
    <w:rsid w:val="00FB5F9B"/>
    <w:rsid w:val="00FB62CA"/>
    <w:rsid w:val="00FB65A0"/>
    <w:rsid w:val="00FB6670"/>
    <w:rsid w:val="00FB66D2"/>
    <w:rsid w:val="00FB6809"/>
    <w:rsid w:val="00FB683B"/>
    <w:rsid w:val="00FB6A82"/>
    <w:rsid w:val="00FB6AD5"/>
    <w:rsid w:val="00FB6B37"/>
    <w:rsid w:val="00FB6D30"/>
    <w:rsid w:val="00FB6D50"/>
    <w:rsid w:val="00FB6DF5"/>
    <w:rsid w:val="00FB6E6A"/>
    <w:rsid w:val="00FB6E74"/>
    <w:rsid w:val="00FB6E7D"/>
    <w:rsid w:val="00FB6F08"/>
    <w:rsid w:val="00FB6F71"/>
    <w:rsid w:val="00FB71EA"/>
    <w:rsid w:val="00FB722A"/>
    <w:rsid w:val="00FB734F"/>
    <w:rsid w:val="00FB7A46"/>
    <w:rsid w:val="00FC0195"/>
    <w:rsid w:val="00FC0243"/>
    <w:rsid w:val="00FC02F3"/>
    <w:rsid w:val="00FC0351"/>
    <w:rsid w:val="00FC0376"/>
    <w:rsid w:val="00FC054C"/>
    <w:rsid w:val="00FC06F9"/>
    <w:rsid w:val="00FC087A"/>
    <w:rsid w:val="00FC0C20"/>
    <w:rsid w:val="00FC0C59"/>
    <w:rsid w:val="00FC0EE0"/>
    <w:rsid w:val="00FC121D"/>
    <w:rsid w:val="00FC1256"/>
    <w:rsid w:val="00FC1687"/>
    <w:rsid w:val="00FC1749"/>
    <w:rsid w:val="00FC18B0"/>
    <w:rsid w:val="00FC197C"/>
    <w:rsid w:val="00FC1A89"/>
    <w:rsid w:val="00FC1BBB"/>
    <w:rsid w:val="00FC1DC6"/>
    <w:rsid w:val="00FC1DE5"/>
    <w:rsid w:val="00FC1F33"/>
    <w:rsid w:val="00FC21D4"/>
    <w:rsid w:val="00FC223A"/>
    <w:rsid w:val="00FC22B7"/>
    <w:rsid w:val="00FC230A"/>
    <w:rsid w:val="00FC235C"/>
    <w:rsid w:val="00FC253A"/>
    <w:rsid w:val="00FC25C0"/>
    <w:rsid w:val="00FC298D"/>
    <w:rsid w:val="00FC2B82"/>
    <w:rsid w:val="00FC2C1D"/>
    <w:rsid w:val="00FC2C1E"/>
    <w:rsid w:val="00FC2DF3"/>
    <w:rsid w:val="00FC2ECB"/>
    <w:rsid w:val="00FC2F42"/>
    <w:rsid w:val="00FC3033"/>
    <w:rsid w:val="00FC30FC"/>
    <w:rsid w:val="00FC33D1"/>
    <w:rsid w:val="00FC34F6"/>
    <w:rsid w:val="00FC35CA"/>
    <w:rsid w:val="00FC3690"/>
    <w:rsid w:val="00FC3F67"/>
    <w:rsid w:val="00FC41AD"/>
    <w:rsid w:val="00FC4296"/>
    <w:rsid w:val="00FC457E"/>
    <w:rsid w:val="00FC46BF"/>
    <w:rsid w:val="00FC4917"/>
    <w:rsid w:val="00FC49B8"/>
    <w:rsid w:val="00FC4BFF"/>
    <w:rsid w:val="00FC5519"/>
    <w:rsid w:val="00FC5948"/>
    <w:rsid w:val="00FC59DB"/>
    <w:rsid w:val="00FC5A9D"/>
    <w:rsid w:val="00FC5B4F"/>
    <w:rsid w:val="00FC5C04"/>
    <w:rsid w:val="00FC5E2C"/>
    <w:rsid w:val="00FC5E3E"/>
    <w:rsid w:val="00FC639D"/>
    <w:rsid w:val="00FC646C"/>
    <w:rsid w:val="00FC6488"/>
    <w:rsid w:val="00FC65EE"/>
    <w:rsid w:val="00FC6799"/>
    <w:rsid w:val="00FC684E"/>
    <w:rsid w:val="00FC6897"/>
    <w:rsid w:val="00FC68D2"/>
    <w:rsid w:val="00FC693B"/>
    <w:rsid w:val="00FC6954"/>
    <w:rsid w:val="00FC69B0"/>
    <w:rsid w:val="00FC69CB"/>
    <w:rsid w:val="00FC6ADD"/>
    <w:rsid w:val="00FC6CA7"/>
    <w:rsid w:val="00FC6CEE"/>
    <w:rsid w:val="00FC7037"/>
    <w:rsid w:val="00FC73A5"/>
    <w:rsid w:val="00FC74C1"/>
    <w:rsid w:val="00FC7581"/>
    <w:rsid w:val="00FC77DD"/>
    <w:rsid w:val="00FC77EA"/>
    <w:rsid w:val="00FC7861"/>
    <w:rsid w:val="00FC7963"/>
    <w:rsid w:val="00FC799E"/>
    <w:rsid w:val="00FC79C1"/>
    <w:rsid w:val="00FC7A5E"/>
    <w:rsid w:val="00FC7B3C"/>
    <w:rsid w:val="00FC7C7C"/>
    <w:rsid w:val="00FC7D38"/>
    <w:rsid w:val="00FC7DDF"/>
    <w:rsid w:val="00FC7F99"/>
    <w:rsid w:val="00FD0221"/>
    <w:rsid w:val="00FD024E"/>
    <w:rsid w:val="00FD032F"/>
    <w:rsid w:val="00FD03E8"/>
    <w:rsid w:val="00FD0A86"/>
    <w:rsid w:val="00FD0AEA"/>
    <w:rsid w:val="00FD0C60"/>
    <w:rsid w:val="00FD0CC2"/>
    <w:rsid w:val="00FD0D10"/>
    <w:rsid w:val="00FD0E23"/>
    <w:rsid w:val="00FD1062"/>
    <w:rsid w:val="00FD1255"/>
    <w:rsid w:val="00FD1272"/>
    <w:rsid w:val="00FD1414"/>
    <w:rsid w:val="00FD14FD"/>
    <w:rsid w:val="00FD1559"/>
    <w:rsid w:val="00FD164C"/>
    <w:rsid w:val="00FD1737"/>
    <w:rsid w:val="00FD1851"/>
    <w:rsid w:val="00FD1953"/>
    <w:rsid w:val="00FD1A7A"/>
    <w:rsid w:val="00FD1C96"/>
    <w:rsid w:val="00FD1D28"/>
    <w:rsid w:val="00FD1D61"/>
    <w:rsid w:val="00FD1E59"/>
    <w:rsid w:val="00FD1FBC"/>
    <w:rsid w:val="00FD1FC5"/>
    <w:rsid w:val="00FD200D"/>
    <w:rsid w:val="00FD211E"/>
    <w:rsid w:val="00FD214B"/>
    <w:rsid w:val="00FD2344"/>
    <w:rsid w:val="00FD24E3"/>
    <w:rsid w:val="00FD275C"/>
    <w:rsid w:val="00FD2952"/>
    <w:rsid w:val="00FD29E9"/>
    <w:rsid w:val="00FD2A0D"/>
    <w:rsid w:val="00FD2BB4"/>
    <w:rsid w:val="00FD2EAF"/>
    <w:rsid w:val="00FD30C7"/>
    <w:rsid w:val="00FD32B8"/>
    <w:rsid w:val="00FD32C6"/>
    <w:rsid w:val="00FD32F2"/>
    <w:rsid w:val="00FD3636"/>
    <w:rsid w:val="00FD365A"/>
    <w:rsid w:val="00FD389A"/>
    <w:rsid w:val="00FD3985"/>
    <w:rsid w:val="00FD3A0F"/>
    <w:rsid w:val="00FD3B0C"/>
    <w:rsid w:val="00FD3C6C"/>
    <w:rsid w:val="00FD4005"/>
    <w:rsid w:val="00FD40D1"/>
    <w:rsid w:val="00FD410E"/>
    <w:rsid w:val="00FD4180"/>
    <w:rsid w:val="00FD4613"/>
    <w:rsid w:val="00FD4620"/>
    <w:rsid w:val="00FD462C"/>
    <w:rsid w:val="00FD4693"/>
    <w:rsid w:val="00FD4734"/>
    <w:rsid w:val="00FD4749"/>
    <w:rsid w:val="00FD47F3"/>
    <w:rsid w:val="00FD4888"/>
    <w:rsid w:val="00FD4A63"/>
    <w:rsid w:val="00FD4C2C"/>
    <w:rsid w:val="00FD4CAE"/>
    <w:rsid w:val="00FD4CC6"/>
    <w:rsid w:val="00FD4DDA"/>
    <w:rsid w:val="00FD4E45"/>
    <w:rsid w:val="00FD5062"/>
    <w:rsid w:val="00FD5075"/>
    <w:rsid w:val="00FD50EE"/>
    <w:rsid w:val="00FD52E7"/>
    <w:rsid w:val="00FD5329"/>
    <w:rsid w:val="00FD5775"/>
    <w:rsid w:val="00FD5816"/>
    <w:rsid w:val="00FD5AE5"/>
    <w:rsid w:val="00FD5AF0"/>
    <w:rsid w:val="00FD5B05"/>
    <w:rsid w:val="00FD5CAC"/>
    <w:rsid w:val="00FD5CE1"/>
    <w:rsid w:val="00FD5CF3"/>
    <w:rsid w:val="00FD5E7D"/>
    <w:rsid w:val="00FD5F89"/>
    <w:rsid w:val="00FD5FFF"/>
    <w:rsid w:val="00FD601B"/>
    <w:rsid w:val="00FD601E"/>
    <w:rsid w:val="00FD608F"/>
    <w:rsid w:val="00FD60ED"/>
    <w:rsid w:val="00FD6262"/>
    <w:rsid w:val="00FD626E"/>
    <w:rsid w:val="00FD634E"/>
    <w:rsid w:val="00FD638E"/>
    <w:rsid w:val="00FD63A7"/>
    <w:rsid w:val="00FD640E"/>
    <w:rsid w:val="00FD65AB"/>
    <w:rsid w:val="00FD66A9"/>
    <w:rsid w:val="00FD6A46"/>
    <w:rsid w:val="00FD6EDA"/>
    <w:rsid w:val="00FD711B"/>
    <w:rsid w:val="00FD7307"/>
    <w:rsid w:val="00FD7467"/>
    <w:rsid w:val="00FD7503"/>
    <w:rsid w:val="00FD75B2"/>
    <w:rsid w:val="00FD7866"/>
    <w:rsid w:val="00FD7941"/>
    <w:rsid w:val="00FD7966"/>
    <w:rsid w:val="00FD7A70"/>
    <w:rsid w:val="00FD7C0B"/>
    <w:rsid w:val="00FD7CF0"/>
    <w:rsid w:val="00FE01B5"/>
    <w:rsid w:val="00FE02AF"/>
    <w:rsid w:val="00FE0488"/>
    <w:rsid w:val="00FE08D4"/>
    <w:rsid w:val="00FE0A54"/>
    <w:rsid w:val="00FE0B6B"/>
    <w:rsid w:val="00FE0B7F"/>
    <w:rsid w:val="00FE0C29"/>
    <w:rsid w:val="00FE0D18"/>
    <w:rsid w:val="00FE0E40"/>
    <w:rsid w:val="00FE0EBB"/>
    <w:rsid w:val="00FE1051"/>
    <w:rsid w:val="00FE1090"/>
    <w:rsid w:val="00FE13CE"/>
    <w:rsid w:val="00FE13F8"/>
    <w:rsid w:val="00FE158D"/>
    <w:rsid w:val="00FE15F9"/>
    <w:rsid w:val="00FE1755"/>
    <w:rsid w:val="00FE17B9"/>
    <w:rsid w:val="00FE1B1C"/>
    <w:rsid w:val="00FE1B9C"/>
    <w:rsid w:val="00FE2170"/>
    <w:rsid w:val="00FE22EA"/>
    <w:rsid w:val="00FE2361"/>
    <w:rsid w:val="00FE23BB"/>
    <w:rsid w:val="00FE245B"/>
    <w:rsid w:val="00FE2528"/>
    <w:rsid w:val="00FE25AA"/>
    <w:rsid w:val="00FE28CD"/>
    <w:rsid w:val="00FE2909"/>
    <w:rsid w:val="00FE29CA"/>
    <w:rsid w:val="00FE2A70"/>
    <w:rsid w:val="00FE2AA4"/>
    <w:rsid w:val="00FE2C15"/>
    <w:rsid w:val="00FE2E8D"/>
    <w:rsid w:val="00FE2F72"/>
    <w:rsid w:val="00FE3035"/>
    <w:rsid w:val="00FE310A"/>
    <w:rsid w:val="00FE318A"/>
    <w:rsid w:val="00FE31BE"/>
    <w:rsid w:val="00FE3202"/>
    <w:rsid w:val="00FE32CB"/>
    <w:rsid w:val="00FE32DD"/>
    <w:rsid w:val="00FE32F3"/>
    <w:rsid w:val="00FE3435"/>
    <w:rsid w:val="00FE35CA"/>
    <w:rsid w:val="00FE3748"/>
    <w:rsid w:val="00FE378C"/>
    <w:rsid w:val="00FE382A"/>
    <w:rsid w:val="00FE3A83"/>
    <w:rsid w:val="00FE3EF9"/>
    <w:rsid w:val="00FE4699"/>
    <w:rsid w:val="00FE4880"/>
    <w:rsid w:val="00FE4961"/>
    <w:rsid w:val="00FE4B0F"/>
    <w:rsid w:val="00FE4C04"/>
    <w:rsid w:val="00FE4C66"/>
    <w:rsid w:val="00FE4FED"/>
    <w:rsid w:val="00FE4FF5"/>
    <w:rsid w:val="00FE503D"/>
    <w:rsid w:val="00FE50BC"/>
    <w:rsid w:val="00FE50F4"/>
    <w:rsid w:val="00FE51B5"/>
    <w:rsid w:val="00FE5243"/>
    <w:rsid w:val="00FE5292"/>
    <w:rsid w:val="00FE52E8"/>
    <w:rsid w:val="00FE5328"/>
    <w:rsid w:val="00FE5335"/>
    <w:rsid w:val="00FE53F2"/>
    <w:rsid w:val="00FE572D"/>
    <w:rsid w:val="00FE578B"/>
    <w:rsid w:val="00FE5951"/>
    <w:rsid w:val="00FE5AD8"/>
    <w:rsid w:val="00FE5AF5"/>
    <w:rsid w:val="00FE5C85"/>
    <w:rsid w:val="00FE5DC8"/>
    <w:rsid w:val="00FE5E45"/>
    <w:rsid w:val="00FE5F61"/>
    <w:rsid w:val="00FE5FED"/>
    <w:rsid w:val="00FE600A"/>
    <w:rsid w:val="00FE6146"/>
    <w:rsid w:val="00FE61BF"/>
    <w:rsid w:val="00FE6238"/>
    <w:rsid w:val="00FE62EF"/>
    <w:rsid w:val="00FE6542"/>
    <w:rsid w:val="00FE6694"/>
    <w:rsid w:val="00FE68FC"/>
    <w:rsid w:val="00FE6B4D"/>
    <w:rsid w:val="00FE6BD7"/>
    <w:rsid w:val="00FE6DC7"/>
    <w:rsid w:val="00FE6DEF"/>
    <w:rsid w:val="00FE6E0E"/>
    <w:rsid w:val="00FE708A"/>
    <w:rsid w:val="00FE722D"/>
    <w:rsid w:val="00FE730C"/>
    <w:rsid w:val="00FE765F"/>
    <w:rsid w:val="00FE7711"/>
    <w:rsid w:val="00FE78D8"/>
    <w:rsid w:val="00FE7A8C"/>
    <w:rsid w:val="00FE7B40"/>
    <w:rsid w:val="00FE7B7A"/>
    <w:rsid w:val="00FE7BFF"/>
    <w:rsid w:val="00FE7D67"/>
    <w:rsid w:val="00FE7D6B"/>
    <w:rsid w:val="00FE7D97"/>
    <w:rsid w:val="00FE7E96"/>
    <w:rsid w:val="00FE7EDD"/>
    <w:rsid w:val="00FF0171"/>
    <w:rsid w:val="00FF01A0"/>
    <w:rsid w:val="00FF01B3"/>
    <w:rsid w:val="00FF061F"/>
    <w:rsid w:val="00FF071B"/>
    <w:rsid w:val="00FF097A"/>
    <w:rsid w:val="00FF0C1E"/>
    <w:rsid w:val="00FF108C"/>
    <w:rsid w:val="00FF11EA"/>
    <w:rsid w:val="00FF122C"/>
    <w:rsid w:val="00FF137B"/>
    <w:rsid w:val="00FF1490"/>
    <w:rsid w:val="00FF14D3"/>
    <w:rsid w:val="00FF150A"/>
    <w:rsid w:val="00FF1700"/>
    <w:rsid w:val="00FF18D9"/>
    <w:rsid w:val="00FF198B"/>
    <w:rsid w:val="00FF19B0"/>
    <w:rsid w:val="00FF1AA0"/>
    <w:rsid w:val="00FF1B66"/>
    <w:rsid w:val="00FF1F78"/>
    <w:rsid w:val="00FF2017"/>
    <w:rsid w:val="00FF2857"/>
    <w:rsid w:val="00FF2896"/>
    <w:rsid w:val="00FF2986"/>
    <w:rsid w:val="00FF29AB"/>
    <w:rsid w:val="00FF2B66"/>
    <w:rsid w:val="00FF3031"/>
    <w:rsid w:val="00FF3175"/>
    <w:rsid w:val="00FF31D0"/>
    <w:rsid w:val="00FF334E"/>
    <w:rsid w:val="00FF33DD"/>
    <w:rsid w:val="00FF3413"/>
    <w:rsid w:val="00FF3486"/>
    <w:rsid w:val="00FF348D"/>
    <w:rsid w:val="00FF3524"/>
    <w:rsid w:val="00FF357A"/>
    <w:rsid w:val="00FF36A1"/>
    <w:rsid w:val="00FF3755"/>
    <w:rsid w:val="00FF387F"/>
    <w:rsid w:val="00FF389D"/>
    <w:rsid w:val="00FF38C1"/>
    <w:rsid w:val="00FF3B3C"/>
    <w:rsid w:val="00FF3B42"/>
    <w:rsid w:val="00FF3C4D"/>
    <w:rsid w:val="00FF3D33"/>
    <w:rsid w:val="00FF3D42"/>
    <w:rsid w:val="00FF3D4C"/>
    <w:rsid w:val="00FF3EF3"/>
    <w:rsid w:val="00FF41FF"/>
    <w:rsid w:val="00FF43BB"/>
    <w:rsid w:val="00FF45B3"/>
    <w:rsid w:val="00FF460B"/>
    <w:rsid w:val="00FF4BD9"/>
    <w:rsid w:val="00FF4EE0"/>
    <w:rsid w:val="00FF505F"/>
    <w:rsid w:val="00FF5084"/>
    <w:rsid w:val="00FF5115"/>
    <w:rsid w:val="00FF5184"/>
    <w:rsid w:val="00FF5274"/>
    <w:rsid w:val="00FF52AA"/>
    <w:rsid w:val="00FF53A9"/>
    <w:rsid w:val="00FF56AD"/>
    <w:rsid w:val="00FF5943"/>
    <w:rsid w:val="00FF5BBC"/>
    <w:rsid w:val="00FF5CF5"/>
    <w:rsid w:val="00FF5E97"/>
    <w:rsid w:val="00FF5EE2"/>
    <w:rsid w:val="00FF5FFE"/>
    <w:rsid w:val="00FF6091"/>
    <w:rsid w:val="00FF6145"/>
    <w:rsid w:val="00FF635A"/>
    <w:rsid w:val="00FF642C"/>
    <w:rsid w:val="00FF6495"/>
    <w:rsid w:val="00FF651B"/>
    <w:rsid w:val="00FF66BC"/>
    <w:rsid w:val="00FF6775"/>
    <w:rsid w:val="00FF6869"/>
    <w:rsid w:val="00FF68B8"/>
    <w:rsid w:val="00FF6A49"/>
    <w:rsid w:val="00FF6BFA"/>
    <w:rsid w:val="00FF6C12"/>
    <w:rsid w:val="00FF740B"/>
    <w:rsid w:val="00FF7519"/>
    <w:rsid w:val="00FF771B"/>
    <w:rsid w:val="00FF79CC"/>
    <w:rsid w:val="00FF7A9C"/>
    <w:rsid w:val="00FF7C7B"/>
    <w:rsid w:val="00FF7CDD"/>
    <w:rsid w:val="01295853"/>
    <w:rsid w:val="013B5A9D"/>
    <w:rsid w:val="013C305E"/>
    <w:rsid w:val="01421772"/>
    <w:rsid w:val="014A252B"/>
    <w:rsid w:val="015AE04D"/>
    <w:rsid w:val="01728C76"/>
    <w:rsid w:val="0188FC1A"/>
    <w:rsid w:val="019B7A2B"/>
    <w:rsid w:val="01A4A580"/>
    <w:rsid w:val="01ADC6BB"/>
    <w:rsid w:val="01FCC413"/>
    <w:rsid w:val="020395AC"/>
    <w:rsid w:val="0206578C"/>
    <w:rsid w:val="0206E076"/>
    <w:rsid w:val="022F140E"/>
    <w:rsid w:val="0248FDED"/>
    <w:rsid w:val="024EEB94"/>
    <w:rsid w:val="02638E4A"/>
    <w:rsid w:val="0270CE6D"/>
    <w:rsid w:val="028D6AFE"/>
    <w:rsid w:val="02940431"/>
    <w:rsid w:val="02A16C88"/>
    <w:rsid w:val="02B37035"/>
    <w:rsid w:val="02BA96F3"/>
    <w:rsid w:val="02CD641E"/>
    <w:rsid w:val="02D30154"/>
    <w:rsid w:val="02E3C491"/>
    <w:rsid w:val="02F6C27A"/>
    <w:rsid w:val="032A9E23"/>
    <w:rsid w:val="0345E524"/>
    <w:rsid w:val="0356D0F9"/>
    <w:rsid w:val="03757D47"/>
    <w:rsid w:val="0375A98E"/>
    <w:rsid w:val="03767FEF"/>
    <w:rsid w:val="038C6F29"/>
    <w:rsid w:val="039B8592"/>
    <w:rsid w:val="03B3E620"/>
    <w:rsid w:val="03B514D4"/>
    <w:rsid w:val="03DA81AC"/>
    <w:rsid w:val="03F248F1"/>
    <w:rsid w:val="040E751F"/>
    <w:rsid w:val="042438B0"/>
    <w:rsid w:val="0424BDA6"/>
    <w:rsid w:val="042F5C79"/>
    <w:rsid w:val="045469CE"/>
    <w:rsid w:val="04547227"/>
    <w:rsid w:val="0454E805"/>
    <w:rsid w:val="04589C6C"/>
    <w:rsid w:val="0459BCE9"/>
    <w:rsid w:val="04637728"/>
    <w:rsid w:val="046DFD0E"/>
    <w:rsid w:val="048D1257"/>
    <w:rsid w:val="049EB535"/>
    <w:rsid w:val="04E8C33E"/>
    <w:rsid w:val="050764D9"/>
    <w:rsid w:val="053CB331"/>
    <w:rsid w:val="05658F2C"/>
    <w:rsid w:val="059D2C71"/>
    <w:rsid w:val="05A84EB0"/>
    <w:rsid w:val="05A99E42"/>
    <w:rsid w:val="05DDCAC1"/>
    <w:rsid w:val="05F4E74E"/>
    <w:rsid w:val="060B3CA9"/>
    <w:rsid w:val="060F9464"/>
    <w:rsid w:val="0610046D"/>
    <w:rsid w:val="0610D8AE"/>
    <w:rsid w:val="06195407"/>
    <w:rsid w:val="063B89E3"/>
    <w:rsid w:val="063D7447"/>
    <w:rsid w:val="0642593F"/>
    <w:rsid w:val="0669875A"/>
    <w:rsid w:val="067D5328"/>
    <w:rsid w:val="06850181"/>
    <w:rsid w:val="068EB28A"/>
    <w:rsid w:val="0691A701"/>
    <w:rsid w:val="0692A1EB"/>
    <w:rsid w:val="06A1C201"/>
    <w:rsid w:val="06A846FB"/>
    <w:rsid w:val="06AB663C"/>
    <w:rsid w:val="06C945B2"/>
    <w:rsid w:val="06CB3346"/>
    <w:rsid w:val="06F72BE3"/>
    <w:rsid w:val="0749E63E"/>
    <w:rsid w:val="075CE68F"/>
    <w:rsid w:val="077517A8"/>
    <w:rsid w:val="07861381"/>
    <w:rsid w:val="079820DF"/>
    <w:rsid w:val="07C53189"/>
    <w:rsid w:val="07E41361"/>
    <w:rsid w:val="07FFCEC3"/>
    <w:rsid w:val="080057A3"/>
    <w:rsid w:val="080390BF"/>
    <w:rsid w:val="082D19F8"/>
    <w:rsid w:val="0839952A"/>
    <w:rsid w:val="083F4B68"/>
    <w:rsid w:val="0845C7E5"/>
    <w:rsid w:val="08498B0B"/>
    <w:rsid w:val="0859D905"/>
    <w:rsid w:val="08640882"/>
    <w:rsid w:val="0875EEEE"/>
    <w:rsid w:val="0876C992"/>
    <w:rsid w:val="087CB0F3"/>
    <w:rsid w:val="08A7FB93"/>
    <w:rsid w:val="08AB5ECF"/>
    <w:rsid w:val="08C91373"/>
    <w:rsid w:val="08E7BC5E"/>
    <w:rsid w:val="0905956B"/>
    <w:rsid w:val="09073B28"/>
    <w:rsid w:val="093FE8B8"/>
    <w:rsid w:val="0954E114"/>
    <w:rsid w:val="095FB0AB"/>
    <w:rsid w:val="0962B7DA"/>
    <w:rsid w:val="0962F15E"/>
    <w:rsid w:val="0965246D"/>
    <w:rsid w:val="0978E394"/>
    <w:rsid w:val="097AC5E4"/>
    <w:rsid w:val="097F3C90"/>
    <w:rsid w:val="09871F75"/>
    <w:rsid w:val="09A1E1DD"/>
    <w:rsid w:val="09A4B5C7"/>
    <w:rsid w:val="09A7E18A"/>
    <w:rsid w:val="09B9758A"/>
    <w:rsid w:val="09EBB93C"/>
    <w:rsid w:val="09F4572E"/>
    <w:rsid w:val="0A025E96"/>
    <w:rsid w:val="0A292725"/>
    <w:rsid w:val="0A3AC765"/>
    <w:rsid w:val="0A4D73DC"/>
    <w:rsid w:val="0A4F1118"/>
    <w:rsid w:val="0A9050AD"/>
    <w:rsid w:val="0ABC1F3B"/>
    <w:rsid w:val="0AE42013"/>
    <w:rsid w:val="0AEC8653"/>
    <w:rsid w:val="0AFF9165"/>
    <w:rsid w:val="0B303D5A"/>
    <w:rsid w:val="0B498D79"/>
    <w:rsid w:val="0B5CC187"/>
    <w:rsid w:val="0B5CF696"/>
    <w:rsid w:val="0B5F4D9B"/>
    <w:rsid w:val="0B764466"/>
    <w:rsid w:val="0B789DED"/>
    <w:rsid w:val="0B89EC70"/>
    <w:rsid w:val="0BB10B87"/>
    <w:rsid w:val="0BC48175"/>
    <w:rsid w:val="0BC56952"/>
    <w:rsid w:val="0BC8F41D"/>
    <w:rsid w:val="0C0A88CF"/>
    <w:rsid w:val="0C10777F"/>
    <w:rsid w:val="0C220DD5"/>
    <w:rsid w:val="0C2A5B58"/>
    <w:rsid w:val="0C631BF6"/>
    <w:rsid w:val="0C7E9F81"/>
    <w:rsid w:val="0C9AAE73"/>
    <w:rsid w:val="0CA0418C"/>
    <w:rsid w:val="0CB79129"/>
    <w:rsid w:val="0CCB138A"/>
    <w:rsid w:val="0CCF4DB8"/>
    <w:rsid w:val="0CDF02C4"/>
    <w:rsid w:val="0CF5B975"/>
    <w:rsid w:val="0CFB2A79"/>
    <w:rsid w:val="0D085B4C"/>
    <w:rsid w:val="0D182BE2"/>
    <w:rsid w:val="0D1964E5"/>
    <w:rsid w:val="0D196AA1"/>
    <w:rsid w:val="0D206279"/>
    <w:rsid w:val="0D2E4E6C"/>
    <w:rsid w:val="0D3D43FD"/>
    <w:rsid w:val="0D6DD4DD"/>
    <w:rsid w:val="0D73A40C"/>
    <w:rsid w:val="0DBE2022"/>
    <w:rsid w:val="0DC75E18"/>
    <w:rsid w:val="0DD2C833"/>
    <w:rsid w:val="0DE11104"/>
    <w:rsid w:val="0DF7D475"/>
    <w:rsid w:val="0E0139A2"/>
    <w:rsid w:val="0E066194"/>
    <w:rsid w:val="0E233443"/>
    <w:rsid w:val="0E241769"/>
    <w:rsid w:val="0E2C80AB"/>
    <w:rsid w:val="0E36BC55"/>
    <w:rsid w:val="0E65742B"/>
    <w:rsid w:val="0E6A4691"/>
    <w:rsid w:val="0E79F741"/>
    <w:rsid w:val="0EA9AB32"/>
    <w:rsid w:val="0EBC49A6"/>
    <w:rsid w:val="0ED7F299"/>
    <w:rsid w:val="0EF27FF7"/>
    <w:rsid w:val="0F1FC7C5"/>
    <w:rsid w:val="0F23A830"/>
    <w:rsid w:val="0F2BD819"/>
    <w:rsid w:val="0F3B33DD"/>
    <w:rsid w:val="0F3FD740"/>
    <w:rsid w:val="0F9EB3B1"/>
    <w:rsid w:val="0FB09DA0"/>
    <w:rsid w:val="0FCFAD48"/>
    <w:rsid w:val="0FCFB8F6"/>
    <w:rsid w:val="1003CE63"/>
    <w:rsid w:val="10049A4F"/>
    <w:rsid w:val="102DF84B"/>
    <w:rsid w:val="1059B96B"/>
    <w:rsid w:val="10612C18"/>
    <w:rsid w:val="107C88CA"/>
    <w:rsid w:val="108A800E"/>
    <w:rsid w:val="109178FB"/>
    <w:rsid w:val="1095A2B2"/>
    <w:rsid w:val="10A65A16"/>
    <w:rsid w:val="10F273C2"/>
    <w:rsid w:val="1108E59E"/>
    <w:rsid w:val="111BF403"/>
    <w:rsid w:val="116BC9A0"/>
    <w:rsid w:val="11739038"/>
    <w:rsid w:val="11EEB9F8"/>
    <w:rsid w:val="11F38744"/>
    <w:rsid w:val="11FB8B61"/>
    <w:rsid w:val="11FC9AA1"/>
    <w:rsid w:val="1203B17D"/>
    <w:rsid w:val="1207172E"/>
    <w:rsid w:val="122D3224"/>
    <w:rsid w:val="124C43D1"/>
    <w:rsid w:val="124E5E10"/>
    <w:rsid w:val="125391EA"/>
    <w:rsid w:val="125AFFD2"/>
    <w:rsid w:val="126842A5"/>
    <w:rsid w:val="12B22149"/>
    <w:rsid w:val="12B6C8F9"/>
    <w:rsid w:val="12F84D7E"/>
    <w:rsid w:val="1305FDEB"/>
    <w:rsid w:val="130A67DF"/>
    <w:rsid w:val="1314740D"/>
    <w:rsid w:val="133FC20B"/>
    <w:rsid w:val="13498B6A"/>
    <w:rsid w:val="13627150"/>
    <w:rsid w:val="1377100D"/>
    <w:rsid w:val="13856D04"/>
    <w:rsid w:val="138A83DC"/>
    <w:rsid w:val="139D5574"/>
    <w:rsid w:val="13A0D1F6"/>
    <w:rsid w:val="13B379FD"/>
    <w:rsid w:val="13C1B7A5"/>
    <w:rsid w:val="13C63CAF"/>
    <w:rsid w:val="13DFCF1F"/>
    <w:rsid w:val="13E7C38C"/>
    <w:rsid w:val="14106EDD"/>
    <w:rsid w:val="1415D254"/>
    <w:rsid w:val="14177ECC"/>
    <w:rsid w:val="1440D9CB"/>
    <w:rsid w:val="1447FE71"/>
    <w:rsid w:val="1449387E"/>
    <w:rsid w:val="145813DB"/>
    <w:rsid w:val="146BB58C"/>
    <w:rsid w:val="14733F77"/>
    <w:rsid w:val="147D3073"/>
    <w:rsid w:val="1485AFDB"/>
    <w:rsid w:val="149DFFF2"/>
    <w:rsid w:val="14B1A14A"/>
    <w:rsid w:val="14B29874"/>
    <w:rsid w:val="14C0322C"/>
    <w:rsid w:val="14E141A6"/>
    <w:rsid w:val="14E3B344"/>
    <w:rsid w:val="151A1E1E"/>
    <w:rsid w:val="152BB119"/>
    <w:rsid w:val="15340568"/>
    <w:rsid w:val="155807E7"/>
    <w:rsid w:val="15744161"/>
    <w:rsid w:val="1577F01F"/>
    <w:rsid w:val="15A52E38"/>
    <w:rsid w:val="15AF47D2"/>
    <w:rsid w:val="15CE6427"/>
    <w:rsid w:val="15DA6330"/>
    <w:rsid w:val="15F0BF6E"/>
    <w:rsid w:val="15F37155"/>
    <w:rsid w:val="15F7AC6C"/>
    <w:rsid w:val="160B6C9B"/>
    <w:rsid w:val="161BDBD0"/>
    <w:rsid w:val="1635E1AA"/>
    <w:rsid w:val="16765F69"/>
    <w:rsid w:val="16958F4D"/>
    <w:rsid w:val="169C25DE"/>
    <w:rsid w:val="16BB18BB"/>
    <w:rsid w:val="16C741AB"/>
    <w:rsid w:val="16CAAA43"/>
    <w:rsid w:val="16D539FD"/>
    <w:rsid w:val="16D90661"/>
    <w:rsid w:val="16DFA743"/>
    <w:rsid w:val="16FA0E8E"/>
    <w:rsid w:val="1743ED8D"/>
    <w:rsid w:val="17476D91"/>
    <w:rsid w:val="175DFF3E"/>
    <w:rsid w:val="17759D42"/>
    <w:rsid w:val="178048B7"/>
    <w:rsid w:val="1786AEBB"/>
    <w:rsid w:val="17A3B7E0"/>
    <w:rsid w:val="17B904BA"/>
    <w:rsid w:val="17E7B9EE"/>
    <w:rsid w:val="17F9F07D"/>
    <w:rsid w:val="181073A4"/>
    <w:rsid w:val="182F1E68"/>
    <w:rsid w:val="18349073"/>
    <w:rsid w:val="183E762D"/>
    <w:rsid w:val="183EF43F"/>
    <w:rsid w:val="185792BB"/>
    <w:rsid w:val="185E6A2F"/>
    <w:rsid w:val="185F3B7F"/>
    <w:rsid w:val="186580FE"/>
    <w:rsid w:val="186914C7"/>
    <w:rsid w:val="1870FFE1"/>
    <w:rsid w:val="18B1BF03"/>
    <w:rsid w:val="18B6AA07"/>
    <w:rsid w:val="18BD7D53"/>
    <w:rsid w:val="18D9BDDC"/>
    <w:rsid w:val="18E06E8B"/>
    <w:rsid w:val="18F71263"/>
    <w:rsid w:val="18FD84D4"/>
    <w:rsid w:val="191B5E5A"/>
    <w:rsid w:val="1920252B"/>
    <w:rsid w:val="19210564"/>
    <w:rsid w:val="193191F7"/>
    <w:rsid w:val="1942677D"/>
    <w:rsid w:val="1952C7D8"/>
    <w:rsid w:val="196C4CD6"/>
    <w:rsid w:val="199811E4"/>
    <w:rsid w:val="19AD2A45"/>
    <w:rsid w:val="19B98FBC"/>
    <w:rsid w:val="19C2D1B1"/>
    <w:rsid w:val="19C2DF42"/>
    <w:rsid w:val="19DF0634"/>
    <w:rsid w:val="19E2E4E5"/>
    <w:rsid w:val="19F1F786"/>
    <w:rsid w:val="1A207821"/>
    <w:rsid w:val="1A424C41"/>
    <w:rsid w:val="1A42B5F0"/>
    <w:rsid w:val="1A47719D"/>
    <w:rsid w:val="1A4A07F5"/>
    <w:rsid w:val="1A749DF7"/>
    <w:rsid w:val="1A79D469"/>
    <w:rsid w:val="1A8817D8"/>
    <w:rsid w:val="1A8BE781"/>
    <w:rsid w:val="1AB61832"/>
    <w:rsid w:val="1AC695A5"/>
    <w:rsid w:val="1AD3BED7"/>
    <w:rsid w:val="1B3D2822"/>
    <w:rsid w:val="1B4CC56F"/>
    <w:rsid w:val="1B512C58"/>
    <w:rsid w:val="1B524E31"/>
    <w:rsid w:val="1B75EC86"/>
    <w:rsid w:val="1BBA99C3"/>
    <w:rsid w:val="1BBBF871"/>
    <w:rsid w:val="1BDEC03E"/>
    <w:rsid w:val="1BF38E69"/>
    <w:rsid w:val="1C0CFF12"/>
    <w:rsid w:val="1C48EDE0"/>
    <w:rsid w:val="1C5007C5"/>
    <w:rsid w:val="1C65ACFC"/>
    <w:rsid w:val="1C7A56FB"/>
    <w:rsid w:val="1C81DE4F"/>
    <w:rsid w:val="1C895F94"/>
    <w:rsid w:val="1C8AFB0B"/>
    <w:rsid w:val="1CB312DD"/>
    <w:rsid w:val="1CC90A2B"/>
    <w:rsid w:val="1CD60681"/>
    <w:rsid w:val="1CE0235F"/>
    <w:rsid w:val="1CE04464"/>
    <w:rsid w:val="1CE32129"/>
    <w:rsid w:val="1CE3D589"/>
    <w:rsid w:val="1D0E4118"/>
    <w:rsid w:val="1D2512B0"/>
    <w:rsid w:val="1D2FA9EF"/>
    <w:rsid w:val="1D35F0A4"/>
    <w:rsid w:val="1D519621"/>
    <w:rsid w:val="1D546286"/>
    <w:rsid w:val="1D966066"/>
    <w:rsid w:val="1D9EACEA"/>
    <w:rsid w:val="1DA9A831"/>
    <w:rsid w:val="1DB091B2"/>
    <w:rsid w:val="1DD6D727"/>
    <w:rsid w:val="1DDDB242"/>
    <w:rsid w:val="1DE58EE6"/>
    <w:rsid w:val="1E071B10"/>
    <w:rsid w:val="1E0CF4CF"/>
    <w:rsid w:val="1E15254B"/>
    <w:rsid w:val="1E2A3795"/>
    <w:rsid w:val="1E450CA1"/>
    <w:rsid w:val="1E4831E3"/>
    <w:rsid w:val="1E507CEC"/>
    <w:rsid w:val="1E570BA9"/>
    <w:rsid w:val="1E588BEA"/>
    <w:rsid w:val="1E5CE5E0"/>
    <w:rsid w:val="1E5EC295"/>
    <w:rsid w:val="1E6968F0"/>
    <w:rsid w:val="1E8BABBB"/>
    <w:rsid w:val="1E8BD7A6"/>
    <w:rsid w:val="1E98FAEC"/>
    <w:rsid w:val="1E99912B"/>
    <w:rsid w:val="1E9A682F"/>
    <w:rsid w:val="1E9F9A02"/>
    <w:rsid w:val="1EA2934A"/>
    <w:rsid w:val="1EE89131"/>
    <w:rsid w:val="1F04923D"/>
    <w:rsid w:val="1F21904B"/>
    <w:rsid w:val="1F2A8726"/>
    <w:rsid w:val="1F392A7B"/>
    <w:rsid w:val="1F5D74F8"/>
    <w:rsid w:val="1F7AEFF6"/>
    <w:rsid w:val="1F7AF86F"/>
    <w:rsid w:val="1FDE80ED"/>
    <w:rsid w:val="1FFB0DF1"/>
    <w:rsid w:val="1FFF8008"/>
    <w:rsid w:val="203B72DD"/>
    <w:rsid w:val="2043E516"/>
    <w:rsid w:val="205971BC"/>
    <w:rsid w:val="2059F668"/>
    <w:rsid w:val="205F64EA"/>
    <w:rsid w:val="2064FA29"/>
    <w:rsid w:val="2068E12F"/>
    <w:rsid w:val="206A46E4"/>
    <w:rsid w:val="2075CA16"/>
    <w:rsid w:val="209EDF8A"/>
    <w:rsid w:val="209FAD9C"/>
    <w:rsid w:val="20A54A5F"/>
    <w:rsid w:val="20A6F5DF"/>
    <w:rsid w:val="20A906CB"/>
    <w:rsid w:val="20E2A661"/>
    <w:rsid w:val="20F1F4D0"/>
    <w:rsid w:val="20F4BB45"/>
    <w:rsid w:val="20F85197"/>
    <w:rsid w:val="2129A0DE"/>
    <w:rsid w:val="215AF755"/>
    <w:rsid w:val="217D2C22"/>
    <w:rsid w:val="21A600EA"/>
    <w:rsid w:val="21B0F7E4"/>
    <w:rsid w:val="21CCF094"/>
    <w:rsid w:val="21E6A5B7"/>
    <w:rsid w:val="221CAA33"/>
    <w:rsid w:val="22667100"/>
    <w:rsid w:val="2276E4E1"/>
    <w:rsid w:val="227EAE4D"/>
    <w:rsid w:val="2292442C"/>
    <w:rsid w:val="22956A15"/>
    <w:rsid w:val="22EC77FA"/>
    <w:rsid w:val="22F1DAA7"/>
    <w:rsid w:val="23189ED6"/>
    <w:rsid w:val="231C2F38"/>
    <w:rsid w:val="231C6FBF"/>
    <w:rsid w:val="236FAF50"/>
    <w:rsid w:val="23A8409F"/>
    <w:rsid w:val="23BC02DC"/>
    <w:rsid w:val="23DC8B87"/>
    <w:rsid w:val="23F5EA1D"/>
    <w:rsid w:val="2418B4B2"/>
    <w:rsid w:val="242C2B4A"/>
    <w:rsid w:val="242D7860"/>
    <w:rsid w:val="245405A3"/>
    <w:rsid w:val="245A5164"/>
    <w:rsid w:val="24671AF9"/>
    <w:rsid w:val="24816CFA"/>
    <w:rsid w:val="24C0FE4B"/>
    <w:rsid w:val="24DBFBFF"/>
    <w:rsid w:val="24DE93FD"/>
    <w:rsid w:val="24EA1184"/>
    <w:rsid w:val="24FF01E4"/>
    <w:rsid w:val="25022AF8"/>
    <w:rsid w:val="251B92AB"/>
    <w:rsid w:val="2527D218"/>
    <w:rsid w:val="253080AF"/>
    <w:rsid w:val="25337DE1"/>
    <w:rsid w:val="253738ED"/>
    <w:rsid w:val="255ACF4A"/>
    <w:rsid w:val="255C982F"/>
    <w:rsid w:val="259658EA"/>
    <w:rsid w:val="259D786F"/>
    <w:rsid w:val="25A7AC7B"/>
    <w:rsid w:val="25B89294"/>
    <w:rsid w:val="25CE2E6D"/>
    <w:rsid w:val="25DDD7A7"/>
    <w:rsid w:val="26075F87"/>
    <w:rsid w:val="2617C948"/>
    <w:rsid w:val="261CFDE1"/>
    <w:rsid w:val="262110A4"/>
    <w:rsid w:val="2634D912"/>
    <w:rsid w:val="26362E13"/>
    <w:rsid w:val="26539DA3"/>
    <w:rsid w:val="26627EC7"/>
    <w:rsid w:val="2684F216"/>
    <w:rsid w:val="2689BBEB"/>
    <w:rsid w:val="26941351"/>
    <w:rsid w:val="269EC2D1"/>
    <w:rsid w:val="26BFEFCA"/>
    <w:rsid w:val="26CFF48E"/>
    <w:rsid w:val="26EC8852"/>
    <w:rsid w:val="26F0AF5C"/>
    <w:rsid w:val="270E7DC3"/>
    <w:rsid w:val="271DD356"/>
    <w:rsid w:val="27204361"/>
    <w:rsid w:val="27206F25"/>
    <w:rsid w:val="27280501"/>
    <w:rsid w:val="2730ACF2"/>
    <w:rsid w:val="275F9251"/>
    <w:rsid w:val="27A79FFC"/>
    <w:rsid w:val="27BBE410"/>
    <w:rsid w:val="2800DA62"/>
    <w:rsid w:val="28065ED8"/>
    <w:rsid w:val="288A3ACA"/>
    <w:rsid w:val="28C481D2"/>
    <w:rsid w:val="28CD3EEC"/>
    <w:rsid w:val="28D5FE8A"/>
    <w:rsid w:val="2900E571"/>
    <w:rsid w:val="2903352E"/>
    <w:rsid w:val="2927BCF5"/>
    <w:rsid w:val="293F9ECD"/>
    <w:rsid w:val="294E7345"/>
    <w:rsid w:val="297E6FCC"/>
    <w:rsid w:val="29823B26"/>
    <w:rsid w:val="299464C7"/>
    <w:rsid w:val="29997239"/>
    <w:rsid w:val="29B6A37A"/>
    <w:rsid w:val="29B6B7B1"/>
    <w:rsid w:val="29E49A10"/>
    <w:rsid w:val="2A419E79"/>
    <w:rsid w:val="2A4892B5"/>
    <w:rsid w:val="2A5588EB"/>
    <w:rsid w:val="2A64A3BB"/>
    <w:rsid w:val="2A8213BA"/>
    <w:rsid w:val="2A84A193"/>
    <w:rsid w:val="2A898A95"/>
    <w:rsid w:val="2A9897A4"/>
    <w:rsid w:val="2AAEB22D"/>
    <w:rsid w:val="2AB815A4"/>
    <w:rsid w:val="2AD19E90"/>
    <w:rsid w:val="2AD5A7D7"/>
    <w:rsid w:val="2AE0BFBB"/>
    <w:rsid w:val="2B02AC21"/>
    <w:rsid w:val="2B05F9CC"/>
    <w:rsid w:val="2B0C8B4B"/>
    <w:rsid w:val="2B42DEE3"/>
    <w:rsid w:val="2B817F9A"/>
    <w:rsid w:val="2BB07957"/>
    <w:rsid w:val="2BC44975"/>
    <w:rsid w:val="2BD76634"/>
    <w:rsid w:val="2BE59643"/>
    <w:rsid w:val="2C21B4FA"/>
    <w:rsid w:val="2C236AC6"/>
    <w:rsid w:val="2C254FCE"/>
    <w:rsid w:val="2C3387A3"/>
    <w:rsid w:val="2C4D0E9C"/>
    <w:rsid w:val="2C678590"/>
    <w:rsid w:val="2C6D986C"/>
    <w:rsid w:val="2C74641E"/>
    <w:rsid w:val="2C77769B"/>
    <w:rsid w:val="2C7C2B7E"/>
    <w:rsid w:val="2C7CEED9"/>
    <w:rsid w:val="2C8B9948"/>
    <w:rsid w:val="2C8C35A4"/>
    <w:rsid w:val="2C8E2877"/>
    <w:rsid w:val="2CC76C11"/>
    <w:rsid w:val="2CCF0EDC"/>
    <w:rsid w:val="2CE1ECBD"/>
    <w:rsid w:val="2CEE8450"/>
    <w:rsid w:val="2D0564BE"/>
    <w:rsid w:val="2D0DF2E5"/>
    <w:rsid w:val="2D174B2F"/>
    <w:rsid w:val="2D23A47E"/>
    <w:rsid w:val="2D3B77A0"/>
    <w:rsid w:val="2D408DEE"/>
    <w:rsid w:val="2D438C8A"/>
    <w:rsid w:val="2D43FA66"/>
    <w:rsid w:val="2D603C33"/>
    <w:rsid w:val="2D73EDC7"/>
    <w:rsid w:val="2D7FA8FB"/>
    <w:rsid w:val="2D826919"/>
    <w:rsid w:val="2D8BCB8B"/>
    <w:rsid w:val="2D929F5C"/>
    <w:rsid w:val="2DDA42CE"/>
    <w:rsid w:val="2E0C076D"/>
    <w:rsid w:val="2E200174"/>
    <w:rsid w:val="2E28F77A"/>
    <w:rsid w:val="2E2D7C33"/>
    <w:rsid w:val="2E312C3B"/>
    <w:rsid w:val="2E397168"/>
    <w:rsid w:val="2E4F2773"/>
    <w:rsid w:val="2E64CBF5"/>
    <w:rsid w:val="2E7E1432"/>
    <w:rsid w:val="2EA0C0FA"/>
    <w:rsid w:val="2EBEC053"/>
    <w:rsid w:val="2F1C980A"/>
    <w:rsid w:val="2F29912F"/>
    <w:rsid w:val="2F4CBD3E"/>
    <w:rsid w:val="2F55D7FA"/>
    <w:rsid w:val="2F6EC904"/>
    <w:rsid w:val="2F6FF64F"/>
    <w:rsid w:val="2F8D0B66"/>
    <w:rsid w:val="2FAAE74D"/>
    <w:rsid w:val="2FC2F40A"/>
    <w:rsid w:val="2FDCE48C"/>
    <w:rsid w:val="304C895A"/>
    <w:rsid w:val="30623D10"/>
    <w:rsid w:val="3073D2BA"/>
    <w:rsid w:val="307640C0"/>
    <w:rsid w:val="30788DB3"/>
    <w:rsid w:val="307EA320"/>
    <w:rsid w:val="307EE926"/>
    <w:rsid w:val="3092A156"/>
    <w:rsid w:val="30BF04C5"/>
    <w:rsid w:val="30C0C7D4"/>
    <w:rsid w:val="30C6EDD7"/>
    <w:rsid w:val="30F5A1E6"/>
    <w:rsid w:val="3107181F"/>
    <w:rsid w:val="310965E4"/>
    <w:rsid w:val="310F2DC4"/>
    <w:rsid w:val="3128F231"/>
    <w:rsid w:val="314821A6"/>
    <w:rsid w:val="315036C1"/>
    <w:rsid w:val="3198263D"/>
    <w:rsid w:val="319CAF4E"/>
    <w:rsid w:val="31A46571"/>
    <w:rsid w:val="31AFC133"/>
    <w:rsid w:val="31C0E780"/>
    <w:rsid w:val="31CCF755"/>
    <w:rsid w:val="31DE73D8"/>
    <w:rsid w:val="31F034E4"/>
    <w:rsid w:val="31F15EC6"/>
    <w:rsid w:val="32024698"/>
    <w:rsid w:val="3238E0F5"/>
    <w:rsid w:val="323A0CA5"/>
    <w:rsid w:val="3244DEBA"/>
    <w:rsid w:val="32667845"/>
    <w:rsid w:val="32712D73"/>
    <w:rsid w:val="3274201F"/>
    <w:rsid w:val="3274B047"/>
    <w:rsid w:val="330EF2A9"/>
    <w:rsid w:val="3311AC35"/>
    <w:rsid w:val="33461F62"/>
    <w:rsid w:val="334F9670"/>
    <w:rsid w:val="335E482D"/>
    <w:rsid w:val="337F94E8"/>
    <w:rsid w:val="338BEFDA"/>
    <w:rsid w:val="3394144F"/>
    <w:rsid w:val="33C50BA8"/>
    <w:rsid w:val="33CA127B"/>
    <w:rsid w:val="33D0BA36"/>
    <w:rsid w:val="340ADAFD"/>
    <w:rsid w:val="3414AC2E"/>
    <w:rsid w:val="341BB7F2"/>
    <w:rsid w:val="3424957E"/>
    <w:rsid w:val="3427230B"/>
    <w:rsid w:val="34540739"/>
    <w:rsid w:val="34583C2D"/>
    <w:rsid w:val="347186F0"/>
    <w:rsid w:val="34923BFE"/>
    <w:rsid w:val="34AA12DF"/>
    <w:rsid w:val="34B8B738"/>
    <w:rsid w:val="34D16753"/>
    <w:rsid w:val="34D7102B"/>
    <w:rsid w:val="34EED6E2"/>
    <w:rsid w:val="357075B3"/>
    <w:rsid w:val="3575FEF4"/>
    <w:rsid w:val="357CBD23"/>
    <w:rsid w:val="35A2F557"/>
    <w:rsid w:val="35B4C691"/>
    <w:rsid w:val="35BA461D"/>
    <w:rsid w:val="35CB67F0"/>
    <w:rsid w:val="35FD4F3C"/>
    <w:rsid w:val="360D06D5"/>
    <w:rsid w:val="360DAA31"/>
    <w:rsid w:val="3624A61C"/>
    <w:rsid w:val="3633E6B9"/>
    <w:rsid w:val="3638DEC3"/>
    <w:rsid w:val="364572D1"/>
    <w:rsid w:val="364B6751"/>
    <w:rsid w:val="367AFF92"/>
    <w:rsid w:val="369B91EC"/>
    <w:rsid w:val="36A7D006"/>
    <w:rsid w:val="36BE14C1"/>
    <w:rsid w:val="36C76183"/>
    <w:rsid w:val="36EE1105"/>
    <w:rsid w:val="36F47480"/>
    <w:rsid w:val="36F84A2B"/>
    <w:rsid w:val="36FD6658"/>
    <w:rsid w:val="373FD447"/>
    <w:rsid w:val="3740CF15"/>
    <w:rsid w:val="374E6867"/>
    <w:rsid w:val="3762F73B"/>
    <w:rsid w:val="376A653D"/>
    <w:rsid w:val="376D240C"/>
    <w:rsid w:val="377768DE"/>
    <w:rsid w:val="3788EB6C"/>
    <w:rsid w:val="379FCCEB"/>
    <w:rsid w:val="37A0D176"/>
    <w:rsid w:val="37D4CB0D"/>
    <w:rsid w:val="37D8420C"/>
    <w:rsid w:val="37DD5D3B"/>
    <w:rsid w:val="37E6FDEE"/>
    <w:rsid w:val="382DC535"/>
    <w:rsid w:val="3832143B"/>
    <w:rsid w:val="3837E23A"/>
    <w:rsid w:val="3848185F"/>
    <w:rsid w:val="3866DD16"/>
    <w:rsid w:val="38701C0C"/>
    <w:rsid w:val="38749A6B"/>
    <w:rsid w:val="38B253DA"/>
    <w:rsid w:val="38D5FA40"/>
    <w:rsid w:val="38E4EEF5"/>
    <w:rsid w:val="38FC0EC2"/>
    <w:rsid w:val="38FC1675"/>
    <w:rsid w:val="39170B42"/>
    <w:rsid w:val="3922DE0C"/>
    <w:rsid w:val="39770A6A"/>
    <w:rsid w:val="3983B4BC"/>
    <w:rsid w:val="39879E3D"/>
    <w:rsid w:val="398F4528"/>
    <w:rsid w:val="3997DB6A"/>
    <w:rsid w:val="39A7FED7"/>
    <w:rsid w:val="39D1313F"/>
    <w:rsid w:val="39DDEE63"/>
    <w:rsid w:val="39E19EA7"/>
    <w:rsid w:val="3A2059D3"/>
    <w:rsid w:val="3A26F5DE"/>
    <w:rsid w:val="3AA74C74"/>
    <w:rsid w:val="3AB6FC65"/>
    <w:rsid w:val="3AB8E83F"/>
    <w:rsid w:val="3ABD7A65"/>
    <w:rsid w:val="3ACAAAAE"/>
    <w:rsid w:val="3ACFCCDA"/>
    <w:rsid w:val="3AE7526B"/>
    <w:rsid w:val="3AEBF9B4"/>
    <w:rsid w:val="3AF390B8"/>
    <w:rsid w:val="3B0F4CFF"/>
    <w:rsid w:val="3B19A645"/>
    <w:rsid w:val="3B381748"/>
    <w:rsid w:val="3B4EE3F8"/>
    <w:rsid w:val="3B5162BB"/>
    <w:rsid w:val="3B54ECF8"/>
    <w:rsid w:val="3B56B7CD"/>
    <w:rsid w:val="3B6CB4A3"/>
    <w:rsid w:val="3B7CA91B"/>
    <w:rsid w:val="3B8A3F59"/>
    <w:rsid w:val="3B8E296E"/>
    <w:rsid w:val="3BC60F3E"/>
    <w:rsid w:val="3BCDEA63"/>
    <w:rsid w:val="3BD81ED0"/>
    <w:rsid w:val="3BDE8754"/>
    <w:rsid w:val="3C019D6B"/>
    <w:rsid w:val="3C05DF9F"/>
    <w:rsid w:val="3C13D64B"/>
    <w:rsid w:val="3C2B33CE"/>
    <w:rsid w:val="3C35809E"/>
    <w:rsid w:val="3C546F8A"/>
    <w:rsid w:val="3C7715B0"/>
    <w:rsid w:val="3C87FFFE"/>
    <w:rsid w:val="3C97658E"/>
    <w:rsid w:val="3CBDCB2B"/>
    <w:rsid w:val="3CD1C164"/>
    <w:rsid w:val="3CD9DA4A"/>
    <w:rsid w:val="3CDD02CD"/>
    <w:rsid w:val="3CEF20EB"/>
    <w:rsid w:val="3CF8AA87"/>
    <w:rsid w:val="3CFBE5DB"/>
    <w:rsid w:val="3D01FEFB"/>
    <w:rsid w:val="3D029F00"/>
    <w:rsid w:val="3D0A3984"/>
    <w:rsid w:val="3D0F2F4E"/>
    <w:rsid w:val="3D16E5FF"/>
    <w:rsid w:val="3D1CEC6E"/>
    <w:rsid w:val="3D485DD5"/>
    <w:rsid w:val="3D87EBE3"/>
    <w:rsid w:val="3DA3BF1B"/>
    <w:rsid w:val="3DFDC9B1"/>
    <w:rsid w:val="3E24FF66"/>
    <w:rsid w:val="3E2BD597"/>
    <w:rsid w:val="3E30BEAA"/>
    <w:rsid w:val="3E3165A9"/>
    <w:rsid w:val="3E3F250E"/>
    <w:rsid w:val="3E53FEB7"/>
    <w:rsid w:val="3E63E111"/>
    <w:rsid w:val="3E698C59"/>
    <w:rsid w:val="3E708B20"/>
    <w:rsid w:val="3E788C9C"/>
    <w:rsid w:val="3E95EE54"/>
    <w:rsid w:val="3E99AB49"/>
    <w:rsid w:val="3E9D5709"/>
    <w:rsid w:val="3EB67FEE"/>
    <w:rsid w:val="3EDD9E44"/>
    <w:rsid w:val="3F0D88F3"/>
    <w:rsid w:val="3F28AF05"/>
    <w:rsid w:val="3F2CB3C4"/>
    <w:rsid w:val="3F3EFD33"/>
    <w:rsid w:val="3F3FD162"/>
    <w:rsid w:val="3F5E1920"/>
    <w:rsid w:val="3F8D2A94"/>
    <w:rsid w:val="3FA6FC0F"/>
    <w:rsid w:val="3FBB970D"/>
    <w:rsid w:val="3FBFA8B7"/>
    <w:rsid w:val="3FD798E5"/>
    <w:rsid w:val="3FE0A538"/>
    <w:rsid w:val="405BAE88"/>
    <w:rsid w:val="405E6076"/>
    <w:rsid w:val="40707FAD"/>
    <w:rsid w:val="4071531A"/>
    <w:rsid w:val="40987BCF"/>
    <w:rsid w:val="4099A1D5"/>
    <w:rsid w:val="40B329A9"/>
    <w:rsid w:val="40C45A26"/>
    <w:rsid w:val="40C5F2A9"/>
    <w:rsid w:val="40C62563"/>
    <w:rsid w:val="40E5E4CF"/>
    <w:rsid w:val="4136D6DF"/>
    <w:rsid w:val="413A684C"/>
    <w:rsid w:val="415BC941"/>
    <w:rsid w:val="416E28CB"/>
    <w:rsid w:val="416E5DF5"/>
    <w:rsid w:val="4175EDA5"/>
    <w:rsid w:val="41B30143"/>
    <w:rsid w:val="41B51D58"/>
    <w:rsid w:val="41D20D80"/>
    <w:rsid w:val="41E11B5C"/>
    <w:rsid w:val="41E7DC27"/>
    <w:rsid w:val="42070FA0"/>
    <w:rsid w:val="42090A88"/>
    <w:rsid w:val="42106D36"/>
    <w:rsid w:val="4220CB22"/>
    <w:rsid w:val="4224984A"/>
    <w:rsid w:val="4228F735"/>
    <w:rsid w:val="423BEF4B"/>
    <w:rsid w:val="42404851"/>
    <w:rsid w:val="4266A4C6"/>
    <w:rsid w:val="427050EA"/>
    <w:rsid w:val="4275270F"/>
    <w:rsid w:val="42799324"/>
    <w:rsid w:val="42F82CD0"/>
    <w:rsid w:val="42FE458A"/>
    <w:rsid w:val="4306B8D4"/>
    <w:rsid w:val="4354B1A9"/>
    <w:rsid w:val="43593E0E"/>
    <w:rsid w:val="435F6B26"/>
    <w:rsid w:val="4364D5F0"/>
    <w:rsid w:val="4367821E"/>
    <w:rsid w:val="436C7910"/>
    <w:rsid w:val="43735903"/>
    <w:rsid w:val="4376DC7B"/>
    <w:rsid w:val="437D3AE9"/>
    <w:rsid w:val="43844000"/>
    <w:rsid w:val="439226F2"/>
    <w:rsid w:val="439EB51D"/>
    <w:rsid w:val="43D26641"/>
    <w:rsid w:val="43FFF3D7"/>
    <w:rsid w:val="440CED93"/>
    <w:rsid w:val="445AB8F4"/>
    <w:rsid w:val="447357A2"/>
    <w:rsid w:val="448660E2"/>
    <w:rsid w:val="44AEED14"/>
    <w:rsid w:val="44E34360"/>
    <w:rsid w:val="45019D44"/>
    <w:rsid w:val="4504937E"/>
    <w:rsid w:val="45115D8A"/>
    <w:rsid w:val="45135242"/>
    <w:rsid w:val="453E78FA"/>
    <w:rsid w:val="454CE1B3"/>
    <w:rsid w:val="4569C303"/>
    <w:rsid w:val="457346F9"/>
    <w:rsid w:val="4573D986"/>
    <w:rsid w:val="45778128"/>
    <w:rsid w:val="45AFE6C4"/>
    <w:rsid w:val="45BF32AC"/>
    <w:rsid w:val="45CBB43A"/>
    <w:rsid w:val="45CD4DB0"/>
    <w:rsid w:val="45D7CB48"/>
    <w:rsid w:val="45DD6B7E"/>
    <w:rsid w:val="460518C6"/>
    <w:rsid w:val="461F554B"/>
    <w:rsid w:val="4626282B"/>
    <w:rsid w:val="463156D3"/>
    <w:rsid w:val="4639E8B8"/>
    <w:rsid w:val="463C6298"/>
    <w:rsid w:val="464922CD"/>
    <w:rsid w:val="465906E3"/>
    <w:rsid w:val="46624B7A"/>
    <w:rsid w:val="46832568"/>
    <w:rsid w:val="468C0ECB"/>
    <w:rsid w:val="468C39B0"/>
    <w:rsid w:val="46BA6711"/>
    <w:rsid w:val="46D0C297"/>
    <w:rsid w:val="46EC271F"/>
    <w:rsid w:val="46EF9FBA"/>
    <w:rsid w:val="470B42B2"/>
    <w:rsid w:val="4711DC45"/>
    <w:rsid w:val="471BB3F2"/>
    <w:rsid w:val="471EADA0"/>
    <w:rsid w:val="4725FFD6"/>
    <w:rsid w:val="472CE4D2"/>
    <w:rsid w:val="47308CD1"/>
    <w:rsid w:val="47330DE9"/>
    <w:rsid w:val="473E9F13"/>
    <w:rsid w:val="475315A1"/>
    <w:rsid w:val="47603407"/>
    <w:rsid w:val="476EF4BD"/>
    <w:rsid w:val="479EE165"/>
    <w:rsid w:val="47B7B533"/>
    <w:rsid w:val="47D8885F"/>
    <w:rsid w:val="48049D34"/>
    <w:rsid w:val="48163F77"/>
    <w:rsid w:val="48370594"/>
    <w:rsid w:val="48376293"/>
    <w:rsid w:val="4838A699"/>
    <w:rsid w:val="485D624A"/>
    <w:rsid w:val="4860615C"/>
    <w:rsid w:val="486B8C13"/>
    <w:rsid w:val="48921303"/>
    <w:rsid w:val="489C4E7A"/>
    <w:rsid w:val="48DDA537"/>
    <w:rsid w:val="48F3F381"/>
    <w:rsid w:val="48F92F10"/>
    <w:rsid w:val="4909A9BB"/>
    <w:rsid w:val="49110F58"/>
    <w:rsid w:val="495BC004"/>
    <w:rsid w:val="495E972D"/>
    <w:rsid w:val="496BDA0A"/>
    <w:rsid w:val="49845BC8"/>
    <w:rsid w:val="4993EACF"/>
    <w:rsid w:val="49973D1E"/>
    <w:rsid w:val="49A3BE7C"/>
    <w:rsid w:val="49B3E1B3"/>
    <w:rsid w:val="49C44061"/>
    <w:rsid w:val="49C7FA33"/>
    <w:rsid w:val="49D821BC"/>
    <w:rsid w:val="49DD1D78"/>
    <w:rsid w:val="49EE8D03"/>
    <w:rsid w:val="4A0C1866"/>
    <w:rsid w:val="4A2F6F44"/>
    <w:rsid w:val="4A302093"/>
    <w:rsid w:val="4A34282A"/>
    <w:rsid w:val="4A3D7E48"/>
    <w:rsid w:val="4A45F44D"/>
    <w:rsid w:val="4A46639B"/>
    <w:rsid w:val="4A4AF891"/>
    <w:rsid w:val="4A4DEF31"/>
    <w:rsid w:val="4A681CBA"/>
    <w:rsid w:val="4A7711EA"/>
    <w:rsid w:val="4A845B9F"/>
    <w:rsid w:val="4A8FD114"/>
    <w:rsid w:val="4AB35EE4"/>
    <w:rsid w:val="4ABA020A"/>
    <w:rsid w:val="4ACB4297"/>
    <w:rsid w:val="4AD588A1"/>
    <w:rsid w:val="4AD8801E"/>
    <w:rsid w:val="4AFB055E"/>
    <w:rsid w:val="4B13760D"/>
    <w:rsid w:val="4B1A96B9"/>
    <w:rsid w:val="4B1CE6DF"/>
    <w:rsid w:val="4B1F2703"/>
    <w:rsid w:val="4B5E7E07"/>
    <w:rsid w:val="4B63D611"/>
    <w:rsid w:val="4B6B0922"/>
    <w:rsid w:val="4B825CD0"/>
    <w:rsid w:val="4B913345"/>
    <w:rsid w:val="4B9239A8"/>
    <w:rsid w:val="4B95F579"/>
    <w:rsid w:val="4B9CF36B"/>
    <w:rsid w:val="4BA62395"/>
    <w:rsid w:val="4BB4BD8C"/>
    <w:rsid w:val="4BB4CD45"/>
    <w:rsid w:val="4BC8A790"/>
    <w:rsid w:val="4BDF6288"/>
    <w:rsid w:val="4BFE4553"/>
    <w:rsid w:val="4C19CF92"/>
    <w:rsid w:val="4C2344D6"/>
    <w:rsid w:val="4C2C68A0"/>
    <w:rsid w:val="4C472AC4"/>
    <w:rsid w:val="4C4DA551"/>
    <w:rsid w:val="4C5E7F84"/>
    <w:rsid w:val="4C759D3F"/>
    <w:rsid w:val="4C871B7A"/>
    <w:rsid w:val="4C8B95D7"/>
    <w:rsid w:val="4C916B77"/>
    <w:rsid w:val="4CA201D2"/>
    <w:rsid w:val="4CBAE90C"/>
    <w:rsid w:val="4CC01E13"/>
    <w:rsid w:val="4CC5FCCA"/>
    <w:rsid w:val="4CC94FE7"/>
    <w:rsid w:val="4CCC345A"/>
    <w:rsid w:val="4CDEB471"/>
    <w:rsid w:val="4D294AEB"/>
    <w:rsid w:val="4D29C35E"/>
    <w:rsid w:val="4D2C766C"/>
    <w:rsid w:val="4D36E494"/>
    <w:rsid w:val="4D39608D"/>
    <w:rsid w:val="4D4C8DE1"/>
    <w:rsid w:val="4D5E3A8E"/>
    <w:rsid w:val="4D69F029"/>
    <w:rsid w:val="4D7E8CD3"/>
    <w:rsid w:val="4DA79600"/>
    <w:rsid w:val="4DD47AC0"/>
    <w:rsid w:val="4DFA2199"/>
    <w:rsid w:val="4E2714AE"/>
    <w:rsid w:val="4E2D07E3"/>
    <w:rsid w:val="4E2E06F1"/>
    <w:rsid w:val="4E2E29A9"/>
    <w:rsid w:val="4E33E1F8"/>
    <w:rsid w:val="4E59E835"/>
    <w:rsid w:val="4E5C0798"/>
    <w:rsid w:val="4E5D6BCA"/>
    <w:rsid w:val="4E6996EC"/>
    <w:rsid w:val="4E8AEEB3"/>
    <w:rsid w:val="4EBF8292"/>
    <w:rsid w:val="4ECF9E3C"/>
    <w:rsid w:val="4F33A1F9"/>
    <w:rsid w:val="4F74B077"/>
    <w:rsid w:val="4F8E8D6F"/>
    <w:rsid w:val="4FD0AA81"/>
    <w:rsid w:val="4FD96BC7"/>
    <w:rsid w:val="4FDABDE8"/>
    <w:rsid w:val="500A7AE4"/>
    <w:rsid w:val="50411B04"/>
    <w:rsid w:val="50585D51"/>
    <w:rsid w:val="505F76CA"/>
    <w:rsid w:val="506D66AA"/>
    <w:rsid w:val="5073A619"/>
    <w:rsid w:val="507E42E0"/>
    <w:rsid w:val="5094A6EE"/>
    <w:rsid w:val="50A8F17F"/>
    <w:rsid w:val="50B157B5"/>
    <w:rsid w:val="50C48D97"/>
    <w:rsid w:val="50D7E1CC"/>
    <w:rsid w:val="50E09A4F"/>
    <w:rsid w:val="50F30CD1"/>
    <w:rsid w:val="511AEC17"/>
    <w:rsid w:val="51516116"/>
    <w:rsid w:val="5161D320"/>
    <w:rsid w:val="517D2ADA"/>
    <w:rsid w:val="51899947"/>
    <w:rsid w:val="5199B97A"/>
    <w:rsid w:val="51C2423B"/>
    <w:rsid w:val="51C728AD"/>
    <w:rsid w:val="51DB3869"/>
    <w:rsid w:val="51ED5C7A"/>
    <w:rsid w:val="52177D8A"/>
    <w:rsid w:val="52295C11"/>
    <w:rsid w:val="5246FF81"/>
    <w:rsid w:val="524E7A89"/>
    <w:rsid w:val="524F9FEE"/>
    <w:rsid w:val="52A183D5"/>
    <w:rsid w:val="52BAAC54"/>
    <w:rsid w:val="52BE9490"/>
    <w:rsid w:val="52CA0F79"/>
    <w:rsid w:val="530E49F5"/>
    <w:rsid w:val="5310A597"/>
    <w:rsid w:val="531A2207"/>
    <w:rsid w:val="53468BD3"/>
    <w:rsid w:val="536B93A5"/>
    <w:rsid w:val="53768969"/>
    <w:rsid w:val="539AC61F"/>
    <w:rsid w:val="539EAD6A"/>
    <w:rsid w:val="53A2E287"/>
    <w:rsid w:val="53A40041"/>
    <w:rsid w:val="53B612CD"/>
    <w:rsid w:val="53C15E0D"/>
    <w:rsid w:val="53C2A99B"/>
    <w:rsid w:val="53DA6AC0"/>
    <w:rsid w:val="53E7323F"/>
    <w:rsid w:val="5412EF14"/>
    <w:rsid w:val="54134C29"/>
    <w:rsid w:val="541F8616"/>
    <w:rsid w:val="5430C1AD"/>
    <w:rsid w:val="543BAC47"/>
    <w:rsid w:val="543DC61A"/>
    <w:rsid w:val="54670B19"/>
    <w:rsid w:val="54814BB9"/>
    <w:rsid w:val="5484381B"/>
    <w:rsid w:val="54A3DAB1"/>
    <w:rsid w:val="54C3BE88"/>
    <w:rsid w:val="5500F01B"/>
    <w:rsid w:val="5517AE1A"/>
    <w:rsid w:val="55247FFF"/>
    <w:rsid w:val="5533DFA7"/>
    <w:rsid w:val="553DD9E1"/>
    <w:rsid w:val="554A179E"/>
    <w:rsid w:val="5590DC0A"/>
    <w:rsid w:val="5595DC2E"/>
    <w:rsid w:val="5597269F"/>
    <w:rsid w:val="55A00E6A"/>
    <w:rsid w:val="55A16230"/>
    <w:rsid w:val="55C0E13D"/>
    <w:rsid w:val="55C80B04"/>
    <w:rsid w:val="55D0D68E"/>
    <w:rsid w:val="55F87793"/>
    <w:rsid w:val="5611F2AF"/>
    <w:rsid w:val="5619CDC8"/>
    <w:rsid w:val="561B6D13"/>
    <w:rsid w:val="561B8AEA"/>
    <w:rsid w:val="562360B4"/>
    <w:rsid w:val="562D258D"/>
    <w:rsid w:val="564C7786"/>
    <w:rsid w:val="56539D05"/>
    <w:rsid w:val="5663B1DB"/>
    <w:rsid w:val="5664A5C2"/>
    <w:rsid w:val="56664FB9"/>
    <w:rsid w:val="566E25C5"/>
    <w:rsid w:val="568E17F6"/>
    <w:rsid w:val="56A4CD78"/>
    <w:rsid w:val="56A99BDC"/>
    <w:rsid w:val="56BE5684"/>
    <w:rsid w:val="56C2A0D1"/>
    <w:rsid w:val="56C97C87"/>
    <w:rsid w:val="56DDA0C2"/>
    <w:rsid w:val="56F61800"/>
    <w:rsid w:val="57175BCE"/>
    <w:rsid w:val="572A4249"/>
    <w:rsid w:val="572B0531"/>
    <w:rsid w:val="573A1D67"/>
    <w:rsid w:val="576264AE"/>
    <w:rsid w:val="576AB269"/>
    <w:rsid w:val="578C38DE"/>
    <w:rsid w:val="5794A01A"/>
    <w:rsid w:val="57AA66EC"/>
    <w:rsid w:val="57B67648"/>
    <w:rsid w:val="57C6218A"/>
    <w:rsid w:val="57D096DB"/>
    <w:rsid w:val="583FFB9D"/>
    <w:rsid w:val="58412B4F"/>
    <w:rsid w:val="58454EC6"/>
    <w:rsid w:val="5847FF45"/>
    <w:rsid w:val="58561D9A"/>
    <w:rsid w:val="58567766"/>
    <w:rsid w:val="58644115"/>
    <w:rsid w:val="586517D5"/>
    <w:rsid w:val="588B54DF"/>
    <w:rsid w:val="58C9BD06"/>
    <w:rsid w:val="58C9FD7F"/>
    <w:rsid w:val="58DC667A"/>
    <w:rsid w:val="58EC3860"/>
    <w:rsid w:val="590DDCFB"/>
    <w:rsid w:val="59236DCA"/>
    <w:rsid w:val="5923EC2A"/>
    <w:rsid w:val="592E0BB2"/>
    <w:rsid w:val="5930C046"/>
    <w:rsid w:val="5945239B"/>
    <w:rsid w:val="595B3715"/>
    <w:rsid w:val="596BF6DF"/>
    <w:rsid w:val="59A52729"/>
    <w:rsid w:val="5A050CB7"/>
    <w:rsid w:val="5A27DE78"/>
    <w:rsid w:val="5A2B3A48"/>
    <w:rsid w:val="5A2C4D38"/>
    <w:rsid w:val="5A3184C7"/>
    <w:rsid w:val="5A357DEE"/>
    <w:rsid w:val="5A406D0A"/>
    <w:rsid w:val="5A54C2B7"/>
    <w:rsid w:val="5A5CAFE5"/>
    <w:rsid w:val="5A6F0C37"/>
    <w:rsid w:val="5AB3F47E"/>
    <w:rsid w:val="5AC71C86"/>
    <w:rsid w:val="5AEABC49"/>
    <w:rsid w:val="5AF06331"/>
    <w:rsid w:val="5AF7B477"/>
    <w:rsid w:val="5B12F91F"/>
    <w:rsid w:val="5B1D5235"/>
    <w:rsid w:val="5B2A761C"/>
    <w:rsid w:val="5B31569F"/>
    <w:rsid w:val="5B4C5536"/>
    <w:rsid w:val="5B659788"/>
    <w:rsid w:val="5BA0B1C0"/>
    <w:rsid w:val="5BBC7442"/>
    <w:rsid w:val="5BDCA0A5"/>
    <w:rsid w:val="5BE19445"/>
    <w:rsid w:val="5C23F95A"/>
    <w:rsid w:val="5C3DBC62"/>
    <w:rsid w:val="5C602D0A"/>
    <w:rsid w:val="5C731997"/>
    <w:rsid w:val="5C9C3C57"/>
    <w:rsid w:val="5C9CD4DE"/>
    <w:rsid w:val="5CACE74C"/>
    <w:rsid w:val="5CE1F2E8"/>
    <w:rsid w:val="5CE2AE92"/>
    <w:rsid w:val="5CE3C3E0"/>
    <w:rsid w:val="5CF55675"/>
    <w:rsid w:val="5D049BD6"/>
    <w:rsid w:val="5D09AD9C"/>
    <w:rsid w:val="5D158B8F"/>
    <w:rsid w:val="5D30099E"/>
    <w:rsid w:val="5D3951DA"/>
    <w:rsid w:val="5D3ED223"/>
    <w:rsid w:val="5D476C99"/>
    <w:rsid w:val="5D50413E"/>
    <w:rsid w:val="5D674A44"/>
    <w:rsid w:val="5D80D3FE"/>
    <w:rsid w:val="5D9AA499"/>
    <w:rsid w:val="5DA25C8A"/>
    <w:rsid w:val="5DB307AE"/>
    <w:rsid w:val="5DC49605"/>
    <w:rsid w:val="5DD34335"/>
    <w:rsid w:val="5DD44762"/>
    <w:rsid w:val="5DE79E94"/>
    <w:rsid w:val="5DEF2459"/>
    <w:rsid w:val="5DF05083"/>
    <w:rsid w:val="5E6C47C7"/>
    <w:rsid w:val="5E702580"/>
    <w:rsid w:val="5E78AF05"/>
    <w:rsid w:val="5E87DB1E"/>
    <w:rsid w:val="5EA364F8"/>
    <w:rsid w:val="5EF75C4E"/>
    <w:rsid w:val="5F296244"/>
    <w:rsid w:val="5F2EEF82"/>
    <w:rsid w:val="5F329527"/>
    <w:rsid w:val="5F33E5DD"/>
    <w:rsid w:val="5F3D3436"/>
    <w:rsid w:val="5FA49CDA"/>
    <w:rsid w:val="5FDC7478"/>
    <w:rsid w:val="5FE94D8C"/>
    <w:rsid w:val="5FEA0DC4"/>
    <w:rsid w:val="601B8B5A"/>
    <w:rsid w:val="60258850"/>
    <w:rsid w:val="602B91BF"/>
    <w:rsid w:val="602D4A05"/>
    <w:rsid w:val="606BB902"/>
    <w:rsid w:val="6079B354"/>
    <w:rsid w:val="609DF8EF"/>
    <w:rsid w:val="609EFF56"/>
    <w:rsid w:val="60A6E04F"/>
    <w:rsid w:val="60A9BCB7"/>
    <w:rsid w:val="60B8A488"/>
    <w:rsid w:val="60C2394C"/>
    <w:rsid w:val="60C72FD4"/>
    <w:rsid w:val="60E2A1CD"/>
    <w:rsid w:val="60E41ED4"/>
    <w:rsid w:val="60F187B8"/>
    <w:rsid w:val="61062AAE"/>
    <w:rsid w:val="6115D5D7"/>
    <w:rsid w:val="611B8502"/>
    <w:rsid w:val="6140C8C8"/>
    <w:rsid w:val="615350FD"/>
    <w:rsid w:val="6153D572"/>
    <w:rsid w:val="615BEEB3"/>
    <w:rsid w:val="61607898"/>
    <w:rsid w:val="61966D5E"/>
    <w:rsid w:val="6196F1CB"/>
    <w:rsid w:val="61BDBF2F"/>
    <w:rsid w:val="61CD84F2"/>
    <w:rsid w:val="61DDD1E6"/>
    <w:rsid w:val="61F08A7E"/>
    <w:rsid w:val="61FC3CE6"/>
    <w:rsid w:val="6219DC42"/>
    <w:rsid w:val="622CEA15"/>
    <w:rsid w:val="622EAA7E"/>
    <w:rsid w:val="623467F5"/>
    <w:rsid w:val="62390DDD"/>
    <w:rsid w:val="623CC349"/>
    <w:rsid w:val="623DD2CB"/>
    <w:rsid w:val="62657918"/>
    <w:rsid w:val="627EAED4"/>
    <w:rsid w:val="62B87FC7"/>
    <w:rsid w:val="62BD8015"/>
    <w:rsid w:val="62CE5B88"/>
    <w:rsid w:val="62DBB737"/>
    <w:rsid w:val="62E54DE8"/>
    <w:rsid w:val="631AAED0"/>
    <w:rsid w:val="6338DA30"/>
    <w:rsid w:val="633D8175"/>
    <w:rsid w:val="633F0E43"/>
    <w:rsid w:val="634D634C"/>
    <w:rsid w:val="636331CC"/>
    <w:rsid w:val="636409F5"/>
    <w:rsid w:val="6383D67C"/>
    <w:rsid w:val="6385F981"/>
    <w:rsid w:val="63904B1D"/>
    <w:rsid w:val="63E07A08"/>
    <w:rsid w:val="63EB7503"/>
    <w:rsid w:val="640BD87A"/>
    <w:rsid w:val="6413B310"/>
    <w:rsid w:val="6426F5EA"/>
    <w:rsid w:val="642A817E"/>
    <w:rsid w:val="6437AF61"/>
    <w:rsid w:val="643DF4D0"/>
    <w:rsid w:val="644E58A1"/>
    <w:rsid w:val="6473640F"/>
    <w:rsid w:val="647F14D5"/>
    <w:rsid w:val="648A9DD5"/>
    <w:rsid w:val="6494E026"/>
    <w:rsid w:val="64C30BB4"/>
    <w:rsid w:val="64E58D24"/>
    <w:rsid w:val="64F786F3"/>
    <w:rsid w:val="650DFF66"/>
    <w:rsid w:val="6521FDC6"/>
    <w:rsid w:val="6524699B"/>
    <w:rsid w:val="65251D2A"/>
    <w:rsid w:val="65372E12"/>
    <w:rsid w:val="65626136"/>
    <w:rsid w:val="65671B3A"/>
    <w:rsid w:val="656D3E84"/>
    <w:rsid w:val="65724B13"/>
    <w:rsid w:val="657D26E5"/>
    <w:rsid w:val="658A065F"/>
    <w:rsid w:val="65A9D150"/>
    <w:rsid w:val="65AF7EC3"/>
    <w:rsid w:val="65BC651C"/>
    <w:rsid w:val="66573544"/>
    <w:rsid w:val="665D8B29"/>
    <w:rsid w:val="66677FFF"/>
    <w:rsid w:val="667C80F5"/>
    <w:rsid w:val="6687EFD2"/>
    <w:rsid w:val="668A8AC4"/>
    <w:rsid w:val="669B2754"/>
    <w:rsid w:val="66AED2FC"/>
    <w:rsid w:val="66BD39D0"/>
    <w:rsid w:val="66D5E6EB"/>
    <w:rsid w:val="66D8EC4B"/>
    <w:rsid w:val="66DA1C4C"/>
    <w:rsid w:val="66E98E8A"/>
    <w:rsid w:val="671D1A3D"/>
    <w:rsid w:val="671DF0B6"/>
    <w:rsid w:val="6725A83F"/>
    <w:rsid w:val="67282DD5"/>
    <w:rsid w:val="676C7CC7"/>
    <w:rsid w:val="6770AFEE"/>
    <w:rsid w:val="67766F9B"/>
    <w:rsid w:val="6779E2F7"/>
    <w:rsid w:val="67A36B44"/>
    <w:rsid w:val="67AA8244"/>
    <w:rsid w:val="67AFB0BA"/>
    <w:rsid w:val="67BFC4AC"/>
    <w:rsid w:val="67C92AD9"/>
    <w:rsid w:val="67CB99CB"/>
    <w:rsid w:val="67CF940E"/>
    <w:rsid w:val="67D9D4DB"/>
    <w:rsid w:val="67F44D39"/>
    <w:rsid w:val="67F98757"/>
    <w:rsid w:val="67FB9B02"/>
    <w:rsid w:val="67FFD301"/>
    <w:rsid w:val="6827914A"/>
    <w:rsid w:val="6830B0D7"/>
    <w:rsid w:val="6831B765"/>
    <w:rsid w:val="68476926"/>
    <w:rsid w:val="6858DB7E"/>
    <w:rsid w:val="6871E246"/>
    <w:rsid w:val="68968DA4"/>
    <w:rsid w:val="689B6449"/>
    <w:rsid w:val="68AF62C3"/>
    <w:rsid w:val="68BC02A9"/>
    <w:rsid w:val="68F4DEC9"/>
    <w:rsid w:val="68F5E91C"/>
    <w:rsid w:val="68FDB7B6"/>
    <w:rsid w:val="693C25A2"/>
    <w:rsid w:val="693D83A8"/>
    <w:rsid w:val="696AB4DB"/>
    <w:rsid w:val="6973B821"/>
    <w:rsid w:val="697E095E"/>
    <w:rsid w:val="69950058"/>
    <w:rsid w:val="699DCC31"/>
    <w:rsid w:val="69F36AC8"/>
    <w:rsid w:val="6A12C758"/>
    <w:rsid w:val="6A168693"/>
    <w:rsid w:val="6A459C69"/>
    <w:rsid w:val="6A7D0333"/>
    <w:rsid w:val="6A87C2D6"/>
    <w:rsid w:val="6A8850DF"/>
    <w:rsid w:val="6A9A3A1F"/>
    <w:rsid w:val="6A9D4B0C"/>
    <w:rsid w:val="6AA77CD9"/>
    <w:rsid w:val="6ABB7C3E"/>
    <w:rsid w:val="6AE345EA"/>
    <w:rsid w:val="6AF5481A"/>
    <w:rsid w:val="6AF565F1"/>
    <w:rsid w:val="6B1EFD87"/>
    <w:rsid w:val="6B1F3BFC"/>
    <w:rsid w:val="6B2E709C"/>
    <w:rsid w:val="6B437BE4"/>
    <w:rsid w:val="6B618D24"/>
    <w:rsid w:val="6B66E25E"/>
    <w:rsid w:val="6B8999BD"/>
    <w:rsid w:val="6BA58706"/>
    <w:rsid w:val="6BAFB913"/>
    <w:rsid w:val="6BB4C9C8"/>
    <w:rsid w:val="6BF10EE3"/>
    <w:rsid w:val="6BF630D7"/>
    <w:rsid w:val="6BFC36DE"/>
    <w:rsid w:val="6C250F93"/>
    <w:rsid w:val="6C44FCA2"/>
    <w:rsid w:val="6C5A8407"/>
    <w:rsid w:val="6C90C5A1"/>
    <w:rsid w:val="6CB75038"/>
    <w:rsid w:val="6CD503EC"/>
    <w:rsid w:val="6CD5A1B3"/>
    <w:rsid w:val="6CDC37CB"/>
    <w:rsid w:val="6CF8E989"/>
    <w:rsid w:val="6CFDD983"/>
    <w:rsid w:val="6D16719F"/>
    <w:rsid w:val="6D18B188"/>
    <w:rsid w:val="6D1D7AC2"/>
    <w:rsid w:val="6D5494A5"/>
    <w:rsid w:val="6D5BCA5A"/>
    <w:rsid w:val="6D915DDB"/>
    <w:rsid w:val="6D9CC3B0"/>
    <w:rsid w:val="6DCAE756"/>
    <w:rsid w:val="6DDBE2DC"/>
    <w:rsid w:val="6DDF00E7"/>
    <w:rsid w:val="6DF4428F"/>
    <w:rsid w:val="6E0559E9"/>
    <w:rsid w:val="6E142392"/>
    <w:rsid w:val="6E15C84E"/>
    <w:rsid w:val="6E623828"/>
    <w:rsid w:val="6E852B60"/>
    <w:rsid w:val="6E9442C2"/>
    <w:rsid w:val="6EC310C7"/>
    <w:rsid w:val="6EE0A05C"/>
    <w:rsid w:val="6EEF8E40"/>
    <w:rsid w:val="6F018E67"/>
    <w:rsid w:val="6F021A7F"/>
    <w:rsid w:val="6F178035"/>
    <w:rsid w:val="6F1BBB17"/>
    <w:rsid w:val="6F205F31"/>
    <w:rsid w:val="6F2079E5"/>
    <w:rsid w:val="6F3242BE"/>
    <w:rsid w:val="6F457F0A"/>
    <w:rsid w:val="6F5B2A68"/>
    <w:rsid w:val="6F8E23A1"/>
    <w:rsid w:val="6FBCB3F0"/>
    <w:rsid w:val="6FCB2D8B"/>
    <w:rsid w:val="6FCBA69A"/>
    <w:rsid w:val="6FEAF42B"/>
    <w:rsid w:val="6FF101E3"/>
    <w:rsid w:val="6FF45381"/>
    <w:rsid w:val="700A5234"/>
    <w:rsid w:val="70133114"/>
    <w:rsid w:val="701EE5A9"/>
    <w:rsid w:val="70317B1C"/>
    <w:rsid w:val="704F5E47"/>
    <w:rsid w:val="7064BA3A"/>
    <w:rsid w:val="70745BC5"/>
    <w:rsid w:val="707CF587"/>
    <w:rsid w:val="707F378D"/>
    <w:rsid w:val="70908FCC"/>
    <w:rsid w:val="70AA0523"/>
    <w:rsid w:val="70E4A720"/>
    <w:rsid w:val="70EEB246"/>
    <w:rsid w:val="70F358E7"/>
    <w:rsid w:val="70F5E44D"/>
    <w:rsid w:val="7114D1F8"/>
    <w:rsid w:val="7125ACF5"/>
    <w:rsid w:val="7125C7B6"/>
    <w:rsid w:val="713840F3"/>
    <w:rsid w:val="71456470"/>
    <w:rsid w:val="715A25A4"/>
    <w:rsid w:val="7164A197"/>
    <w:rsid w:val="717B4F5F"/>
    <w:rsid w:val="7180884C"/>
    <w:rsid w:val="7192706D"/>
    <w:rsid w:val="719793E8"/>
    <w:rsid w:val="7198A7E0"/>
    <w:rsid w:val="7198EC98"/>
    <w:rsid w:val="719B8876"/>
    <w:rsid w:val="71A66E1A"/>
    <w:rsid w:val="721B1DE6"/>
    <w:rsid w:val="722CCA50"/>
    <w:rsid w:val="723C662F"/>
    <w:rsid w:val="72461D76"/>
    <w:rsid w:val="726238FD"/>
    <w:rsid w:val="72652002"/>
    <w:rsid w:val="726F1A64"/>
    <w:rsid w:val="72A7D158"/>
    <w:rsid w:val="72AC8707"/>
    <w:rsid w:val="72E2693C"/>
    <w:rsid w:val="7303290B"/>
    <w:rsid w:val="730CA88C"/>
    <w:rsid w:val="73113C4A"/>
    <w:rsid w:val="733E78EF"/>
    <w:rsid w:val="7366F731"/>
    <w:rsid w:val="737643FC"/>
    <w:rsid w:val="73919D92"/>
    <w:rsid w:val="73A7A10F"/>
    <w:rsid w:val="73BE28CE"/>
    <w:rsid w:val="73BF8689"/>
    <w:rsid w:val="7404D1D4"/>
    <w:rsid w:val="74213C4D"/>
    <w:rsid w:val="744D0619"/>
    <w:rsid w:val="74561FB6"/>
    <w:rsid w:val="745F61BA"/>
    <w:rsid w:val="7460AE84"/>
    <w:rsid w:val="746AB702"/>
    <w:rsid w:val="74779F3A"/>
    <w:rsid w:val="74923A52"/>
    <w:rsid w:val="74A07142"/>
    <w:rsid w:val="74B4E2F2"/>
    <w:rsid w:val="74EE74A6"/>
    <w:rsid w:val="753A652F"/>
    <w:rsid w:val="753CE509"/>
    <w:rsid w:val="75570A0C"/>
    <w:rsid w:val="7575B4F0"/>
    <w:rsid w:val="75B07876"/>
    <w:rsid w:val="75B4E132"/>
    <w:rsid w:val="75C70CD8"/>
    <w:rsid w:val="75E07B9F"/>
    <w:rsid w:val="7617A701"/>
    <w:rsid w:val="761C31CE"/>
    <w:rsid w:val="762B798F"/>
    <w:rsid w:val="76686E9D"/>
    <w:rsid w:val="76880D07"/>
    <w:rsid w:val="76A0805B"/>
    <w:rsid w:val="76AB1C0E"/>
    <w:rsid w:val="76F5806B"/>
    <w:rsid w:val="774FAE26"/>
    <w:rsid w:val="776DA350"/>
    <w:rsid w:val="7790B4B3"/>
    <w:rsid w:val="7794FAA1"/>
    <w:rsid w:val="77A56F99"/>
    <w:rsid w:val="77BFEE3D"/>
    <w:rsid w:val="77C1F2F1"/>
    <w:rsid w:val="77E0CB3F"/>
    <w:rsid w:val="77E2620D"/>
    <w:rsid w:val="77E5BB01"/>
    <w:rsid w:val="77E6D28E"/>
    <w:rsid w:val="77F01DDF"/>
    <w:rsid w:val="77F1B4AB"/>
    <w:rsid w:val="7826BE60"/>
    <w:rsid w:val="7845C071"/>
    <w:rsid w:val="787315BA"/>
    <w:rsid w:val="7873F11B"/>
    <w:rsid w:val="788A487E"/>
    <w:rsid w:val="788EF6B5"/>
    <w:rsid w:val="78BD12AC"/>
    <w:rsid w:val="78CF0B79"/>
    <w:rsid w:val="78E7DE3C"/>
    <w:rsid w:val="78E9A79F"/>
    <w:rsid w:val="78EB5049"/>
    <w:rsid w:val="79145588"/>
    <w:rsid w:val="7916B86F"/>
    <w:rsid w:val="79190E14"/>
    <w:rsid w:val="792F476C"/>
    <w:rsid w:val="7937448A"/>
    <w:rsid w:val="79515629"/>
    <w:rsid w:val="795AB2D7"/>
    <w:rsid w:val="795AD9AB"/>
    <w:rsid w:val="797BD49F"/>
    <w:rsid w:val="79863347"/>
    <w:rsid w:val="79A44E85"/>
    <w:rsid w:val="79B24351"/>
    <w:rsid w:val="79B71FB9"/>
    <w:rsid w:val="79B81E62"/>
    <w:rsid w:val="79BEBDC3"/>
    <w:rsid w:val="79C038E1"/>
    <w:rsid w:val="79C8C10D"/>
    <w:rsid w:val="79EC3E7F"/>
    <w:rsid w:val="7A09DF80"/>
    <w:rsid w:val="7A168B4F"/>
    <w:rsid w:val="7A1FD664"/>
    <w:rsid w:val="7A259C8C"/>
    <w:rsid w:val="7A38772A"/>
    <w:rsid w:val="7A4E37A7"/>
    <w:rsid w:val="7A5A8732"/>
    <w:rsid w:val="7A69CF63"/>
    <w:rsid w:val="7A6A304F"/>
    <w:rsid w:val="7A7B9CE9"/>
    <w:rsid w:val="7A88DC5E"/>
    <w:rsid w:val="7A8CEE38"/>
    <w:rsid w:val="7A8F8934"/>
    <w:rsid w:val="7AA04A9E"/>
    <w:rsid w:val="7AAE218D"/>
    <w:rsid w:val="7ABE4BD7"/>
    <w:rsid w:val="7ABFBD47"/>
    <w:rsid w:val="7AC848EB"/>
    <w:rsid w:val="7AC9F45A"/>
    <w:rsid w:val="7AD53D21"/>
    <w:rsid w:val="7AF3AB39"/>
    <w:rsid w:val="7B06F351"/>
    <w:rsid w:val="7B1051A3"/>
    <w:rsid w:val="7B131ED0"/>
    <w:rsid w:val="7B2D3573"/>
    <w:rsid w:val="7B36F0CB"/>
    <w:rsid w:val="7B39B37F"/>
    <w:rsid w:val="7B514279"/>
    <w:rsid w:val="7B540A39"/>
    <w:rsid w:val="7B60DEC6"/>
    <w:rsid w:val="7B6DDC9E"/>
    <w:rsid w:val="7B81741E"/>
    <w:rsid w:val="7B8430ED"/>
    <w:rsid w:val="7B950ADA"/>
    <w:rsid w:val="7BA84475"/>
    <w:rsid w:val="7BB3E0A5"/>
    <w:rsid w:val="7BB7AB30"/>
    <w:rsid w:val="7BD1B78F"/>
    <w:rsid w:val="7BE42EE0"/>
    <w:rsid w:val="7C0796C1"/>
    <w:rsid w:val="7C20EE67"/>
    <w:rsid w:val="7C3440E4"/>
    <w:rsid w:val="7C4102DB"/>
    <w:rsid w:val="7C6F21A9"/>
    <w:rsid w:val="7C731E10"/>
    <w:rsid w:val="7C79B2C5"/>
    <w:rsid w:val="7C7B5188"/>
    <w:rsid w:val="7C7FD160"/>
    <w:rsid w:val="7CAA8642"/>
    <w:rsid w:val="7CAEE2EF"/>
    <w:rsid w:val="7CB506D8"/>
    <w:rsid w:val="7CBB261A"/>
    <w:rsid w:val="7CBE0B98"/>
    <w:rsid w:val="7CC2761B"/>
    <w:rsid w:val="7CC6390A"/>
    <w:rsid w:val="7CD74E1F"/>
    <w:rsid w:val="7CD8FA28"/>
    <w:rsid w:val="7D184091"/>
    <w:rsid w:val="7D272E52"/>
    <w:rsid w:val="7D4A033C"/>
    <w:rsid w:val="7D93E33D"/>
    <w:rsid w:val="7D9F1FBB"/>
    <w:rsid w:val="7DCF5229"/>
    <w:rsid w:val="7DF57C2E"/>
    <w:rsid w:val="7DF85F89"/>
    <w:rsid w:val="7E1DCAA0"/>
    <w:rsid w:val="7E22BFC0"/>
    <w:rsid w:val="7E327200"/>
    <w:rsid w:val="7E584CD8"/>
    <w:rsid w:val="7E6F419A"/>
    <w:rsid w:val="7E99A2E3"/>
    <w:rsid w:val="7EC166CC"/>
    <w:rsid w:val="7EC25926"/>
    <w:rsid w:val="7EC43820"/>
    <w:rsid w:val="7EC89DBF"/>
    <w:rsid w:val="7ED7AB9F"/>
    <w:rsid w:val="7ED9A26B"/>
    <w:rsid w:val="7EFF19D5"/>
    <w:rsid w:val="7F08617A"/>
    <w:rsid w:val="7F1FD07A"/>
    <w:rsid w:val="7F2047A7"/>
    <w:rsid w:val="7F462548"/>
    <w:rsid w:val="7F517299"/>
    <w:rsid w:val="7F5DBB86"/>
    <w:rsid w:val="7F66F4D7"/>
    <w:rsid w:val="7F6BF918"/>
    <w:rsid w:val="7F6F4816"/>
    <w:rsid w:val="7F7222B1"/>
    <w:rsid w:val="7F73844F"/>
    <w:rsid w:val="7FB14ADC"/>
    <w:rsid w:val="7FD81B44"/>
    <w:rsid w:val="7FE1D21A"/>
    <w:rsid w:val="7FF06B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AF0D6C1D-0BC9-4D55-AC26-E513CF9C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C00"/>
    <w:pPr>
      <w:spacing w:after="100" w:line="264" w:lineRule="auto"/>
    </w:pPr>
    <w:rPr>
      <w:rFonts w:ascii="Arial" w:hAnsi="Arial"/>
    </w:rPr>
  </w:style>
  <w:style w:type="paragraph" w:styleId="Heading1">
    <w:name w:val="heading 1"/>
    <w:basedOn w:val="Normal"/>
    <w:next w:val="Normal"/>
    <w:link w:val="Heading1Char"/>
    <w:uiPriority w:val="9"/>
    <w:qFormat/>
    <w:rsid w:val="002B7C00"/>
    <w:pPr>
      <w:keepNext/>
      <w:keepLines/>
      <w:spacing w:before="24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4F0CB1"/>
    <w:pPr>
      <w:keepNext/>
      <w:keepLines/>
      <w:spacing w:before="240" w:after="120" w:line="240"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0775B3"/>
    <w:pPr>
      <w:keepNext/>
      <w:keepLines/>
      <w:spacing w:before="240" w:after="12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0775B3"/>
    <w:pPr>
      <w:spacing w:before="240" w:after="120" w:line="276" w:lineRule="auto"/>
      <w:outlineLvl w:val="3"/>
    </w:pPr>
    <w:rPr>
      <w:rFonts w:cs="Arial"/>
      <w:b/>
      <w:bCs/>
      <w:color w:val="012749" w:themeColor="accent3"/>
      <w:sz w:val="24"/>
    </w:rPr>
  </w:style>
  <w:style w:type="paragraph" w:styleId="Heading5">
    <w:name w:val="heading 5"/>
    <w:basedOn w:val="Normal"/>
    <w:next w:val="Normal"/>
    <w:link w:val="Heading5Char"/>
    <w:uiPriority w:val="9"/>
    <w:unhideWhenUsed/>
    <w:qFormat/>
    <w:rsid w:val="00D43896"/>
    <w:pPr>
      <w:spacing w:before="240" w:after="0" w:line="276" w:lineRule="auto"/>
      <w:outlineLvl w:val="4"/>
    </w:pPr>
    <w:rPr>
      <w:rFonts w:asciiTheme="majorHAnsi" w:hAnsiTheme="majorHAnsi" w:cstheme="majorHAnsi"/>
      <w:color w:val="4B0885" w:themeColor="text2"/>
    </w:rPr>
  </w:style>
  <w:style w:type="paragraph" w:styleId="Heading6">
    <w:name w:val="heading 6"/>
    <w:basedOn w:val="Normal"/>
    <w:next w:val="Normal"/>
    <w:link w:val="Heading6Char"/>
    <w:uiPriority w:val="9"/>
    <w:unhideWhenUsed/>
    <w:qFormat/>
    <w:rsid w:val="002B7C00"/>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2B7C00"/>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2B7C00"/>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7C00"/>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2B7C00"/>
    <w:rPr>
      <w:color w:val="605E5C"/>
      <w:shd w:val="clear" w:color="auto" w:fill="E1DFDD"/>
    </w:rPr>
  </w:style>
  <w:style w:type="paragraph" w:styleId="Footer">
    <w:name w:val="footer"/>
    <w:basedOn w:val="Normal"/>
    <w:link w:val="FooterChar"/>
    <w:uiPriority w:val="99"/>
    <w:unhideWhenUsed/>
    <w:rsid w:val="002B7C00"/>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2B7C00"/>
    <w:rPr>
      <w:rFonts w:ascii="Arial" w:hAnsi="Arial"/>
      <w:sz w:val="17"/>
      <w:szCs w:val="17"/>
    </w:rPr>
  </w:style>
  <w:style w:type="paragraph" w:styleId="Title">
    <w:name w:val="Title"/>
    <w:basedOn w:val="Normal"/>
    <w:next w:val="Normal"/>
    <w:link w:val="TitleChar"/>
    <w:uiPriority w:val="1"/>
    <w:rsid w:val="002B7C00"/>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B7C00"/>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2B7C00"/>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2B7C00"/>
    <w:pPr>
      <w:outlineLvl w:val="9"/>
    </w:pPr>
    <w:rPr>
      <w:lang w:val="en-US"/>
    </w:rPr>
  </w:style>
  <w:style w:type="paragraph" w:styleId="ListParagraph">
    <w:name w:val="List Paragraph"/>
    <w:aliases w:val="List Paragraph1,Recommendation,List Paragraph11,Content descriptions,Bullet point,L,CV text,Table text,F5 List Paragraph,Dot pt,List Paragraph111,Medium Grid 1 - Accent 21,NFP GP Bulleted List,FooterText,numbered,Paragraphe de liste1,列出段落"/>
    <w:basedOn w:val="Normal"/>
    <w:link w:val="ListParagraphChar"/>
    <w:uiPriority w:val="34"/>
    <w:qFormat/>
    <w:rsid w:val="002B7C00"/>
    <w:pPr>
      <w:ind w:left="720"/>
      <w:contextualSpacing/>
    </w:pPr>
  </w:style>
  <w:style w:type="table" w:styleId="TableGrid">
    <w:name w:val="Table Grid"/>
    <w:basedOn w:val="TableNormal"/>
    <w:uiPriority w:val="39"/>
    <w:rsid w:val="002B7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7C00"/>
    <w:rPr>
      <w:sz w:val="16"/>
      <w:szCs w:val="16"/>
    </w:rPr>
  </w:style>
  <w:style w:type="paragraph" w:styleId="CommentText">
    <w:name w:val="annotation text"/>
    <w:basedOn w:val="Normal"/>
    <w:link w:val="CommentTextChar"/>
    <w:uiPriority w:val="99"/>
    <w:unhideWhenUsed/>
    <w:rsid w:val="002B7C00"/>
    <w:pPr>
      <w:spacing w:line="240" w:lineRule="auto"/>
    </w:pPr>
    <w:rPr>
      <w:sz w:val="20"/>
      <w:szCs w:val="20"/>
    </w:rPr>
  </w:style>
  <w:style w:type="character" w:customStyle="1" w:styleId="CommentTextChar">
    <w:name w:val="Comment Text Char"/>
    <w:basedOn w:val="DefaultParagraphFont"/>
    <w:link w:val="CommentText"/>
    <w:uiPriority w:val="99"/>
    <w:rsid w:val="002B7C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B7C00"/>
    <w:rPr>
      <w:b/>
      <w:bCs/>
    </w:rPr>
  </w:style>
  <w:style w:type="character" w:customStyle="1" w:styleId="CommentSubjectChar">
    <w:name w:val="Comment Subject Char"/>
    <w:basedOn w:val="CommentTextChar"/>
    <w:link w:val="CommentSubject"/>
    <w:uiPriority w:val="99"/>
    <w:semiHidden/>
    <w:rsid w:val="002B7C00"/>
    <w:rPr>
      <w:rFonts w:ascii="Arial" w:hAnsi="Arial"/>
      <w:b/>
      <w:bCs/>
      <w:sz w:val="20"/>
      <w:szCs w:val="20"/>
    </w:rPr>
  </w:style>
  <w:style w:type="paragraph" w:styleId="NoSpacing">
    <w:name w:val="No Spacing"/>
    <w:uiPriority w:val="1"/>
    <w:qFormat/>
    <w:rsid w:val="002B7C00"/>
    <w:pPr>
      <w:spacing w:after="0" w:line="240" w:lineRule="auto"/>
    </w:pPr>
    <w:rPr>
      <w:rFonts w:ascii="Arial" w:hAnsi="Arial"/>
    </w:rPr>
  </w:style>
  <w:style w:type="table" w:styleId="PlainTable4">
    <w:name w:val="Plain Table 4"/>
    <w:basedOn w:val="TableNormal"/>
    <w:uiPriority w:val="44"/>
    <w:rsid w:val="002B7C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2B7C00"/>
    <w:pPr>
      <w:numPr>
        <w:numId w:val="1"/>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4F0CB1"/>
    <w:rPr>
      <w:rFonts w:ascii="Arial" w:eastAsiaTheme="majorEastAsia" w:hAnsi="Arial" w:cstheme="majorBidi"/>
      <w:b/>
      <w:sz w:val="32"/>
      <w:szCs w:val="26"/>
    </w:rPr>
  </w:style>
  <w:style w:type="paragraph" w:styleId="TOC1">
    <w:name w:val="toc 1"/>
    <w:basedOn w:val="Normal"/>
    <w:next w:val="Normal"/>
    <w:uiPriority w:val="39"/>
    <w:unhideWhenUsed/>
    <w:rsid w:val="002B7C00"/>
    <w:rPr>
      <w:b/>
      <w:color w:val="4B0885" w:themeColor="text2"/>
    </w:rPr>
  </w:style>
  <w:style w:type="character" w:customStyle="1" w:styleId="Heading3Char">
    <w:name w:val="Heading 3 Char"/>
    <w:basedOn w:val="DefaultParagraphFont"/>
    <w:link w:val="Heading3"/>
    <w:uiPriority w:val="9"/>
    <w:rsid w:val="000775B3"/>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B7C00"/>
    <w:pPr>
      <w:ind w:left="227"/>
    </w:pPr>
  </w:style>
  <w:style w:type="paragraph" w:styleId="TOC4">
    <w:name w:val="toc 4"/>
    <w:basedOn w:val="Normal"/>
    <w:next w:val="Normal"/>
    <w:autoRedefine/>
    <w:uiPriority w:val="39"/>
    <w:unhideWhenUsed/>
    <w:rsid w:val="002B7C00"/>
    <w:pPr>
      <w:tabs>
        <w:tab w:val="right" w:leader="dot" w:pos="9016"/>
      </w:tabs>
      <w:ind w:left="220"/>
    </w:pPr>
  </w:style>
  <w:style w:type="paragraph" w:styleId="TOC3">
    <w:name w:val="toc 3"/>
    <w:basedOn w:val="Normal"/>
    <w:next w:val="Normal"/>
    <w:uiPriority w:val="39"/>
    <w:unhideWhenUsed/>
    <w:rsid w:val="002B7C00"/>
    <w:pPr>
      <w:tabs>
        <w:tab w:val="right" w:leader="dot" w:pos="9016"/>
      </w:tabs>
      <w:ind w:left="454"/>
    </w:pPr>
  </w:style>
  <w:style w:type="paragraph" w:styleId="TOC5">
    <w:name w:val="toc 5"/>
    <w:basedOn w:val="Normal"/>
    <w:next w:val="Normal"/>
    <w:autoRedefine/>
    <w:uiPriority w:val="39"/>
    <w:unhideWhenUsed/>
    <w:rsid w:val="002B7C00"/>
    <w:pPr>
      <w:tabs>
        <w:tab w:val="right" w:leader="dot" w:pos="9016"/>
      </w:tabs>
      <w:ind w:left="220"/>
    </w:pPr>
  </w:style>
  <w:style w:type="character" w:styleId="Hyperlink">
    <w:name w:val="Hyperlink"/>
    <w:basedOn w:val="DefaultParagraphFont"/>
    <w:uiPriority w:val="99"/>
    <w:unhideWhenUsed/>
    <w:rsid w:val="002B7C00"/>
    <w:rPr>
      <w:color w:val="013D74" w:themeColor="hyperlink"/>
      <w:u w:val="single"/>
    </w:rPr>
  </w:style>
  <w:style w:type="paragraph" w:styleId="ListBullet2">
    <w:name w:val="List Bullet 2"/>
    <w:basedOn w:val="Normal"/>
    <w:qFormat/>
    <w:rsid w:val="002B7C00"/>
    <w:pPr>
      <w:spacing w:after="110"/>
      <w:ind w:left="568" w:hanging="284"/>
    </w:pPr>
    <w:rPr>
      <w:rFonts w:eastAsia="SimSun" w:cs="Times New Roman"/>
      <w:spacing w:val="-1"/>
      <w:szCs w:val="20"/>
      <w:lang w:val="en-GB" w:eastAsia="en-GB"/>
    </w:rPr>
  </w:style>
  <w:style w:type="paragraph" w:styleId="ListBullet3">
    <w:name w:val="List Bullet 3"/>
    <w:basedOn w:val="Normal"/>
    <w:rsid w:val="002B7C00"/>
    <w:pPr>
      <w:numPr>
        <w:ilvl w:val="2"/>
        <w:numId w:val="1"/>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2B7C00"/>
    <w:pPr>
      <w:numPr>
        <w:ilvl w:val="3"/>
      </w:numPr>
    </w:pPr>
  </w:style>
  <w:style w:type="character" w:customStyle="1" w:styleId="Heading4Char">
    <w:name w:val="Heading 4 Char"/>
    <w:basedOn w:val="DefaultParagraphFont"/>
    <w:link w:val="Heading4"/>
    <w:uiPriority w:val="9"/>
    <w:rsid w:val="000775B3"/>
    <w:rPr>
      <w:rFonts w:ascii="Arial" w:hAnsi="Arial" w:cs="Arial"/>
      <w:b/>
      <w:bCs/>
      <w:color w:val="012749" w:themeColor="accent3"/>
      <w:sz w:val="24"/>
    </w:rPr>
  </w:style>
  <w:style w:type="character" w:customStyle="1" w:styleId="Heading5Char">
    <w:name w:val="Heading 5 Char"/>
    <w:basedOn w:val="DefaultParagraphFont"/>
    <w:link w:val="Heading5"/>
    <w:uiPriority w:val="9"/>
    <w:rsid w:val="00D43896"/>
    <w:rPr>
      <w:rFonts w:asciiTheme="majorHAnsi" w:hAnsiTheme="majorHAnsi" w:cstheme="majorHAnsi"/>
      <w:color w:val="4B0885" w:themeColor="text2"/>
    </w:rPr>
  </w:style>
  <w:style w:type="character" w:customStyle="1" w:styleId="Heading6Char">
    <w:name w:val="Heading 6 Char"/>
    <w:basedOn w:val="DefaultParagraphFont"/>
    <w:link w:val="Heading6"/>
    <w:uiPriority w:val="9"/>
    <w:rsid w:val="002B7C00"/>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2B7C00"/>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2B7C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C00"/>
    <w:rPr>
      <w:rFonts w:ascii="Arial" w:hAnsi="Arial"/>
    </w:rPr>
  </w:style>
  <w:style w:type="paragraph" w:styleId="Caption">
    <w:name w:val="caption"/>
    <w:basedOn w:val="Normal"/>
    <w:next w:val="Normal"/>
    <w:uiPriority w:val="35"/>
    <w:unhideWhenUsed/>
    <w:qFormat/>
    <w:rsid w:val="00D43896"/>
    <w:pPr>
      <w:keepNext/>
      <w:spacing w:before="320" w:after="200" w:line="240" w:lineRule="auto"/>
    </w:pPr>
    <w:rPr>
      <w:b/>
      <w:bCs/>
      <w:sz w:val="20"/>
      <w:szCs w:val="18"/>
    </w:rPr>
  </w:style>
  <w:style w:type="paragraph" w:styleId="Subtitle">
    <w:name w:val="Subtitle"/>
    <w:basedOn w:val="Normal"/>
    <w:next w:val="Normal"/>
    <w:link w:val="SubtitleChar"/>
    <w:uiPriority w:val="1"/>
    <w:rsid w:val="002B7C00"/>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B7C00"/>
    <w:rPr>
      <w:rFonts w:asciiTheme="majorHAnsi" w:eastAsiaTheme="minorEastAsia" w:hAnsiTheme="majorHAnsi"/>
      <w:color w:val="FFFFFF" w:themeColor="background1"/>
      <w:sz w:val="48"/>
      <w:szCs w:val="48"/>
    </w:rPr>
  </w:style>
  <w:style w:type="paragraph" w:customStyle="1" w:styleId="Spacer">
    <w:name w:val="Spacer"/>
    <w:basedOn w:val="NoSpacing"/>
    <w:qFormat/>
    <w:rsid w:val="002B7C00"/>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2B7C00"/>
    <w:rPr>
      <w:color w:val="808080"/>
    </w:rPr>
  </w:style>
  <w:style w:type="paragraph" w:customStyle="1" w:styleId="Source">
    <w:name w:val="Source"/>
    <w:basedOn w:val="Normal"/>
    <w:next w:val="Normal"/>
    <w:qFormat/>
    <w:rsid w:val="002B7C00"/>
    <w:pPr>
      <w:spacing w:before="120" w:after="120"/>
    </w:pPr>
    <w:rPr>
      <w:sz w:val="18"/>
      <w:szCs w:val="18"/>
    </w:rPr>
  </w:style>
  <w:style w:type="paragraph" w:styleId="MacroText">
    <w:name w:val="macro"/>
    <w:link w:val="MacroTextChar"/>
    <w:uiPriority w:val="99"/>
    <w:unhideWhenUsed/>
    <w:rsid w:val="002B7C00"/>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2B7C00"/>
    <w:rPr>
      <w:rFonts w:ascii="Consolas" w:hAnsi="Consolas"/>
      <w:sz w:val="20"/>
      <w:szCs w:val="20"/>
    </w:rPr>
  </w:style>
  <w:style w:type="table" w:customStyle="1" w:styleId="JSATable1">
    <w:name w:val="JSA Table 1"/>
    <w:basedOn w:val="TableNormal"/>
    <w:uiPriority w:val="99"/>
    <w:rsid w:val="002B7C00"/>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2B7C00"/>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B7C00"/>
    <w:pPr>
      <w:spacing w:before="240" w:after="0" w:line="240" w:lineRule="auto"/>
      <w:ind w:left="1542" w:hanging="221"/>
    </w:pPr>
  </w:style>
  <w:style w:type="character" w:customStyle="1" w:styleId="Heading8Char">
    <w:name w:val="Heading 8 Char"/>
    <w:basedOn w:val="DefaultParagraphFont"/>
    <w:link w:val="Heading8"/>
    <w:uiPriority w:val="9"/>
    <w:semiHidden/>
    <w:rsid w:val="002B7C0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7C00"/>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2B7C00"/>
    <w:rPr>
      <w:rFonts w:ascii="Arial" w:hAnsi="Arial"/>
      <w:b/>
      <w:i/>
      <w:sz w:val="22"/>
    </w:rPr>
  </w:style>
  <w:style w:type="character" w:styleId="Emphasis">
    <w:name w:val="Emphasis"/>
    <w:basedOn w:val="DefaultParagraphFont"/>
    <w:uiPriority w:val="20"/>
    <w:qFormat/>
    <w:rsid w:val="002B7C00"/>
    <w:rPr>
      <w:rFonts w:ascii="Arial" w:hAnsi="Arial"/>
      <w:i/>
      <w:iCs/>
      <w:sz w:val="22"/>
    </w:rPr>
  </w:style>
  <w:style w:type="character" w:styleId="Strong">
    <w:name w:val="Strong"/>
    <w:basedOn w:val="DefaultParagraphFont"/>
    <w:uiPriority w:val="22"/>
    <w:qFormat/>
    <w:rsid w:val="002B7C00"/>
    <w:rPr>
      <w:rFonts w:ascii="Arial" w:hAnsi="Arial"/>
      <w:b/>
      <w:bCs/>
      <w:sz w:val="22"/>
    </w:rPr>
  </w:style>
  <w:style w:type="paragraph" w:styleId="Quote">
    <w:name w:val="Quote"/>
    <w:basedOn w:val="Normal"/>
    <w:next w:val="Normal"/>
    <w:link w:val="QuoteChar"/>
    <w:uiPriority w:val="29"/>
    <w:qFormat/>
    <w:rsid w:val="002B7C0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B7C00"/>
    <w:rPr>
      <w:rFonts w:ascii="Arial" w:hAnsi="Arial"/>
      <w:i/>
      <w:iCs/>
      <w:color w:val="404040" w:themeColor="text1" w:themeTint="BF"/>
    </w:rPr>
  </w:style>
  <w:style w:type="character" w:customStyle="1" w:styleId="ListParagraphChar">
    <w:name w:val="List Paragraph Char"/>
    <w:aliases w:val="List Paragraph1 Char,Recommendation Char,List Paragraph11 Char,Content descriptions Char,Bullet point Char,L Char,CV text Char,Table text Char,F5 List Paragraph Char,Dot pt Char,List Paragraph111 Char,Medium Grid 1 - Accent 21 Char"/>
    <w:basedOn w:val="DefaultParagraphFont"/>
    <w:link w:val="ListParagraph"/>
    <w:uiPriority w:val="34"/>
    <w:locked/>
    <w:rsid w:val="00C07602"/>
    <w:rPr>
      <w:rFonts w:ascii="Arial" w:hAnsi="Arial"/>
    </w:r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unhideWhenUsed/>
    <w:qFormat/>
    <w:rsid w:val="00C07602"/>
    <w:rPr>
      <w:sz w:val="20"/>
      <w:szCs w:val="20"/>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C07602"/>
    <w:rPr>
      <w:rFonts w:ascii="Arial" w:hAnsi="Arial"/>
      <w:sz w:val="20"/>
      <w:szCs w:val="20"/>
    </w:rPr>
  </w:style>
  <w:style w:type="character" w:styleId="FootnoteReference">
    <w:name w:val="footnote reference"/>
    <w:aliases w:val="FC,(NECG) Footnote Reference,Footnote sign,Footnote sign1,EN Footnote Reference,number,SUPERS"/>
    <w:basedOn w:val="DefaultParagraphFont"/>
    <w:uiPriority w:val="99"/>
    <w:unhideWhenUsed/>
    <w:rsid w:val="00C07602"/>
    <w:rPr>
      <w:vertAlign w:val="superscript"/>
    </w:rPr>
  </w:style>
  <w:style w:type="paragraph" w:customStyle="1" w:styleId="AoC">
    <w:name w:val="AoC"/>
    <w:basedOn w:val="Heading2"/>
    <w:qFormat/>
    <w:rsid w:val="002B7C00"/>
    <w:pPr>
      <w:spacing w:before="12000"/>
    </w:pPr>
    <w:rPr>
      <w:rFonts w:cs="Arial"/>
    </w:rPr>
  </w:style>
  <w:style w:type="character" w:customStyle="1" w:styleId="ui-provider">
    <w:name w:val="ui-provider"/>
    <w:basedOn w:val="DefaultParagraphFont"/>
    <w:rsid w:val="006E4B08"/>
  </w:style>
  <w:style w:type="table" w:customStyle="1" w:styleId="Box">
    <w:name w:val="Box"/>
    <w:basedOn w:val="TableNormal"/>
    <w:uiPriority w:val="99"/>
    <w:rsid w:val="000775B3"/>
    <w:pPr>
      <w:spacing w:after="0" w:line="240" w:lineRule="auto"/>
    </w:pPr>
    <w:tblPr>
      <w:tblBorders>
        <w:left w:val="single" w:sz="24" w:space="0" w:color="D2DE5A" w:themeColor="background2"/>
      </w:tblBorders>
    </w:tblPr>
    <w:tcPr>
      <w:shd w:val="clear" w:color="auto" w:fill="F2F2F2" w:themeFill="background1" w:themeFillShade="F2"/>
      <w:tcMar>
        <w:left w:w="284" w:type="dxa"/>
      </w:tcMar>
    </w:tcPr>
  </w:style>
  <w:style w:type="paragraph" w:styleId="NormalWeb">
    <w:name w:val="Normal (Web)"/>
    <w:basedOn w:val="Normal"/>
    <w:uiPriority w:val="99"/>
    <w:unhideWhenUsed/>
    <w:rsid w:val="001E4121"/>
    <w:pPr>
      <w:spacing w:before="100" w:beforeAutospacing="1" w:afterAutospacing="1"/>
    </w:pPr>
    <w:rPr>
      <w:rFonts w:eastAsia="Times New Roman"/>
    </w:rPr>
  </w:style>
  <w:style w:type="paragraph" w:customStyle="1" w:styleId="Heading2noTOC">
    <w:name w:val="Heading 2 no TOC"/>
    <w:basedOn w:val="Heading2"/>
    <w:qFormat/>
    <w:rsid w:val="007E2211"/>
  </w:style>
  <w:style w:type="table" w:styleId="GridTable1Light-Accent1">
    <w:name w:val="Grid Table 1 Light Accent 1"/>
    <w:basedOn w:val="TableNormal"/>
    <w:uiPriority w:val="46"/>
    <w:rsid w:val="00D46F2D"/>
    <w:pPr>
      <w:spacing w:after="0" w:line="240" w:lineRule="auto"/>
    </w:pPr>
    <w:tblPr>
      <w:tblStyleRowBandSize w:val="1"/>
      <w:tblStyleColBandSize w:val="1"/>
      <w:tblBorders>
        <w:top w:val="single" w:sz="4" w:space="0" w:color="C2A4EC" w:themeColor="accent1" w:themeTint="66"/>
        <w:left w:val="single" w:sz="4" w:space="0" w:color="C2A4EC" w:themeColor="accent1" w:themeTint="66"/>
        <w:bottom w:val="single" w:sz="4" w:space="0" w:color="C2A4EC" w:themeColor="accent1" w:themeTint="66"/>
        <w:right w:val="single" w:sz="4" w:space="0" w:color="C2A4EC" w:themeColor="accent1" w:themeTint="66"/>
        <w:insideH w:val="single" w:sz="4" w:space="0" w:color="C2A4EC" w:themeColor="accent1" w:themeTint="66"/>
        <w:insideV w:val="single" w:sz="4" w:space="0" w:color="C2A4EC" w:themeColor="accent1" w:themeTint="66"/>
      </w:tblBorders>
    </w:tblPr>
    <w:tblStylePr w:type="firstRow">
      <w:rPr>
        <w:b/>
        <w:bCs/>
      </w:rPr>
      <w:tblPr/>
      <w:tcPr>
        <w:tcBorders>
          <w:bottom w:val="single" w:sz="12" w:space="0" w:color="A377E2" w:themeColor="accent1" w:themeTint="99"/>
        </w:tcBorders>
      </w:tcPr>
    </w:tblStylePr>
    <w:tblStylePr w:type="lastRow">
      <w:rPr>
        <w:b/>
        <w:bCs/>
      </w:rPr>
      <w:tblPr/>
      <w:tcPr>
        <w:tcBorders>
          <w:top w:val="double" w:sz="2" w:space="0" w:color="A377E2"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061472"/>
    <w:rPr>
      <w:sz w:val="20"/>
      <w:szCs w:val="20"/>
    </w:rPr>
  </w:style>
  <w:style w:type="character" w:customStyle="1" w:styleId="EndnoteTextChar">
    <w:name w:val="Endnote Text Char"/>
    <w:basedOn w:val="DefaultParagraphFont"/>
    <w:link w:val="EndnoteText"/>
    <w:uiPriority w:val="99"/>
    <w:semiHidden/>
    <w:rsid w:val="00061472"/>
    <w:rPr>
      <w:rFonts w:ascii="Arial" w:hAnsi="Arial"/>
      <w:sz w:val="20"/>
      <w:szCs w:val="20"/>
    </w:rPr>
  </w:style>
  <w:style w:type="character" w:styleId="EndnoteReference">
    <w:name w:val="endnote reference"/>
    <w:basedOn w:val="DefaultParagraphFont"/>
    <w:uiPriority w:val="99"/>
    <w:semiHidden/>
    <w:unhideWhenUsed/>
    <w:rsid w:val="00061472"/>
    <w:rPr>
      <w:vertAlign w:val="superscript"/>
    </w:rPr>
  </w:style>
  <w:style w:type="table" w:styleId="GridTable4-Accent6">
    <w:name w:val="Grid Table 4 Accent 6"/>
    <w:basedOn w:val="TableNormal"/>
    <w:uiPriority w:val="49"/>
    <w:rsid w:val="00DB4B0B"/>
    <w:pPr>
      <w:spacing w:after="0" w:line="240" w:lineRule="auto"/>
    </w:pPr>
    <w:rPr>
      <w:kern w:val="2"/>
      <w14:ligatures w14:val="standardContextual"/>
    </w:rPr>
    <w:tblPr>
      <w:tblStyleRowBandSize w:val="1"/>
      <w:tblStyleColBandSize w:val="1"/>
      <w:tblBorders>
        <w:top w:val="single" w:sz="4" w:space="0" w:color="E55493" w:themeColor="accent6" w:themeTint="99"/>
        <w:left w:val="single" w:sz="4" w:space="0" w:color="E55493" w:themeColor="accent6" w:themeTint="99"/>
        <w:bottom w:val="single" w:sz="4" w:space="0" w:color="E55493" w:themeColor="accent6" w:themeTint="99"/>
        <w:right w:val="single" w:sz="4" w:space="0" w:color="E55493" w:themeColor="accent6" w:themeTint="99"/>
        <w:insideH w:val="single" w:sz="4" w:space="0" w:color="E55493" w:themeColor="accent6" w:themeTint="99"/>
        <w:insideV w:val="single" w:sz="4" w:space="0" w:color="E55493" w:themeColor="accent6" w:themeTint="99"/>
      </w:tblBorders>
    </w:tblPr>
    <w:tblStylePr w:type="firstRow">
      <w:rPr>
        <w:b/>
        <w:bCs/>
        <w:color w:val="FFFFFF" w:themeColor="background1"/>
      </w:rPr>
      <w:tblPr/>
      <w:tcPr>
        <w:tcBorders>
          <w:top w:val="single" w:sz="4" w:space="0" w:color="9F1853" w:themeColor="accent6"/>
          <w:left w:val="single" w:sz="4" w:space="0" w:color="9F1853" w:themeColor="accent6"/>
          <w:bottom w:val="single" w:sz="4" w:space="0" w:color="9F1853" w:themeColor="accent6"/>
          <w:right w:val="single" w:sz="4" w:space="0" w:color="9F1853" w:themeColor="accent6"/>
          <w:insideH w:val="nil"/>
          <w:insideV w:val="nil"/>
        </w:tcBorders>
        <w:shd w:val="clear" w:color="auto" w:fill="9F1853" w:themeFill="accent6"/>
      </w:tcPr>
    </w:tblStylePr>
    <w:tblStylePr w:type="lastRow">
      <w:rPr>
        <w:b/>
        <w:bCs/>
      </w:rPr>
      <w:tblPr/>
      <w:tcPr>
        <w:tcBorders>
          <w:top w:val="double" w:sz="4" w:space="0" w:color="9F1853" w:themeColor="accent6"/>
        </w:tcBorders>
      </w:tcPr>
    </w:tblStylePr>
    <w:tblStylePr w:type="firstCol">
      <w:rPr>
        <w:b/>
        <w:bCs/>
      </w:rPr>
    </w:tblStylePr>
    <w:tblStylePr w:type="lastCol">
      <w:rPr>
        <w:b/>
        <w:bCs/>
      </w:rPr>
    </w:tblStylePr>
    <w:tblStylePr w:type="band1Vert">
      <w:tblPr/>
      <w:tcPr>
        <w:shd w:val="clear" w:color="auto" w:fill="F6C5DB" w:themeFill="accent6" w:themeFillTint="33"/>
      </w:tcPr>
    </w:tblStylePr>
    <w:tblStylePr w:type="band1Horz">
      <w:tblPr/>
      <w:tcPr>
        <w:shd w:val="clear" w:color="auto" w:fill="F6C5DB" w:themeFill="accent6" w:themeFillTint="33"/>
      </w:tcPr>
    </w:tblStylePr>
  </w:style>
  <w:style w:type="paragraph" w:styleId="Revision">
    <w:name w:val="Revision"/>
    <w:hidden/>
    <w:uiPriority w:val="99"/>
    <w:semiHidden/>
    <w:rsid w:val="001E03CE"/>
    <w:pPr>
      <w:spacing w:after="0" w:line="240" w:lineRule="auto"/>
    </w:pPr>
    <w:rPr>
      <w:rFonts w:ascii="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4A3A02"/>
    <w:rPr>
      <w:color w:val="4B0885" w:themeColor="followedHyperlink"/>
      <w:u w:val="single"/>
    </w:rPr>
  </w:style>
  <w:style w:type="character" w:styleId="Mention">
    <w:name w:val="Mention"/>
    <w:basedOn w:val="DefaultParagraphFont"/>
    <w:uiPriority w:val="99"/>
    <w:unhideWhenUsed/>
    <w:rsid w:val="007F7D22"/>
    <w:rPr>
      <w:color w:val="2B579A"/>
      <w:shd w:val="clear" w:color="auto" w:fill="E1DFDD"/>
    </w:rPr>
  </w:style>
  <w:style w:type="paragraph" w:styleId="TOC6">
    <w:name w:val="toc 6"/>
    <w:basedOn w:val="Normal"/>
    <w:next w:val="Normal"/>
    <w:autoRedefine/>
    <w:uiPriority w:val="39"/>
    <w:unhideWhenUsed/>
    <w:rsid w:val="002917E2"/>
    <w:pPr>
      <w:spacing w:line="278" w:lineRule="auto"/>
      <w:ind w:left="1200"/>
    </w:pPr>
    <w:rPr>
      <w:rFonts w:asciiTheme="minorHAnsi" w:eastAsiaTheme="minorEastAsia" w:hAnsiTheme="minorHAnsi"/>
      <w:kern w:val="2"/>
      <w14:ligatures w14:val="standardContextual"/>
    </w:rPr>
  </w:style>
  <w:style w:type="paragraph" w:styleId="TOC7">
    <w:name w:val="toc 7"/>
    <w:basedOn w:val="Normal"/>
    <w:next w:val="Normal"/>
    <w:autoRedefine/>
    <w:uiPriority w:val="39"/>
    <w:unhideWhenUsed/>
    <w:rsid w:val="002917E2"/>
    <w:pPr>
      <w:spacing w:line="278" w:lineRule="auto"/>
      <w:ind w:left="1440"/>
    </w:pPr>
    <w:rPr>
      <w:rFonts w:asciiTheme="minorHAnsi" w:eastAsiaTheme="minorEastAsia" w:hAnsiTheme="minorHAnsi"/>
      <w:kern w:val="2"/>
      <w14:ligatures w14:val="standardContextual"/>
    </w:rPr>
  </w:style>
  <w:style w:type="paragraph" w:styleId="TOC8">
    <w:name w:val="toc 8"/>
    <w:basedOn w:val="Normal"/>
    <w:next w:val="Normal"/>
    <w:autoRedefine/>
    <w:uiPriority w:val="39"/>
    <w:unhideWhenUsed/>
    <w:rsid w:val="002917E2"/>
    <w:pPr>
      <w:spacing w:line="278" w:lineRule="auto"/>
      <w:ind w:left="1680"/>
    </w:pPr>
    <w:rPr>
      <w:rFonts w:asciiTheme="minorHAnsi" w:eastAsiaTheme="minorEastAsia" w:hAnsiTheme="minorHAnsi"/>
      <w:kern w:val="2"/>
      <w14:ligatures w14:val="standardContextual"/>
    </w:rPr>
  </w:style>
  <w:style w:type="paragraph" w:styleId="TOC9">
    <w:name w:val="toc 9"/>
    <w:basedOn w:val="Normal"/>
    <w:next w:val="Normal"/>
    <w:autoRedefine/>
    <w:uiPriority w:val="39"/>
    <w:unhideWhenUsed/>
    <w:rsid w:val="002917E2"/>
    <w:pPr>
      <w:spacing w:line="278" w:lineRule="auto"/>
      <w:ind w:left="1920"/>
    </w:pPr>
    <w:rPr>
      <w:rFonts w:asciiTheme="minorHAnsi" w:eastAsiaTheme="minorEastAsia" w:hAnsiTheme="minorHAnsi"/>
      <w:kern w:val="2"/>
      <w14:ligatures w14:val="standardContextual"/>
    </w:rPr>
  </w:style>
  <w:style w:type="table" w:styleId="GridTable4-Accent1">
    <w:name w:val="Grid Table 4 Accent 1"/>
    <w:basedOn w:val="TableNormal"/>
    <w:uiPriority w:val="49"/>
    <w:rsid w:val="008F5A1D"/>
    <w:pPr>
      <w:spacing w:after="0" w:line="240" w:lineRule="auto"/>
    </w:pPr>
    <w:tblPr>
      <w:tblStyleRowBandSize w:val="1"/>
      <w:tblStyleColBandSize w:val="1"/>
      <w:tblBorders>
        <w:top w:val="single" w:sz="4" w:space="0" w:color="A377E2" w:themeColor="accent1" w:themeTint="99"/>
        <w:left w:val="single" w:sz="4" w:space="0" w:color="A377E2" w:themeColor="accent1" w:themeTint="99"/>
        <w:bottom w:val="single" w:sz="4" w:space="0" w:color="A377E2" w:themeColor="accent1" w:themeTint="99"/>
        <w:right w:val="single" w:sz="4" w:space="0" w:color="A377E2" w:themeColor="accent1" w:themeTint="99"/>
        <w:insideH w:val="single" w:sz="4" w:space="0" w:color="A377E2" w:themeColor="accent1" w:themeTint="99"/>
        <w:insideV w:val="single" w:sz="4" w:space="0" w:color="A377E2" w:themeColor="accent1" w:themeTint="99"/>
      </w:tblBorders>
    </w:tblPr>
    <w:tblStylePr w:type="firstRow">
      <w:rPr>
        <w:b/>
        <w:bCs/>
        <w:color w:val="FFFFFF" w:themeColor="background1"/>
      </w:rPr>
      <w:tblPr/>
      <w:tcPr>
        <w:tcBorders>
          <w:top w:val="single" w:sz="4" w:space="0" w:color="6929C4" w:themeColor="accent1"/>
          <w:left w:val="single" w:sz="4" w:space="0" w:color="6929C4" w:themeColor="accent1"/>
          <w:bottom w:val="single" w:sz="4" w:space="0" w:color="6929C4" w:themeColor="accent1"/>
          <w:right w:val="single" w:sz="4" w:space="0" w:color="6929C4" w:themeColor="accent1"/>
          <w:insideH w:val="nil"/>
          <w:insideV w:val="nil"/>
        </w:tcBorders>
        <w:shd w:val="clear" w:color="auto" w:fill="6929C4" w:themeFill="accent1"/>
      </w:tcPr>
    </w:tblStylePr>
    <w:tblStylePr w:type="lastRow">
      <w:rPr>
        <w:b/>
        <w:bCs/>
      </w:rPr>
      <w:tblPr/>
      <w:tcPr>
        <w:tcBorders>
          <w:top w:val="double" w:sz="4" w:space="0" w:color="6929C4" w:themeColor="accent1"/>
        </w:tcBorders>
      </w:tcPr>
    </w:tblStylePr>
    <w:tblStylePr w:type="firstCol">
      <w:rPr>
        <w:b/>
        <w:bCs/>
      </w:rPr>
    </w:tblStylePr>
    <w:tblStylePr w:type="lastCol">
      <w:rPr>
        <w:b/>
        <w:bCs/>
      </w:rPr>
    </w:tblStylePr>
    <w:tblStylePr w:type="band1Vert">
      <w:tblPr/>
      <w:tcPr>
        <w:shd w:val="clear" w:color="auto" w:fill="E0D1F5" w:themeFill="accent1" w:themeFillTint="33"/>
      </w:tcPr>
    </w:tblStylePr>
    <w:tblStylePr w:type="band1Horz">
      <w:tblPr/>
      <w:tcPr>
        <w:shd w:val="clear" w:color="auto" w:fill="E0D1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56649">
      <w:bodyDiv w:val="1"/>
      <w:marLeft w:val="0"/>
      <w:marRight w:val="0"/>
      <w:marTop w:val="0"/>
      <w:marBottom w:val="0"/>
      <w:divBdr>
        <w:top w:val="none" w:sz="0" w:space="0" w:color="auto"/>
        <w:left w:val="none" w:sz="0" w:space="0" w:color="auto"/>
        <w:bottom w:val="none" w:sz="0" w:space="0" w:color="auto"/>
        <w:right w:val="none" w:sz="0" w:space="0" w:color="auto"/>
      </w:divBdr>
    </w:div>
    <w:div w:id="224074600">
      <w:bodyDiv w:val="1"/>
      <w:marLeft w:val="0"/>
      <w:marRight w:val="0"/>
      <w:marTop w:val="0"/>
      <w:marBottom w:val="0"/>
      <w:divBdr>
        <w:top w:val="none" w:sz="0" w:space="0" w:color="auto"/>
        <w:left w:val="none" w:sz="0" w:space="0" w:color="auto"/>
        <w:bottom w:val="none" w:sz="0" w:space="0" w:color="auto"/>
        <w:right w:val="none" w:sz="0" w:space="0" w:color="auto"/>
      </w:divBdr>
    </w:div>
    <w:div w:id="247621076">
      <w:bodyDiv w:val="1"/>
      <w:marLeft w:val="0"/>
      <w:marRight w:val="0"/>
      <w:marTop w:val="0"/>
      <w:marBottom w:val="0"/>
      <w:divBdr>
        <w:top w:val="none" w:sz="0" w:space="0" w:color="auto"/>
        <w:left w:val="none" w:sz="0" w:space="0" w:color="auto"/>
        <w:bottom w:val="none" w:sz="0" w:space="0" w:color="auto"/>
        <w:right w:val="none" w:sz="0" w:space="0" w:color="auto"/>
      </w:divBdr>
    </w:div>
    <w:div w:id="294139879">
      <w:bodyDiv w:val="1"/>
      <w:marLeft w:val="0"/>
      <w:marRight w:val="0"/>
      <w:marTop w:val="0"/>
      <w:marBottom w:val="0"/>
      <w:divBdr>
        <w:top w:val="none" w:sz="0" w:space="0" w:color="auto"/>
        <w:left w:val="none" w:sz="0" w:space="0" w:color="auto"/>
        <w:bottom w:val="none" w:sz="0" w:space="0" w:color="auto"/>
        <w:right w:val="none" w:sz="0" w:space="0" w:color="auto"/>
      </w:divBdr>
    </w:div>
    <w:div w:id="342632923">
      <w:bodyDiv w:val="1"/>
      <w:marLeft w:val="0"/>
      <w:marRight w:val="0"/>
      <w:marTop w:val="0"/>
      <w:marBottom w:val="0"/>
      <w:divBdr>
        <w:top w:val="none" w:sz="0" w:space="0" w:color="auto"/>
        <w:left w:val="none" w:sz="0" w:space="0" w:color="auto"/>
        <w:bottom w:val="none" w:sz="0" w:space="0" w:color="auto"/>
        <w:right w:val="none" w:sz="0" w:space="0" w:color="auto"/>
      </w:divBdr>
    </w:div>
    <w:div w:id="425543185">
      <w:bodyDiv w:val="1"/>
      <w:marLeft w:val="0"/>
      <w:marRight w:val="0"/>
      <w:marTop w:val="0"/>
      <w:marBottom w:val="0"/>
      <w:divBdr>
        <w:top w:val="none" w:sz="0" w:space="0" w:color="auto"/>
        <w:left w:val="none" w:sz="0" w:space="0" w:color="auto"/>
        <w:bottom w:val="none" w:sz="0" w:space="0" w:color="auto"/>
        <w:right w:val="none" w:sz="0" w:space="0" w:color="auto"/>
      </w:divBdr>
    </w:div>
    <w:div w:id="427316288">
      <w:bodyDiv w:val="1"/>
      <w:marLeft w:val="0"/>
      <w:marRight w:val="0"/>
      <w:marTop w:val="0"/>
      <w:marBottom w:val="0"/>
      <w:divBdr>
        <w:top w:val="none" w:sz="0" w:space="0" w:color="auto"/>
        <w:left w:val="none" w:sz="0" w:space="0" w:color="auto"/>
        <w:bottom w:val="none" w:sz="0" w:space="0" w:color="auto"/>
        <w:right w:val="none" w:sz="0" w:space="0" w:color="auto"/>
      </w:divBdr>
      <w:divsChild>
        <w:div w:id="31421791">
          <w:marLeft w:val="0"/>
          <w:marRight w:val="0"/>
          <w:marTop w:val="0"/>
          <w:marBottom w:val="0"/>
          <w:divBdr>
            <w:top w:val="none" w:sz="0" w:space="0" w:color="auto"/>
            <w:left w:val="none" w:sz="0" w:space="0" w:color="auto"/>
            <w:bottom w:val="none" w:sz="0" w:space="0" w:color="auto"/>
            <w:right w:val="none" w:sz="0" w:space="0" w:color="auto"/>
          </w:divBdr>
          <w:divsChild>
            <w:div w:id="1934318318">
              <w:marLeft w:val="-75"/>
              <w:marRight w:val="0"/>
              <w:marTop w:val="30"/>
              <w:marBottom w:val="30"/>
              <w:divBdr>
                <w:top w:val="none" w:sz="0" w:space="0" w:color="auto"/>
                <w:left w:val="none" w:sz="0" w:space="0" w:color="auto"/>
                <w:bottom w:val="none" w:sz="0" w:space="0" w:color="auto"/>
                <w:right w:val="none" w:sz="0" w:space="0" w:color="auto"/>
              </w:divBdr>
              <w:divsChild>
                <w:div w:id="12804603">
                  <w:marLeft w:val="0"/>
                  <w:marRight w:val="0"/>
                  <w:marTop w:val="0"/>
                  <w:marBottom w:val="0"/>
                  <w:divBdr>
                    <w:top w:val="none" w:sz="0" w:space="0" w:color="auto"/>
                    <w:left w:val="none" w:sz="0" w:space="0" w:color="auto"/>
                    <w:bottom w:val="none" w:sz="0" w:space="0" w:color="auto"/>
                    <w:right w:val="none" w:sz="0" w:space="0" w:color="auto"/>
                  </w:divBdr>
                  <w:divsChild>
                    <w:div w:id="1911960406">
                      <w:marLeft w:val="0"/>
                      <w:marRight w:val="0"/>
                      <w:marTop w:val="0"/>
                      <w:marBottom w:val="0"/>
                      <w:divBdr>
                        <w:top w:val="none" w:sz="0" w:space="0" w:color="auto"/>
                        <w:left w:val="none" w:sz="0" w:space="0" w:color="auto"/>
                        <w:bottom w:val="none" w:sz="0" w:space="0" w:color="auto"/>
                        <w:right w:val="none" w:sz="0" w:space="0" w:color="auto"/>
                      </w:divBdr>
                    </w:div>
                  </w:divsChild>
                </w:div>
                <w:div w:id="66920714">
                  <w:marLeft w:val="0"/>
                  <w:marRight w:val="0"/>
                  <w:marTop w:val="0"/>
                  <w:marBottom w:val="0"/>
                  <w:divBdr>
                    <w:top w:val="none" w:sz="0" w:space="0" w:color="auto"/>
                    <w:left w:val="none" w:sz="0" w:space="0" w:color="auto"/>
                    <w:bottom w:val="none" w:sz="0" w:space="0" w:color="auto"/>
                    <w:right w:val="none" w:sz="0" w:space="0" w:color="auto"/>
                  </w:divBdr>
                  <w:divsChild>
                    <w:div w:id="1515798339">
                      <w:marLeft w:val="0"/>
                      <w:marRight w:val="0"/>
                      <w:marTop w:val="0"/>
                      <w:marBottom w:val="0"/>
                      <w:divBdr>
                        <w:top w:val="none" w:sz="0" w:space="0" w:color="auto"/>
                        <w:left w:val="none" w:sz="0" w:space="0" w:color="auto"/>
                        <w:bottom w:val="none" w:sz="0" w:space="0" w:color="auto"/>
                        <w:right w:val="none" w:sz="0" w:space="0" w:color="auto"/>
                      </w:divBdr>
                    </w:div>
                  </w:divsChild>
                </w:div>
                <w:div w:id="304438156">
                  <w:marLeft w:val="0"/>
                  <w:marRight w:val="0"/>
                  <w:marTop w:val="0"/>
                  <w:marBottom w:val="0"/>
                  <w:divBdr>
                    <w:top w:val="none" w:sz="0" w:space="0" w:color="auto"/>
                    <w:left w:val="none" w:sz="0" w:space="0" w:color="auto"/>
                    <w:bottom w:val="none" w:sz="0" w:space="0" w:color="auto"/>
                    <w:right w:val="none" w:sz="0" w:space="0" w:color="auto"/>
                  </w:divBdr>
                  <w:divsChild>
                    <w:div w:id="194661245">
                      <w:marLeft w:val="0"/>
                      <w:marRight w:val="0"/>
                      <w:marTop w:val="0"/>
                      <w:marBottom w:val="0"/>
                      <w:divBdr>
                        <w:top w:val="none" w:sz="0" w:space="0" w:color="auto"/>
                        <w:left w:val="none" w:sz="0" w:space="0" w:color="auto"/>
                        <w:bottom w:val="none" w:sz="0" w:space="0" w:color="auto"/>
                        <w:right w:val="none" w:sz="0" w:space="0" w:color="auto"/>
                      </w:divBdr>
                    </w:div>
                  </w:divsChild>
                </w:div>
                <w:div w:id="350255546">
                  <w:marLeft w:val="0"/>
                  <w:marRight w:val="0"/>
                  <w:marTop w:val="0"/>
                  <w:marBottom w:val="0"/>
                  <w:divBdr>
                    <w:top w:val="none" w:sz="0" w:space="0" w:color="auto"/>
                    <w:left w:val="none" w:sz="0" w:space="0" w:color="auto"/>
                    <w:bottom w:val="none" w:sz="0" w:space="0" w:color="auto"/>
                    <w:right w:val="none" w:sz="0" w:space="0" w:color="auto"/>
                  </w:divBdr>
                  <w:divsChild>
                    <w:div w:id="286931379">
                      <w:marLeft w:val="0"/>
                      <w:marRight w:val="0"/>
                      <w:marTop w:val="0"/>
                      <w:marBottom w:val="0"/>
                      <w:divBdr>
                        <w:top w:val="none" w:sz="0" w:space="0" w:color="auto"/>
                        <w:left w:val="none" w:sz="0" w:space="0" w:color="auto"/>
                        <w:bottom w:val="none" w:sz="0" w:space="0" w:color="auto"/>
                        <w:right w:val="none" w:sz="0" w:space="0" w:color="auto"/>
                      </w:divBdr>
                    </w:div>
                  </w:divsChild>
                </w:div>
                <w:div w:id="392773253">
                  <w:marLeft w:val="0"/>
                  <w:marRight w:val="0"/>
                  <w:marTop w:val="0"/>
                  <w:marBottom w:val="0"/>
                  <w:divBdr>
                    <w:top w:val="none" w:sz="0" w:space="0" w:color="auto"/>
                    <w:left w:val="none" w:sz="0" w:space="0" w:color="auto"/>
                    <w:bottom w:val="none" w:sz="0" w:space="0" w:color="auto"/>
                    <w:right w:val="none" w:sz="0" w:space="0" w:color="auto"/>
                  </w:divBdr>
                  <w:divsChild>
                    <w:div w:id="27873436">
                      <w:marLeft w:val="0"/>
                      <w:marRight w:val="0"/>
                      <w:marTop w:val="0"/>
                      <w:marBottom w:val="0"/>
                      <w:divBdr>
                        <w:top w:val="none" w:sz="0" w:space="0" w:color="auto"/>
                        <w:left w:val="none" w:sz="0" w:space="0" w:color="auto"/>
                        <w:bottom w:val="none" w:sz="0" w:space="0" w:color="auto"/>
                        <w:right w:val="none" w:sz="0" w:space="0" w:color="auto"/>
                      </w:divBdr>
                    </w:div>
                  </w:divsChild>
                </w:div>
                <w:div w:id="561520363">
                  <w:marLeft w:val="0"/>
                  <w:marRight w:val="0"/>
                  <w:marTop w:val="0"/>
                  <w:marBottom w:val="0"/>
                  <w:divBdr>
                    <w:top w:val="none" w:sz="0" w:space="0" w:color="auto"/>
                    <w:left w:val="none" w:sz="0" w:space="0" w:color="auto"/>
                    <w:bottom w:val="none" w:sz="0" w:space="0" w:color="auto"/>
                    <w:right w:val="none" w:sz="0" w:space="0" w:color="auto"/>
                  </w:divBdr>
                  <w:divsChild>
                    <w:div w:id="43799182">
                      <w:marLeft w:val="0"/>
                      <w:marRight w:val="0"/>
                      <w:marTop w:val="0"/>
                      <w:marBottom w:val="0"/>
                      <w:divBdr>
                        <w:top w:val="none" w:sz="0" w:space="0" w:color="auto"/>
                        <w:left w:val="none" w:sz="0" w:space="0" w:color="auto"/>
                        <w:bottom w:val="none" w:sz="0" w:space="0" w:color="auto"/>
                        <w:right w:val="none" w:sz="0" w:space="0" w:color="auto"/>
                      </w:divBdr>
                    </w:div>
                  </w:divsChild>
                </w:div>
                <w:div w:id="592520627">
                  <w:marLeft w:val="0"/>
                  <w:marRight w:val="0"/>
                  <w:marTop w:val="0"/>
                  <w:marBottom w:val="0"/>
                  <w:divBdr>
                    <w:top w:val="none" w:sz="0" w:space="0" w:color="auto"/>
                    <w:left w:val="none" w:sz="0" w:space="0" w:color="auto"/>
                    <w:bottom w:val="none" w:sz="0" w:space="0" w:color="auto"/>
                    <w:right w:val="none" w:sz="0" w:space="0" w:color="auto"/>
                  </w:divBdr>
                  <w:divsChild>
                    <w:div w:id="1649941250">
                      <w:marLeft w:val="0"/>
                      <w:marRight w:val="0"/>
                      <w:marTop w:val="0"/>
                      <w:marBottom w:val="0"/>
                      <w:divBdr>
                        <w:top w:val="none" w:sz="0" w:space="0" w:color="auto"/>
                        <w:left w:val="none" w:sz="0" w:space="0" w:color="auto"/>
                        <w:bottom w:val="none" w:sz="0" w:space="0" w:color="auto"/>
                        <w:right w:val="none" w:sz="0" w:space="0" w:color="auto"/>
                      </w:divBdr>
                    </w:div>
                  </w:divsChild>
                </w:div>
                <w:div w:id="676926212">
                  <w:marLeft w:val="0"/>
                  <w:marRight w:val="0"/>
                  <w:marTop w:val="0"/>
                  <w:marBottom w:val="0"/>
                  <w:divBdr>
                    <w:top w:val="none" w:sz="0" w:space="0" w:color="auto"/>
                    <w:left w:val="none" w:sz="0" w:space="0" w:color="auto"/>
                    <w:bottom w:val="none" w:sz="0" w:space="0" w:color="auto"/>
                    <w:right w:val="none" w:sz="0" w:space="0" w:color="auto"/>
                  </w:divBdr>
                  <w:divsChild>
                    <w:div w:id="1419403252">
                      <w:marLeft w:val="0"/>
                      <w:marRight w:val="0"/>
                      <w:marTop w:val="0"/>
                      <w:marBottom w:val="0"/>
                      <w:divBdr>
                        <w:top w:val="none" w:sz="0" w:space="0" w:color="auto"/>
                        <w:left w:val="none" w:sz="0" w:space="0" w:color="auto"/>
                        <w:bottom w:val="none" w:sz="0" w:space="0" w:color="auto"/>
                        <w:right w:val="none" w:sz="0" w:space="0" w:color="auto"/>
                      </w:divBdr>
                    </w:div>
                  </w:divsChild>
                </w:div>
                <w:div w:id="707528069">
                  <w:marLeft w:val="0"/>
                  <w:marRight w:val="0"/>
                  <w:marTop w:val="0"/>
                  <w:marBottom w:val="0"/>
                  <w:divBdr>
                    <w:top w:val="none" w:sz="0" w:space="0" w:color="auto"/>
                    <w:left w:val="none" w:sz="0" w:space="0" w:color="auto"/>
                    <w:bottom w:val="none" w:sz="0" w:space="0" w:color="auto"/>
                    <w:right w:val="none" w:sz="0" w:space="0" w:color="auto"/>
                  </w:divBdr>
                  <w:divsChild>
                    <w:div w:id="822967759">
                      <w:marLeft w:val="0"/>
                      <w:marRight w:val="0"/>
                      <w:marTop w:val="0"/>
                      <w:marBottom w:val="0"/>
                      <w:divBdr>
                        <w:top w:val="none" w:sz="0" w:space="0" w:color="auto"/>
                        <w:left w:val="none" w:sz="0" w:space="0" w:color="auto"/>
                        <w:bottom w:val="none" w:sz="0" w:space="0" w:color="auto"/>
                        <w:right w:val="none" w:sz="0" w:space="0" w:color="auto"/>
                      </w:divBdr>
                    </w:div>
                  </w:divsChild>
                </w:div>
                <w:div w:id="725371768">
                  <w:marLeft w:val="0"/>
                  <w:marRight w:val="0"/>
                  <w:marTop w:val="0"/>
                  <w:marBottom w:val="0"/>
                  <w:divBdr>
                    <w:top w:val="none" w:sz="0" w:space="0" w:color="auto"/>
                    <w:left w:val="none" w:sz="0" w:space="0" w:color="auto"/>
                    <w:bottom w:val="none" w:sz="0" w:space="0" w:color="auto"/>
                    <w:right w:val="none" w:sz="0" w:space="0" w:color="auto"/>
                  </w:divBdr>
                  <w:divsChild>
                    <w:div w:id="534735784">
                      <w:marLeft w:val="0"/>
                      <w:marRight w:val="0"/>
                      <w:marTop w:val="0"/>
                      <w:marBottom w:val="0"/>
                      <w:divBdr>
                        <w:top w:val="none" w:sz="0" w:space="0" w:color="auto"/>
                        <w:left w:val="none" w:sz="0" w:space="0" w:color="auto"/>
                        <w:bottom w:val="none" w:sz="0" w:space="0" w:color="auto"/>
                        <w:right w:val="none" w:sz="0" w:space="0" w:color="auto"/>
                      </w:divBdr>
                    </w:div>
                  </w:divsChild>
                </w:div>
                <w:div w:id="767699577">
                  <w:marLeft w:val="0"/>
                  <w:marRight w:val="0"/>
                  <w:marTop w:val="0"/>
                  <w:marBottom w:val="0"/>
                  <w:divBdr>
                    <w:top w:val="none" w:sz="0" w:space="0" w:color="auto"/>
                    <w:left w:val="none" w:sz="0" w:space="0" w:color="auto"/>
                    <w:bottom w:val="none" w:sz="0" w:space="0" w:color="auto"/>
                    <w:right w:val="none" w:sz="0" w:space="0" w:color="auto"/>
                  </w:divBdr>
                  <w:divsChild>
                    <w:div w:id="238633916">
                      <w:marLeft w:val="0"/>
                      <w:marRight w:val="0"/>
                      <w:marTop w:val="0"/>
                      <w:marBottom w:val="0"/>
                      <w:divBdr>
                        <w:top w:val="none" w:sz="0" w:space="0" w:color="auto"/>
                        <w:left w:val="none" w:sz="0" w:space="0" w:color="auto"/>
                        <w:bottom w:val="none" w:sz="0" w:space="0" w:color="auto"/>
                        <w:right w:val="none" w:sz="0" w:space="0" w:color="auto"/>
                      </w:divBdr>
                    </w:div>
                  </w:divsChild>
                </w:div>
                <w:div w:id="862936308">
                  <w:marLeft w:val="0"/>
                  <w:marRight w:val="0"/>
                  <w:marTop w:val="0"/>
                  <w:marBottom w:val="0"/>
                  <w:divBdr>
                    <w:top w:val="none" w:sz="0" w:space="0" w:color="auto"/>
                    <w:left w:val="none" w:sz="0" w:space="0" w:color="auto"/>
                    <w:bottom w:val="none" w:sz="0" w:space="0" w:color="auto"/>
                    <w:right w:val="none" w:sz="0" w:space="0" w:color="auto"/>
                  </w:divBdr>
                  <w:divsChild>
                    <w:div w:id="431782742">
                      <w:marLeft w:val="0"/>
                      <w:marRight w:val="0"/>
                      <w:marTop w:val="0"/>
                      <w:marBottom w:val="0"/>
                      <w:divBdr>
                        <w:top w:val="none" w:sz="0" w:space="0" w:color="auto"/>
                        <w:left w:val="none" w:sz="0" w:space="0" w:color="auto"/>
                        <w:bottom w:val="none" w:sz="0" w:space="0" w:color="auto"/>
                        <w:right w:val="none" w:sz="0" w:space="0" w:color="auto"/>
                      </w:divBdr>
                    </w:div>
                  </w:divsChild>
                </w:div>
                <w:div w:id="935867963">
                  <w:marLeft w:val="0"/>
                  <w:marRight w:val="0"/>
                  <w:marTop w:val="0"/>
                  <w:marBottom w:val="0"/>
                  <w:divBdr>
                    <w:top w:val="none" w:sz="0" w:space="0" w:color="auto"/>
                    <w:left w:val="none" w:sz="0" w:space="0" w:color="auto"/>
                    <w:bottom w:val="none" w:sz="0" w:space="0" w:color="auto"/>
                    <w:right w:val="none" w:sz="0" w:space="0" w:color="auto"/>
                  </w:divBdr>
                  <w:divsChild>
                    <w:div w:id="731974041">
                      <w:marLeft w:val="0"/>
                      <w:marRight w:val="0"/>
                      <w:marTop w:val="0"/>
                      <w:marBottom w:val="0"/>
                      <w:divBdr>
                        <w:top w:val="none" w:sz="0" w:space="0" w:color="auto"/>
                        <w:left w:val="none" w:sz="0" w:space="0" w:color="auto"/>
                        <w:bottom w:val="none" w:sz="0" w:space="0" w:color="auto"/>
                        <w:right w:val="none" w:sz="0" w:space="0" w:color="auto"/>
                      </w:divBdr>
                    </w:div>
                  </w:divsChild>
                </w:div>
                <w:div w:id="974024404">
                  <w:marLeft w:val="0"/>
                  <w:marRight w:val="0"/>
                  <w:marTop w:val="0"/>
                  <w:marBottom w:val="0"/>
                  <w:divBdr>
                    <w:top w:val="none" w:sz="0" w:space="0" w:color="auto"/>
                    <w:left w:val="none" w:sz="0" w:space="0" w:color="auto"/>
                    <w:bottom w:val="none" w:sz="0" w:space="0" w:color="auto"/>
                    <w:right w:val="none" w:sz="0" w:space="0" w:color="auto"/>
                  </w:divBdr>
                  <w:divsChild>
                    <w:div w:id="1249117446">
                      <w:marLeft w:val="0"/>
                      <w:marRight w:val="0"/>
                      <w:marTop w:val="0"/>
                      <w:marBottom w:val="0"/>
                      <w:divBdr>
                        <w:top w:val="none" w:sz="0" w:space="0" w:color="auto"/>
                        <w:left w:val="none" w:sz="0" w:space="0" w:color="auto"/>
                        <w:bottom w:val="none" w:sz="0" w:space="0" w:color="auto"/>
                        <w:right w:val="none" w:sz="0" w:space="0" w:color="auto"/>
                      </w:divBdr>
                    </w:div>
                  </w:divsChild>
                </w:div>
                <w:div w:id="1091969207">
                  <w:marLeft w:val="0"/>
                  <w:marRight w:val="0"/>
                  <w:marTop w:val="0"/>
                  <w:marBottom w:val="0"/>
                  <w:divBdr>
                    <w:top w:val="none" w:sz="0" w:space="0" w:color="auto"/>
                    <w:left w:val="none" w:sz="0" w:space="0" w:color="auto"/>
                    <w:bottom w:val="none" w:sz="0" w:space="0" w:color="auto"/>
                    <w:right w:val="none" w:sz="0" w:space="0" w:color="auto"/>
                  </w:divBdr>
                  <w:divsChild>
                    <w:div w:id="392779063">
                      <w:marLeft w:val="0"/>
                      <w:marRight w:val="0"/>
                      <w:marTop w:val="0"/>
                      <w:marBottom w:val="0"/>
                      <w:divBdr>
                        <w:top w:val="none" w:sz="0" w:space="0" w:color="auto"/>
                        <w:left w:val="none" w:sz="0" w:space="0" w:color="auto"/>
                        <w:bottom w:val="none" w:sz="0" w:space="0" w:color="auto"/>
                        <w:right w:val="none" w:sz="0" w:space="0" w:color="auto"/>
                      </w:divBdr>
                    </w:div>
                  </w:divsChild>
                </w:div>
                <w:div w:id="1213888836">
                  <w:marLeft w:val="0"/>
                  <w:marRight w:val="0"/>
                  <w:marTop w:val="0"/>
                  <w:marBottom w:val="0"/>
                  <w:divBdr>
                    <w:top w:val="none" w:sz="0" w:space="0" w:color="auto"/>
                    <w:left w:val="none" w:sz="0" w:space="0" w:color="auto"/>
                    <w:bottom w:val="none" w:sz="0" w:space="0" w:color="auto"/>
                    <w:right w:val="none" w:sz="0" w:space="0" w:color="auto"/>
                  </w:divBdr>
                  <w:divsChild>
                    <w:div w:id="361563145">
                      <w:marLeft w:val="0"/>
                      <w:marRight w:val="0"/>
                      <w:marTop w:val="0"/>
                      <w:marBottom w:val="0"/>
                      <w:divBdr>
                        <w:top w:val="none" w:sz="0" w:space="0" w:color="auto"/>
                        <w:left w:val="none" w:sz="0" w:space="0" w:color="auto"/>
                        <w:bottom w:val="none" w:sz="0" w:space="0" w:color="auto"/>
                        <w:right w:val="none" w:sz="0" w:space="0" w:color="auto"/>
                      </w:divBdr>
                    </w:div>
                  </w:divsChild>
                </w:div>
                <w:div w:id="1248032516">
                  <w:marLeft w:val="0"/>
                  <w:marRight w:val="0"/>
                  <w:marTop w:val="0"/>
                  <w:marBottom w:val="0"/>
                  <w:divBdr>
                    <w:top w:val="none" w:sz="0" w:space="0" w:color="auto"/>
                    <w:left w:val="none" w:sz="0" w:space="0" w:color="auto"/>
                    <w:bottom w:val="none" w:sz="0" w:space="0" w:color="auto"/>
                    <w:right w:val="none" w:sz="0" w:space="0" w:color="auto"/>
                  </w:divBdr>
                  <w:divsChild>
                    <w:div w:id="390738135">
                      <w:marLeft w:val="0"/>
                      <w:marRight w:val="0"/>
                      <w:marTop w:val="0"/>
                      <w:marBottom w:val="0"/>
                      <w:divBdr>
                        <w:top w:val="none" w:sz="0" w:space="0" w:color="auto"/>
                        <w:left w:val="none" w:sz="0" w:space="0" w:color="auto"/>
                        <w:bottom w:val="none" w:sz="0" w:space="0" w:color="auto"/>
                        <w:right w:val="none" w:sz="0" w:space="0" w:color="auto"/>
                      </w:divBdr>
                    </w:div>
                  </w:divsChild>
                </w:div>
                <w:div w:id="1346975935">
                  <w:marLeft w:val="0"/>
                  <w:marRight w:val="0"/>
                  <w:marTop w:val="0"/>
                  <w:marBottom w:val="0"/>
                  <w:divBdr>
                    <w:top w:val="none" w:sz="0" w:space="0" w:color="auto"/>
                    <w:left w:val="none" w:sz="0" w:space="0" w:color="auto"/>
                    <w:bottom w:val="none" w:sz="0" w:space="0" w:color="auto"/>
                    <w:right w:val="none" w:sz="0" w:space="0" w:color="auto"/>
                  </w:divBdr>
                  <w:divsChild>
                    <w:div w:id="71632461">
                      <w:marLeft w:val="0"/>
                      <w:marRight w:val="0"/>
                      <w:marTop w:val="0"/>
                      <w:marBottom w:val="0"/>
                      <w:divBdr>
                        <w:top w:val="none" w:sz="0" w:space="0" w:color="auto"/>
                        <w:left w:val="none" w:sz="0" w:space="0" w:color="auto"/>
                        <w:bottom w:val="none" w:sz="0" w:space="0" w:color="auto"/>
                        <w:right w:val="none" w:sz="0" w:space="0" w:color="auto"/>
                      </w:divBdr>
                    </w:div>
                  </w:divsChild>
                </w:div>
                <w:div w:id="1369379636">
                  <w:marLeft w:val="0"/>
                  <w:marRight w:val="0"/>
                  <w:marTop w:val="0"/>
                  <w:marBottom w:val="0"/>
                  <w:divBdr>
                    <w:top w:val="none" w:sz="0" w:space="0" w:color="auto"/>
                    <w:left w:val="none" w:sz="0" w:space="0" w:color="auto"/>
                    <w:bottom w:val="none" w:sz="0" w:space="0" w:color="auto"/>
                    <w:right w:val="none" w:sz="0" w:space="0" w:color="auto"/>
                  </w:divBdr>
                  <w:divsChild>
                    <w:div w:id="487863148">
                      <w:marLeft w:val="0"/>
                      <w:marRight w:val="0"/>
                      <w:marTop w:val="0"/>
                      <w:marBottom w:val="0"/>
                      <w:divBdr>
                        <w:top w:val="none" w:sz="0" w:space="0" w:color="auto"/>
                        <w:left w:val="none" w:sz="0" w:space="0" w:color="auto"/>
                        <w:bottom w:val="none" w:sz="0" w:space="0" w:color="auto"/>
                        <w:right w:val="none" w:sz="0" w:space="0" w:color="auto"/>
                      </w:divBdr>
                    </w:div>
                  </w:divsChild>
                </w:div>
                <w:div w:id="1526288570">
                  <w:marLeft w:val="0"/>
                  <w:marRight w:val="0"/>
                  <w:marTop w:val="0"/>
                  <w:marBottom w:val="0"/>
                  <w:divBdr>
                    <w:top w:val="none" w:sz="0" w:space="0" w:color="auto"/>
                    <w:left w:val="none" w:sz="0" w:space="0" w:color="auto"/>
                    <w:bottom w:val="none" w:sz="0" w:space="0" w:color="auto"/>
                    <w:right w:val="none" w:sz="0" w:space="0" w:color="auto"/>
                  </w:divBdr>
                  <w:divsChild>
                    <w:div w:id="533230983">
                      <w:marLeft w:val="0"/>
                      <w:marRight w:val="0"/>
                      <w:marTop w:val="0"/>
                      <w:marBottom w:val="0"/>
                      <w:divBdr>
                        <w:top w:val="none" w:sz="0" w:space="0" w:color="auto"/>
                        <w:left w:val="none" w:sz="0" w:space="0" w:color="auto"/>
                        <w:bottom w:val="none" w:sz="0" w:space="0" w:color="auto"/>
                        <w:right w:val="none" w:sz="0" w:space="0" w:color="auto"/>
                      </w:divBdr>
                    </w:div>
                  </w:divsChild>
                </w:div>
                <w:div w:id="1542354470">
                  <w:marLeft w:val="0"/>
                  <w:marRight w:val="0"/>
                  <w:marTop w:val="0"/>
                  <w:marBottom w:val="0"/>
                  <w:divBdr>
                    <w:top w:val="none" w:sz="0" w:space="0" w:color="auto"/>
                    <w:left w:val="none" w:sz="0" w:space="0" w:color="auto"/>
                    <w:bottom w:val="none" w:sz="0" w:space="0" w:color="auto"/>
                    <w:right w:val="none" w:sz="0" w:space="0" w:color="auto"/>
                  </w:divBdr>
                  <w:divsChild>
                    <w:div w:id="1950816774">
                      <w:marLeft w:val="0"/>
                      <w:marRight w:val="0"/>
                      <w:marTop w:val="0"/>
                      <w:marBottom w:val="0"/>
                      <w:divBdr>
                        <w:top w:val="none" w:sz="0" w:space="0" w:color="auto"/>
                        <w:left w:val="none" w:sz="0" w:space="0" w:color="auto"/>
                        <w:bottom w:val="none" w:sz="0" w:space="0" w:color="auto"/>
                        <w:right w:val="none" w:sz="0" w:space="0" w:color="auto"/>
                      </w:divBdr>
                    </w:div>
                  </w:divsChild>
                </w:div>
                <w:div w:id="1585648915">
                  <w:marLeft w:val="0"/>
                  <w:marRight w:val="0"/>
                  <w:marTop w:val="0"/>
                  <w:marBottom w:val="0"/>
                  <w:divBdr>
                    <w:top w:val="none" w:sz="0" w:space="0" w:color="auto"/>
                    <w:left w:val="none" w:sz="0" w:space="0" w:color="auto"/>
                    <w:bottom w:val="none" w:sz="0" w:space="0" w:color="auto"/>
                    <w:right w:val="none" w:sz="0" w:space="0" w:color="auto"/>
                  </w:divBdr>
                  <w:divsChild>
                    <w:div w:id="895317776">
                      <w:marLeft w:val="0"/>
                      <w:marRight w:val="0"/>
                      <w:marTop w:val="0"/>
                      <w:marBottom w:val="0"/>
                      <w:divBdr>
                        <w:top w:val="none" w:sz="0" w:space="0" w:color="auto"/>
                        <w:left w:val="none" w:sz="0" w:space="0" w:color="auto"/>
                        <w:bottom w:val="none" w:sz="0" w:space="0" w:color="auto"/>
                        <w:right w:val="none" w:sz="0" w:space="0" w:color="auto"/>
                      </w:divBdr>
                    </w:div>
                  </w:divsChild>
                </w:div>
                <w:div w:id="1716198015">
                  <w:marLeft w:val="0"/>
                  <w:marRight w:val="0"/>
                  <w:marTop w:val="0"/>
                  <w:marBottom w:val="0"/>
                  <w:divBdr>
                    <w:top w:val="none" w:sz="0" w:space="0" w:color="auto"/>
                    <w:left w:val="none" w:sz="0" w:space="0" w:color="auto"/>
                    <w:bottom w:val="none" w:sz="0" w:space="0" w:color="auto"/>
                    <w:right w:val="none" w:sz="0" w:space="0" w:color="auto"/>
                  </w:divBdr>
                  <w:divsChild>
                    <w:div w:id="747113085">
                      <w:marLeft w:val="0"/>
                      <w:marRight w:val="0"/>
                      <w:marTop w:val="0"/>
                      <w:marBottom w:val="0"/>
                      <w:divBdr>
                        <w:top w:val="none" w:sz="0" w:space="0" w:color="auto"/>
                        <w:left w:val="none" w:sz="0" w:space="0" w:color="auto"/>
                        <w:bottom w:val="none" w:sz="0" w:space="0" w:color="auto"/>
                        <w:right w:val="none" w:sz="0" w:space="0" w:color="auto"/>
                      </w:divBdr>
                    </w:div>
                  </w:divsChild>
                </w:div>
                <w:div w:id="1738090087">
                  <w:marLeft w:val="0"/>
                  <w:marRight w:val="0"/>
                  <w:marTop w:val="0"/>
                  <w:marBottom w:val="0"/>
                  <w:divBdr>
                    <w:top w:val="none" w:sz="0" w:space="0" w:color="auto"/>
                    <w:left w:val="none" w:sz="0" w:space="0" w:color="auto"/>
                    <w:bottom w:val="none" w:sz="0" w:space="0" w:color="auto"/>
                    <w:right w:val="none" w:sz="0" w:space="0" w:color="auto"/>
                  </w:divBdr>
                  <w:divsChild>
                    <w:div w:id="1231427128">
                      <w:marLeft w:val="0"/>
                      <w:marRight w:val="0"/>
                      <w:marTop w:val="0"/>
                      <w:marBottom w:val="0"/>
                      <w:divBdr>
                        <w:top w:val="none" w:sz="0" w:space="0" w:color="auto"/>
                        <w:left w:val="none" w:sz="0" w:space="0" w:color="auto"/>
                        <w:bottom w:val="none" w:sz="0" w:space="0" w:color="auto"/>
                        <w:right w:val="none" w:sz="0" w:space="0" w:color="auto"/>
                      </w:divBdr>
                    </w:div>
                  </w:divsChild>
                </w:div>
                <w:div w:id="1819179204">
                  <w:marLeft w:val="0"/>
                  <w:marRight w:val="0"/>
                  <w:marTop w:val="0"/>
                  <w:marBottom w:val="0"/>
                  <w:divBdr>
                    <w:top w:val="none" w:sz="0" w:space="0" w:color="auto"/>
                    <w:left w:val="none" w:sz="0" w:space="0" w:color="auto"/>
                    <w:bottom w:val="none" w:sz="0" w:space="0" w:color="auto"/>
                    <w:right w:val="none" w:sz="0" w:space="0" w:color="auto"/>
                  </w:divBdr>
                  <w:divsChild>
                    <w:div w:id="1069576519">
                      <w:marLeft w:val="0"/>
                      <w:marRight w:val="0"/>
                      <w:marTop w:val="0"/>
                      <w:marBottom w:val="0"/>
                      <w:divBdr>
                        <w:top w:val="none" w:sz="0" w:space="0" w:color="auto"/>
                        <w:left w:val="none" w:sz="0" w:space="0" w:color="auto"/>
                        <w:bottom w:val="none" w:sz="0" w:space="0" w:color="auto"/>
                        <w:right w:val="none" w:sz="0" w:space="0" w:color="auto"/>
                      </w:divBdr>
                    </w:div>
                  </w:divsChild>
                </w:div>
                <w:div w:id="1898198924">
                  <w:marLeft w:val="0"/>
                  <w:marRight w:val="0"/>
                  <w:marTop w:val="0"/>
                  <w:marBottom w:val="0"/>
                  <w:divBdr>
                    <w:top w:val="none" w:sz="0" w:space="0" w:color="auto"/>
                    <w:left w:val="none" w:sz="0" w:space="0" w:color="auto"/>
                    <w:bottom w:val="none" w:sz="0" w:space="0" w:color="auto"/>
                    <w:right w:val="none" w:sz="0" w:space="0" w:color="auto"/>
                  </w:divBdr>
                  <w:divsChild>
                    <w:div w:id="227040008">
                      <w:marLeft w:val="0"/>
                      <w:marRight w:val="0"/>
                      <w:marTop w:val="0"/>
                      <w:marBottom w:val="0"/>
                      <w:divBdr>
                        <w:top w:val="none" w:sz="0" w:space="0" w:color="auto"/>
                        <w:left w:val="none" w:sz="0" w:space="0" w:color="auto"/>
                        <w:bottom w:val="none" w:sz="0" w:space="0" w:color="auto"/>
                        <w:right w:val="none" w:sz="0" w:space="0" w:color="auto"/>
                      </w:divBdr>
                    </w:div>
                  </w:divsChild>
                </w:div>
                <w:div w:id="1966808223">
                  <w:marLeft w:val="0"/>
                  <w:marRight w:val="0"/>
                  <w:marTop w:val="0"/>
                  <w:marBottom w:val="0"/>
                  <w:divBdr>
                    <w:top w:val="none" w:sz="0" w:space="0" w:color="auto"/>
                    <w:left w:val="none" w:sz="0" w:space="0" w:color="auto"/>
                    <w:bottom w:val="none" w:sz="0" w:space="0" w:color="auto"/>
                    <w:right w:val="none" w:sz="0" w:space="0" w:color="auto"/>
                  </w:divBdr>
                  <w:divsChild>
                    <w:div w:id="191503428">
                      <w:marLeft w:val="0"/>
                      <w:marRight w:val="0"/>
                      <w:marTop w:val="0"/>
                      <w:marBottom w:val="0"/>
                      <w:divBdr>
                        <w:top w:val="none" w:sz="0" w:space="0" w:color="auto"/>
                        <w:left w:val="none" w:sz="0" w:space="0" w:color="auto"/>
                        <w:bottom w:val="none" w:sz="0" w:space="0" w:color="auto"/>
                        <w:right w:val="none" w:sz="0" w:space="0" w:color="auto"/>
                      </w:divBdr>
                    </w:div>
                  </w:divsChild>
                </w:div>
                <w:div w:id="2026973564">
                  <w:marLeft w:val="0"/>
                  <w:marRight w:val="0"/>
                  <w:marTop w:val="0"/>
                  <w:marBottom w:val="0"/>
                  <w:divBdr>
                    <w:top w:val="none" w:sz="0" w:space="0" w:color="auto"/>
                    <w:left w:val="none" w:sz="0" w:space="0" w:color="auto"/>
                    <w:bottom w:val="none" w:sz="0" w:space="0" w:color="auto"/>
                    <w:right w:val="none" w:sz="0" w:space="0" w:color="auto"/>
                  </w:divBdr>
                  <w:divsChild>
                    <w:div w:id="2115783865">
                      <w:marLeft w:val="0"/>
                      <w:marRight w:val="0"/>
                      <w:marTop w:val="0"/>
                      <w:marBottom w:val="0"/>
                      <w:divBdr>
                        <w:top w:val="none" w:sz="0" w:space="0" w:color="auto"/>
                        <w:left w:val="none" w:sz="0" w:space="0" w:color="auto"/>
                        <w:bottom w:val="none" w:sz="0" w:space="0" w:color="auto"/>
                        <w:right w:val="none" w:sz="0" w:space="0" w:color="auto"/>
                      </w:divBdr>
                    </w:div>
                  </w:divsChild>
                </w:div>
                <w:div w:id="2035760891">
                  <w:marLeft w:val="0"/>
                  <w:marRight w:val="0"/>
                  <w:marTop w:val="0"/>
                  <w:marBottom w:val="0"/>
                  <w:divBdr>
                    <w:top w:val="none" w:sz="0" w:space="0" w:color="auto"/>
                    <w:left w:val="none" w:sz="0" w:space="0" w:color="auto"/>
                    <w:bottom w:val="none" w:sz="0" w:space="0" w:color="auto"/>
                    <w:right w:val="none" w:sz="0" w:space="0" w:color="auto"/>
                  </w:divBdr>
                  <w:divsChild>
                    <w:div w:id="369109041">
                      <w:marLeft w:val="0"/>
                      <w:marRight w:val="0"/>
                      <w:marTop w:val="0"/>
                      <w:marBottom w:val="0"/>
                      <w:divBdr>
                        <w:top w:val="none" w:sz="0" w:space="0" w:color="auto"/>
                        <w:left w:val="none" w:sz="0" w:space="0" w:color="auto"/>
                        <w:bottom w:val="none" w:sz="0" w:space="0" w:color="auto"/>
                        <w:right w:val="none" w:sz="0" w:space="0" w:color="auto"/>
                      </w:divBdr>
                    </w:div>
                  </w:divsChild>
                </w:div>
                <w:div w:id="2043166869">
                  <w:marLeft w:val="0"/>
                  <w:marRight w:val="0"/>
                  <w:marTop w:val="0"/>
                  <w:marBottom w:val="0"/>
                  <w:divBdr>
                    <w:top w:val="none" w:sz="0" w:space="0" w:color="auto"/>
                    <w:left w:val="none" w:sz="0" w:space="0" w:color="auto"/>
                    <w:bottom w:val="none" w:sz="0" w:space="0" w:color="auto"/>
                    <w:right w:val="none" w:sz="0" w:space="0" w:color="auto"/>
                  </w:divBdr>
                  <w:divsChild>
                    <w:div w:id="234633820">
                      <w:marLeft w:val="0"/>
                      <w:marRight w:val="0"/>
                      <w:marTop w:val="0"/>
                      <w:marBottom w:val="0"/>
                      <w:divBdr>
                        <w:top w:val="none" w:sz="0" w:space="0" w:color="auto"/>
                        <w:left w:val="none" w:sz="0" w:space="0" w:color="auto"/>
                        <w:bottom w:val="none" w:sz="0" w:space="0" w:color="auto"/>
                        <w:right w:val="none" w:sz="0" w:space="0" w:color="auto"/>
                      </w:divBdr>
                    </w:div>
                  </w:divsChild>
                </w:div>
                <w:div w:id="2066946560">
                  <w:marLeft w:val="0"/>
                  <w:marRight w:val="0"/>
                  <w:marTop w:val="0"/>
                  <w:marBottom w:val="0"/>
                  <w:divBdr>
                    <w:top w:val="none" w:sz="0" w:space="0" w:color="auto"/>
                    <w:left w:val="none" w:sz="0" w:space="0" w:color="auto"/>
                    <w:bottom w:val="none" w:sz="0" w:space="0" w:color="auto"/>
                    <w:right w:val="none" w:sz="0" w:space="0" w:color="auto"/>
                  </w:divBdr>
                  <w:divsChild>
                    <w:div w:id="211773774">
                      <w:marLeft w:val="0"/>
                      <w:marRight w:val="0"/>
                      <w:marTop w:val="0"/>
                      <w:marBottom w:val="0"/>
                      <w:divBdr>
                        <w:top w:val="none" w:sz="0" w:space="0" w:color="auto"/>
                        <w:left w:val="none" w:sz="0" w:space="0" w:color="auto"/>
                        <w:bottom w:val="none" w:sz="0" w:space="0" w:color="auto"/>
                        <w:right w:val="none" w:sz="0" w:space="0" w:color="auto"/>
                      </w:divBdr>
                    </w:div>
                  </w:divsChild>
                </w:div>
                <w:div w:id="2099713742">
                  <w:marLeft w:val="0"/>
                  <w:marRight w:val="0"/>
                  <w:marTop w:val="0"/>
                  <w:marBottom w:val="0"/>
                  <w:divBdr>
                    <w:top w:val="none" w:sz="0" w:space="0" w:color="auto"/>
                    <w:left w:val="none" w:sz="0" w:space="0" w:color="auto"/>
                    <w:bottom w:val="none" w:sz="0" w:space="0" w:color="auto"/>
                    <w:right w:val="none" w:sz="0" w:space="0" w:color="auto"/>
                  </w:divBdr>
                  <w:divsChild>
                    <w:div w:id="15340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07491">
          <w:marLeft w:val="0"/>
          <w:marRight w:val="0"/>
          <w:marTop w:val="0"/>
          <w:marBottom w:val="0"/>
          <w:divBdr>
            <w:top w:val="none" w:sz="0" w:space="0" w:color="auto"/>
            <w:left w:val="none" w:sz="0" w:space="0" w:color="auto"/>
            <w:bottom w:val="none" w:sz="0" w:space="0" w:color="auto"/>
            <w:right w:val="none" w:sz="0" w:space="0" w:color="auto"/>
          </w:divBdr>
        </w:div>
        <w:div w:id="1453358283">
          <w:marLeft w:val="0"/>
          <w:marRight w:val="0"/>
          <w:marTop w:val="0"/>
          <w:marBottom w:val="0"/>
          <w:divBdr>
            <w:top w:val="none" w:sz="0" w:space="0" w:color="auto"/>
            <w:left w:val="none" w:sz="0" w:space="0" w:color="auto"/>
            <w:bottom w:val="none" w:sz="0" w:space="0" w:color="auto"/>
            <w:right w:val="none" w:sz="0" w:space="0" w:color="auto"/>
          </w:divBdr>
        </w:div>
      </w:divsChild>
    </w:div>
    <w:div w:id="460726789">
      <w:bodyDiv w:val="1"/>
      <w:marLeft w:val="0"/>
      <w:marRight w:val="0"/>
      <w:marTop w:val="0"/>
      <w:marBottom w:val="0"/>
      <w:divBdr>
        <w:top w:val="none" w:sz="0" w:space="0" w:color="auto"/>
        <w:left w:val="none" w:sz="0" w:space="0" w:color="auto"/>
        <w:bottom w:val="none" w:sz="0" w:space="0" w:color="auto"/>
        <w:right w:val="none" w:sz="0" w:space="0" w:color="auto"/>
      </w:divBdr>
    </w:div>
    <w:div w:id="477573047">
      <w:bodyDiv w:val="1"/>
      <w:marLeft w:val="0"/>
      <w:marRight w:val="0"/>
      <w:marTop w:val="0"/>
      <w:marBottom w:val="0"/>
      <w:divBdr>
        <w:top w:val="none" w:sz="0" w:space="0" w:color="auto"/>
        <w:left w:val="none" w:sz="0" w:space="0" w:color="auto"/>
        <w:bottom w:val="none" w:sz="0" w:space="0" w:color="auto"/>
        <w:right w:val="none" w:sz="0" w:space="0" w:color="auto"/>
      </w:divBdr>
    </w:div>
    <w:div w:id="499546565">
      <w:bodyDiv w:val="1"/>
      <w:marLeft w:val="0"/>
      <w:marRight w:val="0"/>
      <w:marTop w:val="0"/>
      <w:marBottom w:val="0"/>
      <w:divBdr>
        <w:top w:val="none" w:sz="0" w:space="0" w:color="auto"/>
        <w:left w:val="none" w:sz="0" w:space="0" w:color="auto"/>
        <w:bottom w:val="none" w:sz="0" w:space="0" w:color="auto"/>
        <w:right w:val="none" w:sz="0" w:space="0" w:color="auto"/>
      </w:divBdr>
    </w:div>
    <w:div w:id="523830602">
      <w:bodyDiv w:val="1"/>
      <w:marLeft w:val="0"/>
      <w:marRight w:val="0"/>
      <w:marTop w:val="0"/>
      <w:marBottom w:val="0"/>
      <w:divBdr>
        <w:top w:val="none" w:sz="0" w:space="0" w:color="auto"/>
        <w:left w:val="none" w:sz="0" w:space="0" w:color="auto"/>
        <w:bottom w:val="none" w:sz="0" w:space="0" w:color="auto"/>
        <w:right w:val="none" w:sz="0" w:space="0" w:color="auto"/>
      </w:divBdr>
    </w:div>
    <w:div w:id="531962430">
      <w:bodyDiv w:val="1"/>
      <w:marLeft w:val="0"/>
      <w:marRight w:val="0"/>
      <w:marTop w:val="0"/>
      <w:marBottom w:val="0"/>
      <w:divBdr>
        <w:top w:val="none" w:sz="0" w:space="0" w:color="auto"/>
        <w:left w:val="none" w:sz="0" w:space="0" w:color="auto"/>
        <w:bottom w:val="none" w:sz="0" w:space="0" w:color="auto"/>
        <w:right w:val="none" w:sz="0" w:space="0" w:color="auto"/>
      </w:divBdr>
    </w:div>
    <w:div w:id="599678588">
      <w:bodyDiv w:val="1"/>
      <w:marLeft w:val="0"/>
      <w:marRight w:val="0"/>
      <w:marTop w:val="0"/>
      <w:marBottom w:val="0"/>
      <w:divBdr>
        <w:top w:val="none" w:sz="0" w:space="0" w:color="auto"/>
        <w:left w:val="none" w:sz="0" w:space="0" w:color="auto"/>
        <w:bottom w:val="none" w:sz="0" w:space="0" w:color="auto"/>
        <w:right w:val="none" w:sz="0" w:space="0" w:color="auto"/>
      </w:divBdr>
    </w:div>
    <w:div w:id="650793116">
      <w:bodyDiv w:val="1"/>
      <w:marLeft w:val="0"/>
      <w:marRight w:val="0"/>
      <w:marTop w:val="0"/>
      <w:marBottom w:val="0"/>
      <w:divBdr>
        <w:top w:val="none" w:sz="0" w:space="0" w:color="auto"/>
        <w:left w:val="none" w:sz="0" w:space="0" w:color="auto"/>
        <w:bottom w:val="none" w:sz="0" w:space="0" w:color="auto"/>
        <w:right w:val="none" w:sz="0" w:space="0" w:color="auto"/>
      </w:divBdr>
    </w:div>
    <w:div w:id="658079414">
      <w:bodyDiv w:val="1"/>
      <w:marLeft w:val="0"/>
      <w:marRight w:val="0"/>
      <w:marTop w:val="0"/>
      <w:marBottom w:val="0"/>
      <w:divBdr>
        <w:top w:val="none" w:sz="0" w:space="0" w:color="auto"/>
        <w:left w:val="none" w:sz="0" w:space="0" w:color="auto"/>
        <w:bottom w:val="none" w:sz="0" w:space="0" w:color="auto"/>
        <w:right w:val="none" w:sz="0" w:space="0" w:color="auto"/>
      </w:divBdr>
    </w:div>
    <w:div w:id="689915199">
      <w:bodyDiv w:val="1"/>
      <w:marLeft w:val="0"/>
      <w:marRight w:val="0"/>
      <w:marTop w:val="0"/>
      <w:marBottom w:val="0"/>
      <w:divBdr>
        <w:top w:val="none" w:sz="0" w:space="0" w:color="auto"/>
        <w:left w:val="none" w:sz="0" w:space="0" w:color="auto"/>
        <w:bottom w:val="none" w:sz="0" w:space="0" w:color="auto"/>
        <w:right w:val="none" w:sz="0" w:space="0" w:color="auto"/>
      </w:divBdr>
    </w:div>
    <w:div w:id="722018602">
      <w:bodyDiv w:val="1"/>
      <w:marLeft w:val="0"/>
      <w:marRight w:val="0"/>
      <w:marTop w:val="0"/>
      <w:marBottom w:val="0"/>
      <w:divBdr>
        <w:top w:val="none" w:sz="0" w:space="0" w:color="auto"/>
        <w:left w:val="none" w:sz="0" w:space="0" w:color="auto"/>
        <w:bottom w:val="none" w:sz="0" w:space="0" w:color="auto"/>
        <w:right w:val="none" w:sz="0" w:space="0" w:color="auto"/>
      </w:divBdr>
    </w:div>
    <w:div w:id="832338318">
      <w:bodyDiv w:val="1"/>
      <w:marLeft w:val="0"/>
      <w:marRight w:val="0"/>
      <w:marTop w:val="0"/>
      <w:marBottom w:val="0"/>
      <w:divBdr>
        <w:top w:val="none" w:sz="0" w:space="0" w:color="auto"/>
        <w:left w:val="none" w:sz="0" w:space="0" w:color="auto"/>
        <w:bottom w:val="none" w:sz="0" w:space="0" w:color="auto"/>
        <w:right w:val="none" w:sz="0" w:space="0" w:color="auto"/>
      </w:divBdr>
    </w:div>
    <w:div w:id="867567420">
      <w:bodyDiv w:val="1"/>
      <w:marLeft w:val="0"/>
      <w:marRight w:val="0"/>
      <w:marTop w:val="0"/>
      <w:marBottom w:val="0"/>
      <w:divBdr>
        <w:top w:val="none" w:sz="0" w:space="0" w:color="auto"/>
        <w:left w:val="none" w:sz="0" w:space="0" w:color="auto"/>
        <w:bottom w:val="none" w:sz="0" w:space="0" w:color="auto"/>
        <w:right w:val="none" w:sz="0" w:space="0" w:color="auto"/>
      </w:divBdr>
    </w:div>
    <w:div w:id="888958502">
      <w:bodyDiv w:val="1"/>
      <w:marLeft w:val="0"/>
      <w:marRight w:val="0"/>
      <w:marTop w:val="0"/>
      <w:marBottom w:val="0"/>
      <w:divBdr>
        <w:top w:val="none" w:sz="0" w:space="0" w:color="auto"/>
        <w:left w:val="none" w:sz="0" w:space="0" w:color="auto"/>
        <w:bottom w:val="none" w:sz="0" w:space="0" w:color="auto"/>
        <w:right w:val="none" w:sz="0" w:space="0" w:color="auto"/>
      </w:divBdr>
    </w:div>
    <w:div w:id="980307504">
      <w:bodyDiv w:val="1"/>
      <w:marLeft w:val="0"/>
      <w:marRight w:val="0"/>
      <w:marTop w:val="0"/>
      <w:marBottom w:val="0"/>
      <w:divBdr>
        <w:top w:val="none" w:sz="0" w:space="0" w:color="auto"/>
        <w:left w:val="none" w:sz="0" w:space="0" w:color="auto"/>
        <w:bottom w:val="none" w:sz="0" w:space="0" w:color="auto"/>
        <w:right w:val="none" w:sz="0" w:space="0" w:color="auto"/>
      </w:divBdr>
    </w:div>
    <w:div w:id="1034308419">
      <w:bodyDiv w:val="1"/>
      <w:marLeft w:val="0"/>
      <w:marRight w:val="0"/>
      <w:marTop w:val="0"/>
      <w:marBottom w:val="0"/>
      <w:divBdr>
        <w:top w:val="none" w:sz="0" w:space="0" w:color="auto"/>
        <w:left w:val="none" w:sz="0" w:space="0" w:color="auto"/>
        <w:bottom w:val="none" w:sz="0" w:space="0" w:color="auto"/>
        <w:right w:val="none" w:sz="0" w:space="0" w:color="auto"/>
      </w:divBdr>
    </w:div>
    <w:div w:id="1072659384">
      <w:bodyDiv w:val="1"/>
      <w:marLeft w:val="0"/>
      <w:marRight w:val="0"/>
      <w:marTop w:val="0"/>
      <w:marBottom w:val="0"/>
      <w:divBdr>
        <w:top w:val="none" w:sz="0" w:space="0" w:color="auto"/>
        <w:left w:val="none" w:sz="0" w:space="0" w:color="auto"/>
        <w:bottom w:val="none" w:sz="0" w:space="0" w:color="auto"/>
        <w:right w:val="none" w:sz="0" w:space="0" w:color="auto"/>
      </w:divBdr>
    </w:div>
    <w:div w:id="1086994899">
      <w:bodyDiv w:val="1"/>
      <w:marLeft w:val="0"/>
      <w:marRight w:val="0"/>
      <w:marTop w:val="0"/>
      <w:marBottom w:val="0"/>
      <w:divBdr>
        <w:top w:val="none" w:sz="0" w:space="0" w:color="auto"/>
        <w:left w:val="none" w:sz="0" w:space="0" w:color="auto"/>
        <w:bottom w:val="none" w:sz="0" w:space="0" w:color="auto"/>
        <w:right w:val="none" w:sz="0" w:space="0" w:color="auto"/>
      </w:divBdr>
    </w:div>
    <w:div w:id="1118336665">
      <w:bodyDiv w:val="1"/>
      <w:marLeft w:val="0"/>
      <w:marRight w:val="0"/>
      <w:marTop w:val="0"/>
      <w:marBottom w:val="0"/>
      <w:divBdr>
        <w:top w:val="none" w:sz="0" w:space="0" w:color="auto"/>
        <w:left w:val="none" w:sz="0" w:space="0" w:color="auto"/>
        <w:bottom w:val="none" w:sz="0" w:space="0" w:color="auto"/>
        <w:right w:val="none" w:sz="0" w:space="0" w:color="auto"/>
      </w:divBdr>
    </w:div>
    <w:div w:id="1119647006">
      <w:bodyDiv w:val="1"/>
      <w:marLeft w:val="0"/>
      <w:marRight w:val="0"/>
      <w:marTop w:val="0"/>
      <w:marBottom w:val="0"/>
      <w:divBdr>
        <w:top w:val="none" w:sz="0" w:space="0" w:color="auto"/>
        <w:left w:val="none" w:sz="0" w:space="0" w:color="auto"/>
        <w:bottom w:val="none" w:sz="0" w:space="0" w:color="auto"/>
        <w:right w:val="none" w:sz="0" w:space="0" w:color="auto"/>
      </w:divBdr>
    </w:div>
    <w:div w:id="1130056343">
      <w:bodyDiv w:val="1"/>
      <w:marLeft w:val="0"/>
      <w:marRight w:val="0"/>
      <w:marTop w:val="0"/>
      <w:marBottom w:val="0"/>
      <w:divBdr>
        <w:top w:val="none" w:sz="0" w:space="0" w:color="auto"/>
        <w:left w:val="none" w:sz="0" w:space="0" w:color="auto"/>
        <w:bottom w:val="none" w:sz="0" w:space="0" w:color="auto"/>
        <w:right w:val="none" w:sz="0" w:space="0" w:color="auto"/>
      </w:divBdr>
      <w:divsChild>
        <w:div w:id="28381351">
          <w:marLeft w:val="547"/>
          <w:marRight w:val="0"/>
          <w:marTop w:val="60"/>
          <w:marBottom w:val="20"/>
          <w:divBdr>
            <w:top w:val="none" w:sz="0" w:space="0" w:color="auto"/>
            <w:left w:val="none" w:sz="0" w:space="0" w:color="auto"/>
            <w:bottom w:val="none" w:sz="0" w:space="0" w:color="auto"/>
            <w:right w:val="none" w:sz="0" w:space="0" w:color="auto"/>
          </w:divBdr>
        </w:div>
        <w:div w:id="29455353">
          <w:marLeft w:val="547"/>
          <w:marRight w:val="0"/>
          <w:marTop w:val="60"/>
          <w:marBottom w:val="20"/>
          <w:divBdr>
            <w:top w:val="none" w:sz="0" w:space="0" w:color="auto"/>
            <w:left w:val="none" w:sz="0" w:space="0" w:color="auto"/>
            <w:bottom w:val="none" w:sz="0" w:space="0" w:color="auto"/>
            <w:right w:val="none" w:sz="0" w:space="0" w:color="auto"/>
          </w:divBdr>
        </w:div>
        <w:div w:id="238102903">
          <w:marLeft w:val="547"/>
          <w:marRight w:val="0"/>
          <w:marTop w:val="60"/>
          <w:marBottom w:val="20"/>
          <w:divBdr>
            <w:top w:val="none" w:sz="0" w:space="0" w:color="auto"/>
            <w:left w:val="none" w:sz="0" w:space="0" w:color="auto"/>
            <w:bottom w:val="none" w:sz="0" w:space="0" w:color="auto"/>
            <w:right w:val="none" w:sz="0" w:space="0" w:color="auto"/>
          </w:divBdr>
        </w:div>
        <w:div w:id="668216268">
          <w:marLeft w:val="547"/>
          <w:marRight w:val="0"/>
          <w:marTop w:val="60"/>
          <w:marBottom w:val="20"/>
          <w:divBdr>
            <w:top w:val="none" w:sz="0" w:space="0" w:color="auto"/>
            <w:left w:val="none" w:sz="0" w:space="0" w:color="auto"/>
            <w:bottom w:val="none" w:sz="0" w:space="0" w:color="auto"/>
            <w:right w:val="none" w:sz="0" w:space="0" w:color="auto"/>
          </w:divBdr>
        </w:div>
        <w:div w:id="1261261073">
          <w:marLeft w:val="547"/>
          <w:marRight w:val="0"/>
          <w:marTop w:val="60"/>
          <w:marBottom w:val="20"/>
          <w:divBdr>
            <w:top w:val="none" w:sz="0" w:space="0" w:color="auto"/>
            <w:left w:val="none" w:sz="0" w:space="0" w:color="auto"/>
            <w:bottom w:val="none" w:sz="0" w:space="0" w:color="auto"/>
            <w:right w:val="none" w:sz="0" w:space="0" w:color="auto"/>
          </w:divBdr>
        </w:div>
        <w:div w:id="1341811583">
          <w:marLeft w:val="706"/>
          <w:marRight w:val="0"/>
          <w:marTop w:val="60"/>
          <w:marBottom w:val="0"/>
          <w:divBdr>
            <w:top w:val="none" w:sz="0" w:space="0" w:color="auto"/>
            <w:left w:val="none" w:sz="0" w:space="0" w:color="auto"/>
            <w:bottom w:val="none" w:sz="0" w:space="0" w:color="auto"/>
            <w:right w:val="none" w:sz="0" w:space="0" w:color="auto"/>
          </w:divBdr>
        </w:div>
        <w:div w:id="2127237890">
          <w:marLeft w:val="547"/>
          <w:marRight w:val="0"/>
          <w:marTop w:val="60"/>
          <w:marBottom w:val="20"/>
          <w:divBdr>
            <w:top w:val="none" w:sz="0" w:space="0" w:color="auto"/>
            <w:left w:val="none" w:sz="0" w:space="0" w:color="auto"/>
            <w:bottom w:val="none" w:sz="0" w:space="0" w:color="auto"/>
            <w:right w:val="none" w:sz="0" w:space="0" w:color="auto"/>
          </w:divBdr>
        </w:div>
      </w:divsChild>
    </w:div>
    <w:div w:id="1157919874">
      <w:bodyDiv w:val="1"/>
      <w:marLeft w:val="0"/>
      <w:marRight w:val="0"/>
      <w:marTop w:val="0"/>
      <w:marBottom w:val="0"/>
      <w:divBdr>
        <w:top w:val="none" w:sz="0" w:space="0" w:color="auto"/>
        <w:left w:val="none" w:sz="0" w:space="0" w:color="auto"/>
        <w:bottom w:val="none" w:sz="0" w:space="0" w:color="auto"/>
        <w:right w:val="none" w:sz="0" w:space="0" w:color="auto"/>
      </w:divBdr>
    </w:div>
    <w:div w:id="1183670125">
      <w:bodyDiv w:val="1"/>
      <w:marLeft w:val="0"/>
      <w:marRight w:val="0"/>
      <w:marTop w:val="0"/>
      <w:marBottom w:val="0"/>
      <w:divBdr>
        <w:top w:val="none" w:sz="0" w:space="0" w:color="auto"/>
        <w:left w:val="none" w:sz="0" w:space="0" w:color="auto"/>
        <w:bottom w:val="none" w:sz="0" w:space="0" w:color="auto"/>
        <w:right w:val="none" w:sz="0" w:space="0" w:color="auto"/>
      </w:divBdr>
    </w:div>
    <w:div w:id="1220550750">
      <w:bodyDiv w:val="1"/>
      <w:marLeft w:val="0"/>
      <w:marRight w:val="0"/>
      <w:marTop w:val="0"/>
      <w:marBottom w:val="0"/>
      <w:divBdr>
        <w:top w:val="none" w:sz="0" w:space="0" w:color="auto"/>
        <w:left w:val="none" w:sz="0" w:space="0" w:color="auto"/>
        <w:bottom w:val="none" w:sz="0" w:space="0" w:color="auto"/>
        <w:right w:val="none" w:sz="0" w:space="0" w:color="auto"/>
      </w:divBdr>
    </w:div>
    <w:div w:id="1226795864">
      <w:bodyDiv w:val="1"/>
      <w:marLeft w:val="0"/>
      <w:marRight w:val="0"/>
      <w:marTop w:val="0"/>
      <w:marBottom w:val="0"/>
      <w:divBdr>
        <w:top w:val="none" w:sz="0" w:space="0" w:color="auto"/>
        <w:left w:val="none" w:sz="0" w:space="0" w:color="auto"/>
        <w:bottom w:val="none" w:sz="0" w:space="0" w:color="auto"/>
        <w:right w:val="none" w:sz="0" w:space="0" w:color="auto"/>
      </w:divBdr>
    </w:div>
    <w:div w:id="1257327736">
      <w:bodyDiv w:val="1"/>
      <w:marLeft w:val="0"/>
      <w:marRight w:val="0"/>
      <w:marTop w:val="0"/>
      <w:marBottom w:val="0"/>
      <w:divBdr>
        <w:top w:val="none" w:sz="0" w:space="0" w:color="auto"/>
        <w:left w:val="none" w:sz="0" w:space="0" w:color="auto"/>
        <w:bottom w:val="none" w:sz="0" w:space="0" w:color="auto"/>
        <w:right w:val="none" w:sz="0" w:space="0" w:color="auto"/>
      </w:divBdr>
    </w:div>
    <w:div w:id="1270893603">
      <w:bodyDiv w:val="1"/>
      <w:marLeft w:val="0"/>
      <w:marRight w:val="0"/>
      <w:marTop w:val="0"/>
      <w:marBottom w:val="0"/>
      <w:divBdr>
        <w:top w:val="none" w:sz="0" w:space="0" w:color="auto"/>
        <w:left w:val="none" w:sz="0" w:space="0" w:color="auto"/>
        <w:bottom w:val="none" w:sz="0" w:space="0" w:color="auto"/>
        <w:right w:val="none" w:sz="0" w:space="0" w:color="auto"/>
      </w:divBdr>
    </w:div>
    <w:div w:id="1271551436">
      <w:bodyDiv w:val="1"/>
      <w:marLeft w:val="0"/>
      <w:marRight w:val="0"/>
      <w:marTop w:val="0"/>
      <w:marBottom w:val="0"/>
      <w:divBdr>
        <w:top w:val="none" w:sz="0" w:space="0" w:color="auto"/>
        <w:left w:val="none" w:sz="0" w:space="0" w:color="auto"/>
        <w:bottom w:val="none" w:sz="0" w:space="0" w:color="auto"/>
        <w:right w:val="none" w:sz="0" w:space="0" w:color="auto"/>
      </w:divBdr>
    </w:div>
    <w:div w:id="1305161536">
      <w:bodyDiv w:val="1"/>
      <w:marLeft w:val="0"/>
      <w:marRight w:val="0"/>
      <w:marTop w:val="0"/>
      <w:marBottom w:val="0"/>
      <w:divBdr>
        <w:top w:val="none" w:sz="0" w:space="0" w:color="auto"/>
        <w:left w:val="none" w:sz="0" w:space="0" w:color="auto"/>
        <w:bottom w:val="none" w:sz="0" w:space="0" w:color="auto"/>
        <w:right w:val="none" w:sz="0" w:space="0" w:color="auto"/>
      </w:divBdr>
    </w:div>
    <w:div w:id="1412699582">
      <w:bodyDiv w:val="1"/>
      <w:marLeft w:val="0"/>
      <w:marRight w:val="0"/>
      <w:marTop w:val="0"/>
      <w:marBottom w:val="0"/>
      <w:divBdr>
        <w:top w:val="none" w:sz="0" w:space="0" w:color="auto"/>
        <w:left w:val="none" w:sz="0" w:space="0" w:color="auto"/>
        <w:bottom w:val="none" w:sz="0" w:space="0" w:color="auto"/>
        <w:right w:val="none" w:sz="0" w:space="0" w:color="auto"/>
      </w:divBdr>
    </w:div>
    <w:div w:id="1444497044">
      <w:bodyDiv w:val="1"/>
      <w:marLeft w:val="0"/>
      <w:marRight w:val="0"/>
      <w:marTop w:val="0"/>
      <w:marBottom w:val="0"/>
      <w:divBdr>
        <w:top w:val="none" w:sz="0" w:space="0" w:color="auto"/>
        <w:left w:val="none" w:sz="0" w:space="0" w:color="auto"/>
        <w:bottom w:val="none" w:sz="0" w:space="0" w:color="auto"/>
        <w:right w:val="none" w:sz="0" w:space="0" w:color="auto"/>
      </w:divBdr>
    </w:div>
    <w:div w:id="1470517199">
      <w:bodyDiv w:val="1"/>
      <w:marLeft w:val="0"/>
      <w:marRight w:val="0"/>
      <w:marTop w:val="0"/>
      <w:marBottom w:val="0"/>
      <w:divBdr>
        <w:top w:val="none" w:sz="0" w:space="0" w:color="auto"/>
        <w:left w:val="none" w:sz="0" w:space="0" w:color="auto"/>
        <w:bottom w:val="none" w:sz="0" w:space="0" w:color="auto"/>
        <w:right w:val="none" w:sz="0" w:space="0" w:color="auto"/>
      </w:divBdr>
    </w:div>
    <w:div w:id="1651400521">
      <w:bodyDiv w:val="1"/>
      <w:marLeft w:val="0"/>
      <w:marRight w:val="0"/>
      <w:marTop w:val="0"/>
      <w:marBottom w:val="0"/>
      <w:divBdr>
        <w:top w:val="none" w:sz="0" w:space="0" w:color="auto"/>
        <w:left w:val="none" w:sz="0" w:space="0" w:color="auto"/>
        <w:bottom w:val="none" w:sz="0" w:space="0" w:color="auto"/>
        <w:right w:val="none" w:sz="0" w:space="0" w:color="auto"/>
      </w:divBdr>
    </w:div>
    <w:div w:id="1672028364">
      <w:bodyDiv w:val="1"/>
      <w:marLeft w:val="0"/>
      <w:marRight w:val="0"/>
      <w:marTop w:val="0"/>
      <w:marBottom w:val="0"/>
      <w:divBdr>
        <w:top w:val="none" w:sz="0" w:space="0" w:color="auto"/>
        <w:left w:val="none" w:sz="0" w:space="0" w:color="auto"/>
        <w:bottom w:val="none" w:sz="0" w:space="0" w:color="auto"/>
        <w:right w:val="none" w:sz="0" w:space="0" w:color="auto"/>
      </w:divBdr>
    </w:div>
    <w:div w:id="1705206526">
      <w:bodyDiv w:val="1"/>
      <w:marLeft w:val="0"/>
      <w:marRight w:val="0"/>
      <w:marTop w:val="0"/>
      <w:marBottom w:val="0"/>
      <w:divBdr>
        <w:top w:val="none" w:sz="0" w:space="0" w:color="auto"/>
        <w:left w:val="none" w:sz="0" w:space="0" w:color="auto"/>
        <w:bottom w:val="none" w:sz="0" w:space="0" w:color="auto"/>
        <w:right w:val="none" w:sz="0" w:space="0" w:color="auto"/>
      </w:divBdr>
    </w:div>
    <w:div w:id="1706442385">
      <w:bodyDiv w:val="1"/>
      <w:marLeft w:val="0"/>
      <w:marRight w:val="0"/>
      <w:marTop w:val="0"/>
      <w:marBottom w:val="0"/>
      <w:divBdr>
        <w:top w:val="none" w:sz="0" w:space="0" w:color="auto"/>
        <w:left w:val="none" w:sz="0" w:space="0" w:color="auto"/>
        <w:bottom w:val="none" w:sz="0" w:space="0" w:color="auto"/>
        <w:right w:val="none" w:sz="0" w:space="0" w:color="auto"/>
      </w:divBdr>
    </w:div>
    <w:div w:id="1708290686">
      <w:bodyDiv w:val="1"/>
      <w:marLeft w:val="0"/>
      <w:marRight w:val="0"/>
      <w:marTop w:val="0"/>
      <w:marBottom w:val="0"/>
      <w:divBdr>
        <w:top w:val="none" w:sz="0" w:space="0" w:color="auto"/>
        <w:left w:val="none" w:sz="0" w:space="0" w:color="auto"/>
        <w:bottom w:val="none" w:sz="0" w:space="0" w:color="auto"/>
        <w:right w:val="none" w:sz="0" w:space="0" w:color="auto"/>
      </w:divBdr>
    </w:div>
    <w:div w:id="1726562797">
      <w:bodyDiv w:val="1"/>
      <w:marLeft w:val="0"/>
      <w:marRight w:val="0"/>
      <w:marTop w:val="0"/>
      <w:marBottom w:val="0"/>
      <w:divBdr>
        <w:top w:val="none" w:sz="0" w:space="0" w:color="auto"/>
        <w:left w:val="none" w:sz="0" w:space="0" w:color="auto"/>
        <w:bottom w:val="none" w:sz="0" w:space="0" w:color="auto"/>
        <w:right w:val="none" w:sz="0" w:space="0" w:color="auto"/>
      </w:divBdr>
    </w:div>
    <w:div w:id="1739747811">
      <w:bodyDiv w:val="1"/>
      <w:marLeft w:val="0"/>
      <w:marRight w:val="0"/>
      <w:marTop w:val="0"/>
      <w:marBottom w:val="0"/>
      <w:divBdr>
        <w:top w:val="none" w:sz="0" w:space="0" w:color="auto"/>
        <w:left w:val="none" w:sz="0" w:space="0" w:color="auto"/>
        <w:bottom w:val="none" w:sz="0" w:space="0" w:color="auto"/>
        <w:right w:val="none" w:sz="0" w:space="0" w:color="auto"/>
      </w:divBdr>
      <w:divsChild>
        <w:div w:id="839858489">
          <w:marLeft w:val="0"/>
          <w:marRight w:val="0"/>
          <w:marTop w:val="0"/>
          <w:marBottom w:val="0"/>
          <w:divBdr>
            <w:top w:val="none" w:sz="0" w:space="0" w:color="auto"/>
            <w:left w:val="none" w:sz="0" w:space="0" w:color="auto"/>
            <w:bottom w:val="none" w:sz="0" w:space="0" w:color="auto"/>
            <w:right w:val="none" w:sz="0" w:space="0" w:color="auto"/>
          </w:divBdr>
          <w:divsChild>
            <w:div w:id="1684479516">
              <w:marLeft w:val="0"/>
              <w:marRight w:val="0"/>
              <w:marTop w:val="0"/>
              <w:marBottom w:val="0"/>
              <w:divBdr>
                <w:top w:val="none" w:sz="0" w:space="0" w:color="auto"/>
                <w:left w:val="none" w:sz="0" w:space="0" w:color="auto"/>
                <w:bottom w:val="none" w:sz="0" w:space="0" w:color="auto"/>
                <w:right w:val="none" w:sz="0" w:space="0" w:color="auto"/>
              </w:divBdr>
              <w:divsChild>
                <w:div w:id="1066227530">
                  <w:marLeft w:val="0"/>
                  <w:marRight w:val="0"/>
                  <w:marTop w:val="0"/>
                  <w:marBottom w:val="0"/>
                  <w:divBdr>
                    <w:top w:val="none" w:sz="0" w:space="0" w:color="auto"/>
                    <w:left w:val="none" w:sz="0" w:space="0" w:color="auto"/>
                    <w:bottom w:val="none" w:sz="0" w:space="0" w:color="auto"/>
                    <w:right w:val="none" w:sz="0" w:space="0" w:color="auto"/>
                  </w:divBdr>
                  <w:divsChild>
                    <w:div w:id="599877901">
                      <w:marLeft w:val="0"/>
                      <w:marRight w:val="0"/>
                      <w:marTop w:val="0"/>
                      <w:marBottom w:val="0"/>
                      <w:divBdr>
                        <w:top w:val="none" w:sz="0" w:space="0" w:color="auto"/>
                        <w:left w:val="none" w:sz="0" w:space="0" w:color="auto"/>
                        <w:bottom w:val="none" w:sz="0" w:space="0" w:color="auto"/>
                        <w:right w:val="none" w:sz="0" w:space="0" w:color="auto"/>
                      </w:divBdr>
                      <w:divsChild>
                        <w:div w:id="1987516232">
                          <w:marLeft w:val="0"/>
                          <w:marRight w:val="0"/>
                          <w:marTop w:val="0"/>
                          <w:marBottom w:val="0"/>
                          <w:divBdr>
                            <w:top w:val="single" w:sz="18" w:space="0" w:color="auto"/>
                            <w:left w:val="single" w:sz="18" w:space="0" w:color="auto"/>
                            <w:bottom w:val="single" w:sz="18" w:space="0" w:color="auto"/>
                            <w:right w:val="single" w:sz="18" w:space="0" w:color="auto"/>
                          </w:divBdr>
                          <w:divsChild>
                            <w:div w:id="1847397553">
                              <w:marLeft w:val="0"/>
                              <w:marRight w:val="0"/>
                              <w:marTop w:val="0"/>
                              <w:marBottom w:val="0"/>
                              <w:divBdr>
                                <w:top w:val="none" w:sz="0" w:space="0" w:color="auto"/>
                                <w:left w:val="none" w:sz="0" w:space="0" w:color="auto"/>
                                <w:bottom w:val="none" w:sz="0" w:space="0" w:color="auto"/>
                                <w:right w:val="none" w:sz="0" w:space="0" w:color="auto"/>
                              </w:divBdr>
                              <w:divsChild>
                                <w:div w:id="1239438945">
                                  <w:marLeft w:val="0"/>
                                  <w:marRight w:val="0"/>
                                  <w:marTop w:val="0"/>
                                  <w:marBottom w:val="0"/>
                                  <w:divBdr>
                                    <w:top w:val="none" w:sz="0" w:space="0" w:color="auto"/>
                                    <w:left w:val="none" w:sz="0" w:space="0" w:color="auto"/>
                                    <w:bottom w:val="none" w:sz="0" w:space="0" w:color="auto"/>
                                    <w:right w:val="none" w:sz="0" w:space="0" w:color="auto"/>
                                  </w:divBdr>
                                  <w:divsChild>
                                    <w:div w:id="1658072052">
                                      <w:marLeft w:val="0"/>
                                      <w:marRight w:val="0"/>
                                      <w:marTop w:val="0"/>
                                      <w:marBottom w:val="0"/>
                                      <w:divBdr>
                                        <w:top w:val="none" w:sz="0" w:space="0" w:color="auto"/>
                                        <w:left w:val="none" w:sz="0" w:space="0" w:color="auto"/>
                                        <w:bottom w:val="none" w:sz="0" w:space="0" w:color="auto"/>
                                        <w:right w:val="none" w:sz="0" w:space="0" w:color="auto"/>
                                      </w:divBdr>
                                      <w:divsChild>
                                        <w:div w:id="162816266">
                                          <w:marLeft w:val="0"/>
                                          <w:marRight w:val="0"/>
                                          <w:marTop w:val="0"/>
                                          <w:marBottom w:val="0"/>
                                          <w:divBdr>
                                            <w:top w:val="none" w:sz="0" w:space="0" w:color="auto"/>
                                            <w:left w:val="none" w:sz="0" w:space="0" w:color="auto"/>
                                            <w:bottom w:val="none" w:sz="0" w:space="0" w:color="auto"/>
                                            <w:right w:val="none" w:sz="0" w:space="0" w:color="auto"/>
                                          </w:divBdr>
                                          <w:divsChild>
                                            <w:div w:id="971903671">
                                              <w:marLeft w:val="0"/>
                                              <w:marRight w:val="0"/>
                                              <w:marTop w:val="0"/>
                                              <w:marBottom w:val="0"/>
                                              <w:divBdr>
                                                <w:top w:val="none" w:sz="0" w:space="0" w:color="auto"/>
                                                <w:left w:val="none" w:sz="0" w:space="0" w:color="auto"/>
                                                <w:bottom w:val="none" w:sz="0" w:space="0" w:color="auto"/>
                                                <w:right w:val="none" w:sz="0" w:space="0" w:color="auto"/>
                                              </w:divBdr>
                                              <w:divsChild>
                                                <w:div w:id="627659990">
                                                  <w:marLeft w:val="0"/>
                                                  <w:marRight w:val="0"/>
                                                  <w:marTop w:val="0"/>
                                                  <w:marBottom w:val="0"/>
                                                  <w:divBdr>
                                                    <w:top w:val="none" w:sz="0" w:space="0" w:color="auto"/>
                                                    <w:left w:val="none" w:sz="0" w:space="0" w:color="auto"/>
                                                    <w:bottom w:val="none" w:sz="0" w:space="0" w:color="auto"/>
                                                    <w:right w:val="none" w:sz="0" w:space="0" w:color="auto"/>
                                                  </w:divBdr>
                                                  <w:divsChild>
                                                    <w:div w:id="1356618889">
                                                      <w:marLeft w:val="0"/>
                                                      <w:marRight w:val="0"/>
                                                      <w:marTop w:val="0"/>
                                                      <w:marBottom w:val="0"/>
                                                      <w:divBdr>
                                                        <w:top w:val="none" w:sz="0" w:space="0" w:color="auto"/>
                                                        <w:left w:val="none" w:sz="0" w:space="0" w:color="auto"/>
                                                        <w:bottom w:val="none" w:sz="0" w:space="0" w:color="auto"/>
                                                        <w:right w:val="none" w:sz="0" w:space="0" w:color="auto"/>
                                                      </w:divBdr>
                                                      <w:divsChild>
                                                        <w:div w:id="1890416333">
                                                          <w:marLeft w:val="0"/>
                                                          <w:marRight w:val="0"/>
                                                          <w:marTop w:val="0"/>
                                                          <w:marBottom w:val="0"/>
                                                          <w:divBdr>
                                                            <w:top w:val="none" w:sz="0" w:space="0" w:color="auto"/>
                                                            <w:left w:val="none" w:sz="0" w:space="0" w:color="auto"/>
                                                            <w:bottom w:val="none" w:sz="0" w:space="0" w:color="auto"/>
                                                            <w:right w:val="none" w:sz="0" w:space="0" w:color="auto"/>
                                                          </w:divBdr>
                                                          <w:divsChild>
                                                            <w:div w:id="161049764">
                                                              <w:marLeft w:val="0"/>
                                                              <w:marRight w:val="0"/>
                                                              <w:marTop w:val="0"/>
                                                              <w:marBottom w:val="0"/>
                                                              <w:divBdr>
                                                                <w:top w:val="none" w:sz="0" w:space="0" w:color="auto"/>
                                                                <w:left w:val="none" w:sz="0" w:space="0" w:color="auto"/>
                                                                <w:bottom w:val="none" w:sz="0" w:space="0" w:color="auto"/>
                                                                <w:right w:val="none" w:sz="0" w:space="0" w:color="auto"/>
                                                              </w:divBdr>
                                                              <w:divsChild>
                                                                <w:div w:id="970283121">
                                                                  <w:marLeft w:val="0"/>
                                                                  <w:marRight w:val="0"/>
                                                                  <w:marTop w:val="0"/>
                                                                  <w:marBottom w:val="0"/>
                                                                  <w:divBdr>
                                                                    <w:top w:val="none" w:sz="0" w:space="0" w:color="auto"/>
                                                                    <w:left w:val="none" w:sz="0" w:space="0" w:color="auto"/>
                                                                    <w:bottom w:val="none" w:sz="0" w:space="0" w:color="auto"/>
                                                                    <w:right w:val="none" w:sz="0" w:space="0" w:color="auto"/>
                                                                  </w:divBdr>
                                                                  <w:divsChild>
                                                                    <w:div w:id="1364557341">
                                                                      <w:marLeft w:val="0"/>
                                                                      <w:marRight w:val="0"/>
                                                                      <w:marTop w:val="0"/>
                                                                      <w:marBottom w:val="0"/>
                                                                      <w:divBdr>
                                                                        <w:top w:val="none" w:sz="0" w:space="0" w:color="auto"/>
                                                                        <w:left w:val="none" w:sz="0" w:space="0" w:color="auto"/>
                                                                        <w:bottom w:val="none" w:sz="0" w:space="0" w:color="auto"/>
                                                                        <w:right w:val="none" w:sz="0" w:space="0" w:color="auto"/>
                                                                      </w:divBdr>
                                                                      <w:divsChild>
                                                                        <w:div w:id="626620880">
                                                                          <w:marLeft w:val="0"/>
                                                                          <w:marRight w:val="0"/>
                                                                          <w:marTop w:val="0"/>
                                                                          <w:marBottom w:val="0"/>
                                                                          <w:divBdr>
                                                                            <w:top w:val="single" w:sz="24" w:space="0" w:color="auto"/>
                                                                            <w:left w:val="single" w:sz="24" w:space="0" w:color="auto"/>
                                                                            <w:bottom w:val="single" w:sz="24" w:space="0" w:color="auto"/>
                                                                            <w:right w:val="single" w:sz="24" w:space="0" w:color="auto"/>
                                                                          </w:divBdr>
                                                                          <w:divsChild>
                                                                            <w:div w:id="135537874">
                                                                              <w:marLeft w:val="0"/>
                                                                              <w:marRight w:val="0"/>
                                                                              <w:marTop w:val="0"/>
                                                                              <w:marBottom w:val="0"/>
                                                                              <w:divBdr>
                                                                                <w:top w:val="single" w:sz="24" w:space="0" w:color="auto"/>
                                                                                <w:left w:val="single" w:sz="24" w:space="0" w:color="auto"/>
                                                                                <w:bottom w:val="single" w:sz="24" w:space="0" w:color="auto"/>
                                                                                <w:right w:val="single" w:sz="24" w:space="0" w:color="auto"/>
                                                                              </w:divBdr>
                                                                              <w:divsChild>
                                                                                <w:div w:id="1386876295">
                                                                                  <w:marLeft w:val="0"/>
                                                                                  <w:marRight w:val="0"/>
                                                                                  <w:marTop w:val="0"/>
                                                                                  <w:marBottom w:val="0"/>
                                                                                  <w:divBdr>
                                                                                    <w:top w:val="none" w:sz="0" w:space="0" w:color="auto"/>
                                                                                    <w:left w:val="none" w:sz="0" w:space="0" w:color="auto"/>
                                                                                    <w:bottom w:val="none" w:sz="0" w:space="0" w:color="auto"/>
                                                                                    <w:right w:val="none" w:sz="0" w:space="0" w:color="auto"/>
                                                                                  </w:divBdr>
                                                                                  <w:divsChild>
                                                                                    <w:div w:id="1332105518">
                                                                                      <w:marLeft w:val="0"/>
                                                                                      <w:marRight w:val="0"/>
                                                                                      <w:marTop w:val="0"/>
                                                                                      <w:marBottom w:val="0"/>
                                                                                      <w:divBdr>
                                                                                        <w:top w:val="none" w:sz="0" w:space="0" w:color="auto"/>
                                                                                        <w:left w:val="none" w:sz="0" w:space="0" w:color="auto"/>
                                                                                        <w:bottom w:val="none" w:sz="0" w:space="0" w:color="auto"/>
                                                                                        <w:right w:val="none" w:sz="0" w:space="0" w:color="auto"/>
                                                                                      </w:divBdr>
                                                                                      <w:divsChild>
                                                                                        <w:div w:id="141770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530286">
          <w:marLeft w:val="0"/>
          <w:marRight w:val="0"/>
          <w:marTop w:val="0"/>
          <w:marBottom w:val="0"/>
          <w:divBdr>
            <w:top w:val="none" w:sz="0" w:space="0" w:color="auto"/>
            <w:left w:val="none" w:sz="0" w:space="0" w:color="auto"/>
            <w:bottom w:val="none" w:sz="0" w:space="0" w:color="auto"/>
            <w:right w:val="none" w:sz="0" w:space="0" w:color="auto"/>
          </w:divBdr>
          <w:divsChild>
            <w:div w:id="2132818083">
              <w:marLeft w:val="0"/>
              <w:marRight w:val="0"/>
              <w:marTop w:val="0"/>
              <w:marBottom w:val="0"/>
              <w:divBdr>
                <w:top w:val="none" w:sz="0" w:space="0" w:color="auto"/>
                <w:left w:val="none" w:sz="0" w:space="0" w:color="auto"/>
                <w:bottom w:val="none" w:sz="0" w:space="0" w:color="auto"/>
                <w:right w:val="none" w:sz="0" w:space="0" w:color="auto"/>
              </w:divBdr>
              <w:divsChild>
                <w:div w:id="1025982285">
                  <w:marLeft w:val="0"/>
                  <w:marRight w:val="0"/>
                  <w:marTop w:val="0"/>
                  <w:marBottom w:val="0"/>
                  <w:divBdr>
                    <w:top w:val="none" w:sz="0" w:space="0" w:color="auto"/>
                    <w:left w:val="none" w:sz="0" w:space="0" w:color="auto"/>
                    <w:bottom w:val="none" w:sz="0" w:space="0" w:color="auto"/>
                    <w:right w:val="none" w:sz="0" w:space="0" w:color="auto"/>
                  </w:divBdr>
                  <w:divsChild>
                    <w:div w:id="1275210766">
                      <w:marLeft w:val="0"/>
                      <w:marRight w:val="0"/>
                      <w:marTop w:val="0"/>
                      <w:marBottom w:val="0"/>
                      <w:divBdr>
                        <w:top w:val="none" w:sz="0" w:space="0" w:color="auto"/>
                        <w:left w:val="none" w:sz="0" w:space="0" w:color="auto"/>
                        <w:bottom w:val="none" w:sz="0" w:space="0" w:color="auto"/>
                        <w:right w:val="none" w:sz="0" w:space="0" w:color="auto"/>
                      </w:divBdr>
                      <w:divsChild>
                        <w:div w:id="760565908">
                          <w:marLeft w:val="0"/>
                          <w:marRight w:val="0"/>
                          <w:marTop w:val="0"/>
                          <w:marBottom w:val="0"/>
                          <w:divBdr>
                            <w:top w:val="none" w:sz="0" w:space="0" w:color="auto"/>
                            <w:left w:val="none" w:sz="0" w:space="0" w:color="auto"/>
                            <w:bottom w:val="none" w:sz="0" w:space="0" w:color="auto"/>
                            <w:right w:val="none" w:sz="0" w:space="0" w:color="auto"/>
                          </w:divBdr>
                          <w:divsChild>
                            <w:div w:id="1077897477">
                              <w:marLeft w:val="0"/>
                              <w:marRight w:val="0"/>
                              <w:marTop w:val="0"/>
                              <w:marBottom w:val="0"/>
                              <w:divBdr>
                                <w:top w:val="none" w:sz="0" w:space="0" w:color="auto"/>
                                <w:left w:val="none" w:sz="0" w:space="0" w:color="auto"/>
                                <w:bottom w:val="none" w:sz="0" w:space="0" w:color="auto"/>
                                <w:right w:val="none" w:sz="0" w:space="0" w:color="auto"/>
                              </w:divBdr>
                              <w:divsChild>
                                <w:div w:id="931670358">
                                  <w:marLeft w:val="0"/>
                                  <w:marRight w:val="0"/>
                                  <w:marTop w:val="0"/>
                                  <w:marBottom w:val="0"/>
                                  <w:divBdr>
                                    <w:top w:val="none" w:sz="0" w:space="0" w:color="auto"/>
                                    <w:left w:val="none" w:sz="0" w:space="0" w:color="auto"/>
                                    <w:bottom w:val="none" w:sz="0" w:space="0" w:color="auto"/>
                                    <w:right w:val="none" w:sz="0" w:space="0" w:color="auto"/>
                                  </w:divBdr>
                                </w:div>
                                <w:div w:id="1831746709">
                                  <w:marLeft w:val="0"/>
                                  <w:marRight w:val="0"/>
                                  <w:marTop w:val="0"/>
                                  <w:marBottom w:val="0"/>
                                  <w:divBdr>
                                    <w:top w:val="none" w:sz="0" w:space="0" w:color="auto"/>
                                    <w:left w:val="none" w:sz="0" w:space="0" w:color="auto"/>
                                    <w:bottom w:val="none" w:sz="0" w:space="0" w:color="auto"/>
                                    <w:right w:val="none" w:sz="0" w:space="0" w:color="auto"/>
                                  </w:divBdr>
                                </w:div>
                              </w:divsChild>
                            </w:div>
                            <w:div w:id="1363432525">
                              <w:marLeft w:val="0"/>
                              <w:marRight w:val="0"/>
                              <w:marTop w:val="0"/>
                              <w:marBottom w:val="0"/>
                              <w:divBdr>
                                <w:top w:val="none" w:sz="0" w:space="0" w:color="auto"/>
                                <w:left w:val="none" w:sz="0" w:space="0" w:color="auto"/>
                                <w:bottom w:val="none" w:sz="0" w:space="0" w:color="auto"/>
                                <w:right w:val="none" w:sz="0" w:space="0" w:color="auto"/>
                              </w:divBdr>
                              <w:divsChild>
                                <w:div w:id="2105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476726">
      <w:bodyDiv w:val="1"/>
      <w:marLeft w:val="0"/>
      <w:marRight w:val="0"/>
      <w:marTop w:val="0"/>
      <w:marBottom w:val="0"/>
      <w:divBdr>
        <w:top w:val="none" w:sz="0" w:space="0" w:color="auto"/>
        <w:left w:val="none" w:sz="0" w:space="0" w:color="auto"/>
        <w:bottom w:val="none" w:sz="0" w:space="0" w:color="auto"/>
        <w:right w:val="none" w:sz="0" w:space="0" w:color="auto"/>
      </w:divBdr>
    </w:div>
    <w:div w:id="1759325882">
      <w:bodyDiv w:val="1"/>
      <w:marLeft w:val="0"/>
      <w:marRight w:val="0"/>
      <w:marTop w:val="0"/>
      <w:marBottom w:val="0"/>
      <w:divBdr>
        <w:top w:val="none" w:sz="0" w:space="0" w:color="auto"/>
        <w:left w:val="none" w:sz="0" w:space="0" w:color="auto"/>
        <w:bottom w:val="none" w:sz="0" w:space="0" w:color="auto"/>
        <w:right w:val="none" w:sz="0" w:space="0" w:color="auto"/>
      </w:divBdr>
    </w:div>
    <w:div w:id="1873417613">
      <w:bodyDiv w:val="1"/>
      <w:marLeft w:val="0"/>
      <w:marRight w:val="0"/>
      <w:marTop w:val="0"/>
      <w:marBottom w:val="0"/>
      <w:divBdr>
        <w:top w:val="none" w:sz="0" w:space="0" w:color="auto"/>
        <w:left w:val="none" w:sz="0" w:space="0" w:color="auto"/>
        <w:bottom w:val="none" w:sz="0" w:space="0" w:color="auto"/>
        <w:right w:val="none" w:sz="0" w:space="0" w:color="auto"/>
      </w:divBdr>
    </w:div>
    <w:div w:id="1879080796">
      <w:bodyDiv w:val="1"/>
      <w:marLeft w:val="0"/>
      <w:marRight w:val="0"/>
      <w:marTop w:val="0"/>
      <w:marBottom w:val="0"/>
      <w:divBdr>
        <w:top w:val="none" w:sz="0" w:space="0" w:color="auto"/>
        <w:left w:val="none" w:sz="0" w:space="0" w:color="auto"/>
        <w:bottom w:val="none" w:sz="0" w:space="0" w:color="auto"/>
        <w:right w:val="none" w:sz="0" w:space="0" w:color="auto"/>
      </w:divBdr>
    </w:div>
    <w:div w:id="1892227425">
      <w:bodyDiv w:val="1"/>
      <w:marLeft w:val="0"/>
      <w:marRight w:val="0"/>
      <w:marTop w:val="0"/>
      <w:marBottom w:val="0"/>
      <w:divBdr>
        <w:top w:val="none" w:sz="0" w:space="0" w:color="auto"/>
        <w:left w:val="none" w:sz="0" w:space="0" w:color="auto"/>
        <w:bottom w:val="none" w:sz="0" w:space="0" w:color="auto"/>
        <w:right w:val="none" w:sz="0" w:space="0" w:color="auto"/>
      </w:divBdr>
    </w:div>
    <w:div w:id="1893539021">
      <w:bodyDiv w:val="1"/>
      <w:marLeft w:val="0"/>
      <w:marRight w:val="0"/>
      <w:marTop w:val="0"/>
      <w:marBottom w:val="0"/>
      <w:divBdr>
        <w:top w:val="none" w:sz="0" w:space="0" w:color="auto"/>
        <w:left w:val="none" w:sz="0" w:space="0" w:color="auto"/>
        <w:bottom w:val="none" w:sz="0" w:space="0" w:color="auto"/>
        <w:right w:val="none" w:sz="0" w:space="0" w:color="auto"/>
      </w:divBdr>
    </w:div>
    <w:div w:id="2013949110">
      <w:bodyDiv w:val="1"/>
      <w:marLeft w:val="0"/>
      <w:marRight w:val="0"/>
      <w:marTop w:val="0"/>
      <w:marBottom w:val="0"/>
      <w:divBdr>
        <w:top w:val="none" w:sz="0" w:space="0" w:color="auto"/>
        <w:left w:val="none" w:sz="0" w:space="0" w:color="auto"/>
        <w:bottom w:val="none" w:sz="0" w:space="0" w:color="auto"/>
        <w:right w:val="none" w:sz="0" w:space="0" w:color="auto"/>
      </w:divBdr>
    </w:div>
    <w:div w:id="2016418888">
      <w:bodyDiv w:val="1"/>
      <w:marLeft w:val="0"/>
      <w:marRight w:val="0"/>
      <w:marTop w:val="0"/>
      <w:marBottom w:val="0"/>
      <w:divBdr>
        <w:top w:val="none" w:sz="0" w:space="0" w:color="auto"/>
        <w:left w:val="none" w:sz="0" w:space="0" w:color="auto"/>
        <w:bottom w:val="none" w:sz="0" w:space="0" w:color="auto"/>
        <w:right w:val="none" w:sz="0" w:space="0" w:color="auto"/>
      </w:divBdr>
    </w:div>
    <w:div w:id="2067097706">
      <w:bodyDiv w:val="1"/>
      <w:marLeft w:val="0"/>
      <w:marRight w:val="0"/>
      <w:marTop w:val="0"/>
      <w:marBottom w:val="0"/>
      <w:divBdr>
        <w:top w:val="none" w:sz="0" w:space="0" w:color="auto"/>
        <w:left w:val="none" w:sz="0" w:space="0" w:color="auto"/>
        <w:bottom w:val="none" w:sz="0" w:space="0" w:color="auto"/>
        <w:right w:val="none" w:sz="0" w:space="0" w:color="auto"/>
      </w:divBdr>
    </w:div>
    <w:div w:id="2069913127">
      <w:bodyDiv w:val="1"/>
      <w:marLeft w:val="0"/>
      <w:marRight w:val="0"/>
      <w:marTop w:val="0"/>
      <w:marBottom w:val="0"/>
      <w:divBdr>
        <w:top w:val="none" w:sz="0" w:space="0" w:color="auto"/>
        <w:left w:val="none" w:sz="0" w:space="0" w:color="auto"/>
        <w:bottom w:val="none" w:sz="0" w:space="0" w:color="auto"/>
        <w:right w:val="none" w:sz="0" w:space="0" w:color="auto"/>
      </w:divBdr>
    </w:div>
    <w:div w:id="207127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8.png"/><Relationship Id="rId21" Type="http://schemas.openxmlformats.org/officeDocument/2006/relationships/footer" Target="footer4.xml"/><Relationship Id="rId42" Type="http://schemas.openxmlformats.org/officeDocument/2006/relationships/chart" Target="charts/chart4.xml"/><Relationship Id="rId63" Type="http://schemas.openxmlformats.org/officeDocument/2006/relationships/image" Target="media/image23.png"/><Relationship Id="rId84" Type="http://schemas.openxmlformats.org/officeDocument/2006/relationships/hyperlink" Target="https://www.cqu.edu.au/about-us" TargetMode="External"/><Relationship Id="rId138" Type="http://schemas.openxmlformats.org/officeDocument/2006/relationships/chart" Target="charts/chart32.xml"/><Relationship Id="rId159" Type="http://schemas.openxmlformats.org/officeDocument/2006/relationships/hyperlink" Target="https://www.dewr.gov.au/australian-apprenticeships/resources/strategic-review-australian-apprenticeships-incentive-system-background-paper" TargetMode="External"/><Relationship Id="rId170" Type="http://schemas.openxmlformats.org/officeDocument/2006/relationships/footer" Target="footer9.xml"/><Relationship Id="rId107" Type="http://schemas.openxmlformats.org/officeDocument/2006/relationships/hyperlink" Target="https://www.newcastle.edu.au/campus-life" TargetMode="External"/><Relationship Id="rId11" Type="http://schemas.openxmlformats.org/officeDocument/2006/relationships/header" Target="header1.xml"/><Relationship Id="rId32" Type="http://schemas.openxmlformats.org/officeDocument/2006/relationships/image" Target="media/image8.png"/><Relationship Id="rId53" Type="http://schemas.openxmlformats.org/officeDocument/2006/relationships/chart" Target="charts/chart8.xml"/><Relationship Id="rId74" Type="http://schemas.openxmlformats.org/officeDocument/2006/relationships/hyperlink" Target="https://www.jobsandskills.gov.au/data/nero" TargetMode="External"/><Relationship Id="rId128" Type="http://schemas.openxmlformats.org/officeDocument/2006/relationships/header" Target="header12.xml"/><Relationship Id="rId149" Type="http://schemas.openxmlformats.org/officeDocument/2006/relationships/hyperlink" Target="https://www.run.edu.au/about-us/" TargetMode="External"/><Relationship Id="rId5" Type="http://schemas.openxmlformats.org/officeDocument/2006/relationships/numbering" Target="numbering.xml"/><Relationship Id="rId95" Type="http://schemas.openxmlformats.org/officeDocument/2006/relationships/hyperlink" Target="https://www.unisq.edu.au/" TargetMode="External"/><Relationship Id="rId160" Type="http://schemas.openxmlformats.org/officeDocument/2006/relationships/hyperlink" Target="https://www.dewr.gov.au/australian-apprenticeships/resources/strategic-review-australian-apprenticeships-incentive-system-background-paper" TargetMode="External"/><Relationship Id="rId22" Type="http://schemas.openxmlformats.org/officeDocument/2006/relationships/footer" Target="footer5.xml"/><Relationship Id="rId43" Type="http://schemas.openxmlformats.org/officeDocument/2006/relationships/image" Target="media/image13.png"/><Relationship Id="rId64" Type="http://schemas.openxmlformats.org/officeDocument/2006/relationships/chart" Target="charts/chart11.xml"/><Relationship Id="rId118" Type="http://schemas.openxmlformats.org/officeDocument/2006/relationships/hyperlink" Target="https://app.powerbi.com/groups/me/apps/66412578-c889-4fc5-81f6-2dc8ff807b9f/reports/5bfb8e15-b93e-4ee4-b6fb-d7a7454b5edf/ReportSectionb31a2a2a74657c659528?ctid=dd0cfd15-4558-4b12-8bad-ea26984fc417&amp;experience=power-bi" TargetMode="External"/><Relationship Id="rId139" Type="http://schemas.openxmlformats.org/officeDocument/2006/relationships/chart" Target="charts/chart33.xml"/><Relationship Id="rId85" Type="http://schemas.openxmlformats.org/officeDocument/2006/relationships/hyperlink" Target="https://usq.edu.au/about-usq" TargetMode="External"/><Relationship Id="rId150" Type="http://schemas.openxmlformats.org/officeDocument/2006/relationships/hyperlink" Target="https://www.health.gov.au/our-work/specialist-training-program?language=en&amp;utm_source=health.gov.au&amp;utm_medium=callout-auto-custom&amp;utm_campaign=digital_transformation" TargetMode="External"/><Relationship Id="rId171" Type="http://schemas.openxmlformats.org/officeDocument/2006/relationships/hyperlink" Target="https://www.abs.gov.au/statistics/statistical-geography/australian-statistical-geography-standard-asgs" TargetMode="External"/><Relationship Id="rId12" Type="http://schemas.openxmlformats.org/officeDocument/2006/relationships/footer" Target="footer1.xml"/><Relationship Id="rId33" Type="http://schemas.openxmlformats.org/officeDocument/2006/relationships/header" Target="header6.xml"/><Relationship Id="rId108" Type="http://schemas.openxmlformats.org/officeDocument/2006/relationships/hyperlink" Target="https://ministers.education.gov.au/clare/ten-new-study-hubs-regional-australia" TargetMode="External"/><Relationship Id="rId129" Type="http://schemas.openxmlformats.org/officeDocument/2006/relationships/header" Target="header13.xml"/><Relationship Id="rId54" Type="http://schemas.openxmlformats.org/officeDocument/2006/relationships/chart" Target="charts/chart9.xml"/><Relationship Id="rId75" Type="http://schemas.openxmlformats.org/officeDocument/2006/relationships/chart" Target="charts/chart17.xml"/><Relationship Id="rId96" Type="http://schemas.openxmlformats.org/officeDocument/2006/relationships/hyperlink" Target="https://www.une.edu.au/campus-life" TargetMode="External"/><Relationship Id="rId140" Type="http://schemas.openxmlformats.org/officeDocument/2006/relationships/hyperlink" Target="https://www.health.gov.au/topics/rural-health-workforce/classifications/dpa" TargetMode="External"/><Relationship Id="rId161" Type="http://schemas.openxmlformats.org/officeDocument/2006/relationships/hyperlink" Target="https://education.nsw.gov.au/about-us/strategies-and-reports/our-reports-and-reviews/nsw-vocational-education-and-training-review"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jobsandskills.gov.au/data/internet-vacancy-index" TargetMode="External"/><Relationship Id="rId28" Type="http://schemas.openxmlformats.org/officeDocument/2006/relationships/image" Target="media/image6.png"/><Relationship Id="rId49" Type="http://schemas.openxmlformats.org/officeDocument/2006/relationships/image" Target="media/image17.svg"/><Relationship Id="rId114" Type="http://schemas.openxmlformats.org/officeDocument/2006/relationships/chart" Target="charts/chart26.xml"/><Relationship Id="rId119" Type="http://schemas.openxmlformats.org/officeDocument/2006/relationships/hyperlink" Target="https://app.powerbi.com/groups/me/apps/66412578-c889-4fc5-81f6-2dc8ff807b9f/reports/5bfb8e15-b93e-4ee4-b6fb-d7a7454b5edf/ReportSectionb4614750c93744847354?ctid=dd0cfd15-4558-4b12-8bad-ea26984fc417&amp;experience=power-bi" TargetMode="External"/><Relationship Id="rId44" Type="http://schemas.openxmlformats.org/officeDocument/2006/relationships/chart" Target="charts/chart5.xml"/><Relationship Id="rId60" Type="http://schemas.openxmlformats.org/officeDocument/2006/relationships/footer" Target="footer7.xml"/><Relationship Id="rId65" Type="http://schemas.openxmlformats.org/officeDocument/2006/relationships/chart" Target="charts/chart12.xml"/><Relationship Id="rId81" Type="http://schemas.openxmlformats.org/officeDocument/2006/relationships/hyperlink" Target="https://www.run.edu.au/about-us/" TargetMode="External"/><Relationship Id="rId86" Type="http://schemas.openxmlformats.org/officeDocument/2006/relationships/hyperlink" Target="https://www.une.edu.au/about-une" TargetMode="External"/><Relationship Id="rId130" Type="http://schemas.openxmlformats.org/officeDocument/2006/relationships/header" Target="header14.xml"/><Relationship Id="rId135" Type="http://schemas.openxmlformats.org/officeDocument/2006/relationships/hyperlink" Target="https://rdasydney.org.au/mid-north-coast-childcare-in-crisis/" TargetMode="External"/><Relationship Id="rId151" Type="http://schemas.openxmlformats.org/officeDocument/2006/relationships/hyperlink" Target="https://www.jobsandskills.gov.au/data/skills-shortages-analysis/skills-priority-list" TargetMode="External"/><Relationship Id="rId156" Type="http://schemas.openxmlformats.org/officeDocument/2006/relationships/hyperlink" Target="https://www.dewr.gov.au/skills-reform/skills-reform-priorities/national-skills-agreement-vision-and-principles" TargetMode="External"/><Relationship Id="rId172" Type="http://schemas.openxmlformats.org/officeDocument/2006/relationships/hyperlink" Target="https://www.jobsandskills.gov.au/data/regional-labour-market-indicator" TargetMode="Externa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11.png"/><Relationship Id="rId109" Type="http://schemas.openxmlformats.org/officeDocument/2006/relationships/chart" Target="charts/chart21.xml"/><Relationship Id="rId34" Type="http://schemas.openxmlformats.org/officeDocument/2006/relationships/header" Target="header7.xml"/><Relationship Id="rId50" Type="http://schemas.openxmlformats.org/officeDocument/2006/relationships/image" Target="media/image18.png"/><Relationship Id="rId55" Type="http://schemas.openxmlformats.org/officeDocument/2006/relationships/chart" Target="charts/chart10.xml"/><Relationship Id="rId76" Type="http://schemas.openxmlformats.org/officeDocument/2006/relationships/image" Target="media/image27.png"/><Relationship Id="rId97" Type="http://schemas.openxmlformats.org/officeDocument/2006/relationships/hyperlink" Target="https://www.scu.edu.au/experience/explore-our-campuses/" TargetMode="External"/><Relationship Id="rId104" Type="http://schemas.openxmlformats.org/officeDocument/2006/relationships/hyperlink" Target="https://www.deakin.edu.au/about-deakin/locations/campuses" TargetMode="External"/><Relationship Id="rId120" Type="http://schemas.openxmlformats.org/officeDocument/2006/relationships/hyperlink" Target="https://app.powerbi.com/groups/me/apps/66412578-c889-4fc5-81f6-2dc8ff807b9f/reports/5bfb8e15-b93e-4ee4-b6fb-d7a7454b5edf/ReportSectionbed3f929ee7db17a86ae?ctid=dd0cfd15-4558-4b12-8bad-ea26984fc417&amp;experience=power-bi" TargetMode="External"/><Relationship Id="rId125" Type="http://schemas.openxmlformats.org/officeDocument/2006/relationships/chart" Target="charts/chart31.xml"/><Relationship Id="rId141" Type="http://schemas.openxmlformats.org/officeDocument/2006/relationships/hyperlink" Target="https://www.health.gov.au/topics/rural-health-workforce/classifications/dws" TargetMode="External"/><Relationship Id="rId146" Type="http://schemas.openxmlformats.org/officeDocument/2006/relationships/hyperlink" Target="https://mnclhd.health.nsw.gov.au/wp-content/uploads/MNCLHD-Strategic-Plan-web-spread-28-July-22-.pdf" TargetMode="External"/><Relationship Id="rId167" Type="http://schemas.openxmlformats.org/officeDocument/2006/relationships/header" Target="header15.xml"/><Relationship Id="rId7" Type="http://schemas.openxmlformats.org/officeDocument/2006/relationships/settings" Target="settings.xml"/><Relationship Id="rId71" Type="http://schemas.openxmlformats.org/officeDocument/2006/relationships/chart" Target="charts/chart15.xml"/><Relationship Id="rId92" Type="http://schemas.openxmlformats.org/officeDocument/2006/relationships/hyperlink" Target="https://www.cdu.edu.au/about-cdu" TargetMode="External"/><Relationship Id="rId162" Type="http://schemas.openxmlformats.org/officeDocument/2006/relationships/hyperlink" Target="https://sharedservicescentre.sharhttps:/www.vic.gov.au/victorian-skills-plan-2022/new-era-skillsepoint.com/sites/JSA-RegionalWorkforceAssessmentSection-TEAM/Shared%20Documents/General/Regional%20Jobs%20and%20Skills%20Road%20Map/Old" TargetMode="External"/><Relationship Id="rId2" Type="http://schemas.openxmlformats.org/officeDocument/2006/relationships/customXml" Target="../customXml/item2.xml"/><Relationship Id="rId29" Type="http://schemas.openxmlformats.org/officeDocument/2006/relationships/chart" Target="charts/chart1.xml"/><Relationship Id="rId24" Type="http://schemas.openxmlformats.org/officeDocument/2006/relationships/hyperlink" Target="https://www.jobsandskills.gov.au/data/recruitment-experiences-and-outlook-survey" TargetMode="External"/><Relationship Id="rId40" Type="http://schemas.openxmlformats.org/officeDocument/2006/relationships/image" Target="media/image12.png"/><Relationship Id="rId45" Type="http://schemas.openxmlformats.org/officeDocument/2006/relationships/chart" Target="charts/chart6.xml"/><Relationship Id="rId66" Type="http://schemas.openxmlformats.org/officeDocument/2006/relationships/chart" Target="charts/chart13.xml"/><Relationship Id="rId87" Type="http://schemas.openxmlformats.org/officeDocument/2006/relationships/hyperlink" Target="https://www.scu.edu.au/about/" TargetMode="External"/><Relationship Id="rId110" Type="http://schemas.openxmlformats.org/officeDocument/2006/relationships/chart" Target="charts/chart22.xml"/><Relationship Id="rId115" Type="http://schemas.openxmlformats.org/officeDocument/2006/relationships/hyperlink" Target="https://www.tcsisupport.gov.au/node/7907" TargetMode="External"/><Relationship Id="rId131" Type="http://schemas.openxmlformats.org/officeDocument/2006/relationships/footer" Target="footer8.xml"/><Relationship Id="rId136" Type="http://schemas.openxmlformats.org/officeDocument/2006/relationships/hyperlink" Target="https://www.accc.gov.au/inquiries-and-consultations/childcare-inquiry-2023" TargetMode="External"/><Relationship Id="rId157" Type="http://schemas.openxmlformats.org/officeDocument/2006/relationships/hyperlink" Target="https://www.dewr.gov.au/skills-reform/fee-free-tafe" TargetMode="External"/><Relationship Id="rId61" Type="http://schemas.openxmlformats.org/officeDocument/2006/relationships/image" Target="media/image21.png"/><Relationship Id="rId82" Type="http://schemas.openxmlformats.org/officeDocument/2006/relationships/hyperlink" Target="http://www.run.edu.au/about-us/member-universities/" TargetMode="External"/><Relationship Id="rId152" Type="http://schemas.openxmlformats.org/officeDocument/2006/relationships/hyperlink" Target="https://about.csu.edu.au/locations/campuses/port-macquarie" TargetMode="External"/><Relationship Id="rId173" Type="http://schemas.openxmlformats.org/officeDocument/2006/relationships/fontTable" Target="fontTable.xml"/><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chart" Target="charts/chart2.xml"/><Relationship Id="rId35" Type="http://schemas.openxmlformats.org/officeDocument/2006/relationships/header" Target="header8.xml"/><Relationship Id="rId56" Type="http://schemas.openxmlformats.org/officeDocument/2006/relationships/image" Target="media/image20.png"/><Relationship Id="rId77" Type="http://schemas.openxmlformats.org/officeDocument/2006/relationships/chart" Target="charts/chart18.xml"/><Relationship Id="rId100" Type="http://schemas.openxmlformats.org/officeDocument/2006/relationships/hyperlink" Target="https://www.jcu.edu.au/" TargetMode="External"/><Relationship Id="rId105" Type="http://schemas.openxmlformats.org/officeDocument/2006/relationships/hyperlink" Target="https://www.latrobe.edu.au/campuses" TargetMode="External"/><Relationship Id="rId126" Type="http://schemas.openxmlformats.org/officeDocument/2006/relationships/hyperlink" Target="https://www.ncver.edu.au/research-and-statistics/publications/all-publications/vet-qualification-completion-rates-2022" TargetMode="External"/><Relationship Id="rId147" Type="http://schemas.openxmlformats.org/officeDocument/2006/relationships/hyperlink" Target="https://www.dewr.gov.au/skills-reform/fee-free-tafe" TargetMode="External"/><Relationship Id="rId168" Type="http://schemas.openxmlformats.org/officeDocument/2006/relationships/header" Target="header16.xml"/><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chart" Target="charts/chart16.xml"/><Relationship Id="rId93" Type="http://schemas.openxmlformats.org/officeDocument/2006/relationships/hyperlink" Target="https://www.usc.edu.au/about/locations" TargetMode="External"/><Relationship Id="rId98" Type="http://schemas.openxmlformats.org/officeDocument/2006/relationships/hyperlink" Target="https://fmcentral.csu.edu.au/SISfm-Enquiry/CSU/gmap/index.html" TargetMode="External"/><Relationship Id="rId121" Type="http://schemas.openxmlformats.org/officeDocument/2006/relationships/chart" Target="charts/chart27.xml"/><Relationship Id="rId142" Type="http://schemas.openxmlformats.org/officeDocument/2006/relationships/hyperlink" Target="https://www.health.gov.au/our-work/national-medical-workforce-strategy-2021-2031" TargetMode="External"/><Relationship Id="rId163" Type="http://schemas.openxmlformats.org/officeDocument/2006/relationships/hyperlink" Target="https://vdc.edu.au/vdc-news/skilled-thriving-connected-new-vet-policy-from-south-australia/" TargetMode="External"/><Relationship Id="rId3" Type="http://schemas.openxmlformats.org/officeDocument/2006/relationships/customXml" Target="../customXml/item3.xml"/><Relationship Id="rId25" Type="http://schemas.openxmlformats.org/officeDocument/2006/relationships/image" Target="media/image3.png"/><Relationship Id="rId46" Type="http://schemas.openxmlformats.org/officeDocument/2006/relationships/image" Target="media/image14.png"/><Relationship Id="rId67" Type="http://schemas.openxmlformats.org/officeDocument/2006/relationships/chart" Target="charts/chart14.xml"/><Relationship Id="rId116" Type="http://schemas.openxmlformats.org/officeDocument/2006/relationships/hyperlink" Target="https://www.jobsandskills.gov.au/publications/vocational-education-and-training-regional-rural-and-remote-australia" TargetMode="External"/><Relationship Id="rId137" Type="http://schemas.openxmlformats.org/officeDocument/2006/relationships/hyperlink" Target="https://www.jobsandskills.gov.au/studies/early-childhood-education-and-care-study" TargetMode="External"/><Relationship Id="rId158" Type="http://schemas.openxmlformats.org/officeDocument/2006/relationships/hyperlink" Target="https://www.aph.gov.au/Parliamentary_Business/Committees/House/Employment_Education_and_Training/VETInquiry/Submissions" TargetMode="External"/><Relationship Id="rId20" Type="http://schemas.openxmlformats.org/officeDocument/2006/relationships/footer" Target="footer3.xml"/><Relationship Id="rId41" Type="http://schemas.openxmlformats.org/officeDocument/2006/relationships/chart" Target="charts/chart3.xml"/><Relationship Id="rId62" Type="http://schemas.openxmlformats.org/officeDocument/2006/relationships/image" Target="media/image22.png"/><Relationship Id="rId83" Type="http://schemas.openxmlformats.org/officeDocument/2006/relationships/hyperlink" Target="https://www.usc.edu.au/about" TargetMode="External"/><Relationship Id="rId88" Type="http://schemas.openxmlformats.org/officeDocument/2006/relationships/hyperlink" Target="https://about.csu.edu.au/" TargetMode="External"/><Relationship Id="rId111" Type="http://schemas.openxmlformats.org/officeDocument/2006/relationships/chart" Target="charts/chart23.xml"/><Relationship Id="rId132" Type="http://schemas.openxmlformats.org/officeDocument/2006/relationships/image" Target="media/image29.png"/><Relationship Id="rId153" Type="http://schemas.openxmlformats.org/officeDocument/2006/relationships/hyperlink" Target="https://course-search.scu.edu.au/s/search.html?collection=scu~scu-dep&amp;f.Tabs|scu~dep-courses=Courses" TargetMode="External"/><Relationship Id="rId174" Type="http://schemas.openxmlformats.org/officeDocument/2006/relationships/glossaryDocument" Target="glossary/document.xml"/><Relationship Id="rId15" Type="http://schemas.openxmlformats.org/officeDocument/2006/relationships/image" Target="media/image1.png"/><Relationship Id="rId36" Type="http://schemas.openxmlformats.org/officeDocument/2006/relationships/footer" Target="footer6.xml"/><Relationship Id="rId57" Type="http://schemas.openxmlformats.org/officeDocument/2006/relationships/header" Target="header9.xml"/><Relationship Id="rId106" Type="http://schemas.openxmlformats.org/officeDocument/2006/relationships/hyperlink" Target="https://www.uow.edu.au/about/locations/" TargetMode="External"/><Relationship Id="rId127" Type="http://schemas.openxmlformats.org/officeDocument/2006/relationships/hyperlink" Target="https://www.ncver.edu.au/research-and-statistics/publications/all-publications/vet-qualification-completion-rates-2022" TargetMode="External"/><Relationship Id="rId10" Type="http://schemas.openxmlformats.org/officeDocument/2006/relationships/endnotes" Target="endnotes.xml"/><Relationship Id="rId31" Type="http://schemas.openxmlformats.org/officeDocument/2006/relationships/image" Target="media/image7.png"/><Relationship Id="rId52" Type="http://schemas.openxmlformats.org/officeDocument/2006/relationships/chart" Target="charts/chart7.xml"/><Relationship Id="rId73" Type="http://schemas.openxmlformats.org/officeDocument/2006/relationships/hyperlink" Target="https://www.jobsandskills.gov.au/data/skills-shortages-analysis/skills-priority-list" TargetMode="External"/><Relationship Id="rId78" Type="http://schemas.openxmlformats.org/officeDocument/2006/relationships/hyperlink" Target="https://immi.homeaffairs.gov.au/visas/getting-a-visa/visa-listing/work-holiday-417" TargetMode="External"/><Relationship Id="rId94" Type="http://schemas.openxmlformats.org/officeDocument/2006/relationships/hyperlink" Target="https://www.cqu.edu.au/about-us/locations" TargetMode="External"/><Relationship Id="rId99" Type="http://schemas.openxmlformats.org/officeDocument/2006/relationships/hyperlink" Target="https://federation.edu.au/about-us/our-campuses" TargetMode="External"/><Relationship Id="rId101" Type="http://schemas.openxmlformats.org/officeDocument/2006/relationships/hyperlink" Target="https://www.uwa.edu.au/about-us/location-and-campuses" TargetMode="External"/><Relationship Id="rId122" Type="http://schemas.openxmlformats.org/officeDocument/2006/relationships/chart" Target="charts/chart28.xml"/><Relationship Id="rId143" Type="http://schemas.openxmlformats.org/officeDocument/2006/relationships/hyperlink" Target="https://www.health.gov.au/topics/rural-health-workforce/stronger-rural-health-strategy?utm_source=health.gov.au&amp;utm_medium=callout-auto-custom&amp;utm_campaign=digital_transformation" TargetMode="External"/><Relationship Id="rId148" Type="http://schemas.openxmlformats.org/officeDocument/2006/relationships/hyperlink" Target="http://www.tareeuni.org.au/tuc-eduventure-program" TargetMode="External"/><Relationship Id="rId164" Type="http://schemas.openxmlformats.org/officeDocument/2006/relationships/hyperlink" Target="https://desbt.qld.gov.au/training/skills-strategy" TargetMode="External"/><Relationship Id="rId169"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4.png"/><Relationship Id="rId47" Type="http://schemas.openxmlformats.org/officeDocument/2006/relationships/image" Target="media/image15.svg"/><Relationship Id="rId68" Type="http://schemas.openxmlformats.org/officeDocument/2006/relationships/image" Target="media/image24.png"/><Relationship Id="rId89" Type="http://schemas.openxmlformats.org/officeDocument/2006/relationships/hyperlink" Target="https://federation.edu.au/about-us" TargetMode="External"/><Relationship Id="rId112" Type="http://schemas.openxmlformats.org/officeDocument/2006/relationships/chart" Target="charts/chart24.xml"/><Relationship Id="rId133" Type="http://schemas.openxmlformats.org/officeDocument/2006/relationships/image" Target="media/image30.png"/><Relationship Id="rId154" Type="http://schemas.openxmlformats.org/officeDocument/2006/relationships/hyperlink" Target="https://www.education.gov.au/australian-universities-accord/accord-202425-budget-measures/post-budget-implementation-consultation-papers" TargetMode="External"/><Relationship Id="rId175" Type="http://schemas.openxmlformats.org/officeDocument/2006/relationships/theme" Target="theme/theme1.xml"/><Relationship Id="rId16" Type="http://schemas.openxmlformats.org/officeDocument/2006/relationships/image" Target="media/image2.png"/><Relationship Id="rId37" Type="http://schemas.openxmlformats.org/officeDocument/2006/relationships/image" Target="media/image9.png"/><Relationship Id="rId58" Type="http://schemas.openxmlformats.org/officeDocument/2006/relationships/header" Target="header10.xml"/><Relationship Id="rId79" Type="http://schemas.openxmlformats.org/officeDocument/2006/relationships/chart" Target="charts/chart19.xml"/><Relationship Id="rId102" Type="http://schemas.openxmlformats.org/officeDocument/2006/relationships/hyperlink" Target="https://ask.australian.unisa.edu.au/app/answers/detail/a_id/402/~/where-are-the-unisa-campuses-located" TargetMode="External"/><Relationship Id="rId123" Type="http://schemas.openxmlformats.org/officeDocument/2006/relationships/chart" Target="charts/chart29.xml"/><Relationship Id="rId144" Type="http://schemas.openxmlformats.org/officeDocument/2006/relationships/hyperlink" Target="https://www.health.gov.au/our-work/onrhc" TargetMode="External"/><Relationship Id="rId90" Type="http://schemas.openxmlformats.org/officeDocument/2006/relationships/hyperlink" Target="https://www.jcu.edu.au/about-jcu" TargetMode="External"/><Relationship Id="rId165" Type="http://schemas.openxmlformats.org/officeDocument/2006/relationships/hyperlink" Target="https://www.homeaffairs.gov.au/reports-and-pubs/files/review-migration-system-final-report.pdf" TargetMode="External"/><Relationship Id="rId27" Type="http://schemas.openxmlformats.org/officeDocument/2006/relationships/image" Target="media/image5.png"/><Relationship Id="rId48" Type="http://schemas.openxmlformats.org/officeDocument/2006/relationships/image" Target="media/image16.png"/><Relationship Id="rId69" Type="http://schemas.openxmlformats.org/officeDocument/2006/relationships/image" Target="media/image25.png"/><Relationship Id="rId113" Type="http://schemas.openxmlformats.org/officeDocument/2006/relationships/chart" Target="charts/chart25.xml"/><Relationship Id="rId134" Type="http://schemas.openxmlformats.org/officeDocument/2006/relationships/hyperlink" Target="https://www.jobsandskills.gov.au/data/small-area-labour-markets" TargetMode="External"/><Relationship Id="rId80" Type="http://schemas.openxmlformats.org/officeDocument/2006/relationships/chart" Target="charts/chart20.xml"/><Relationship Id="rId155" Type="http://schemas.openxmlformats.org/officeDocument/2006/relationships/hyperlink" Target="https://www.dewr.gov.au/skills-reform/national-skills-agreement" TargetMode="External"/><Relationship Id="rId176" Type="http://schemas.microsoft.com/office/2020/10/relationships/intelligence" Target="intelligence2.xml"/><Relationship Id="rId17" Type="http://schemas.openxmlformats.org/officeDocument/2006/relationships/header" Target="header3.xml"/><Relationship Id="rId38" Type="http://schemas.openxmlformats.org/officeDocument/2006/relationships/image" Target="media/image10.png"/><Relationship Id="rId59" Type="http://schemas.openxmlformats.org/officeDocument/2006/relationships/header" Target="header11.xml"/><Relationship Id="rId103" Type="http://schemas.openxmlformats.org/officeDocument/2006/relationships/hyperlink" Target="https://www.flinders.edu.au/campus/other-locations" TargetMode="External"/><Relationship Id="rId124" Type="http://schemas.openxmlformats.org/officeDocument/2006/relationships/chart" Target="charts/chart30.xml"/><Relationship Id="rId70" Type="http://schemas.openxmlformats.org/officeDocument/2006/relationships/image" Target="media/image26.png"/><Relationship Id="rId91" Type="http://schemas.openxmlformats.org/officeDocument/2006/relationships/hyperlink" Target="https://www.utas.edu.au/about" TargetMode="External"/><Relationship Id="rId145" Type="http://schemas.openxmlformats.org/officeDocument/2006/relationships/hyperlink" Target="https://www.health.gov.au/our-work/national-rural-generalist-pathway" TargetMode="External"/><Relationship Id="rId166" Type="http://schemas.openxmlformats.org/officeDocument/2006/relationships/hyperlink" Target="https://www.homeaffairs.gov.au/reports-and-pubs/PDFs/supporting_strong_and_sustainable_regions.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ministers.education.gov.au/clare/ten-new-study-hubs-regional-australia" TargetMode="External"/><Relationship Id="rId18" Type="http://schemas.openxmlformats.org/officeDocument/2006/relationships/hyperlink" Target="https://qilt.edu.au/surveys/graduate-outcomes-survey---longitudinal-(gos-l)" TargetMode="External"/><Relationship Id="rId26" Type="http://schemas.openxmlformats.org/officeDocument/2006/relationships/hyperlink" Target="https://www.education.gov.au/australian-universities-accord/resources/final-report" TargetMode="External"/><Relationship Id="rId39" Type="http://schemas.openxmlformats.org/officeDocument/2006/relationships/hyperlink" Target="file://emp.application.enet/50038325/WF%20Branch/4%20Regional%20Workforce%20Assessment/Local%20Jobs%20Plan%20work/15.%20LJP%20In%20Depth%20Profiles/1.%20Mid%20North%20Coast/Conversion%20to%20case%20study/training.gov.au" TargetMode="External"/><Relationship Id="rId21" Type="http://schemas.openxmlformats.org/officeDocument/2006/relationships/hyperlink" Target="https://www.education.gov.au/australian-universities-accord/resources/final-report" TargetMode="External"/><Relationship Id="rId34" Type="http://schemas.openxmlformats.org/officeDocument/2006/relationships/hyperlink" Target="https://www.jobsandskills.gov.au/sites/default/files/2024-04/Recruitment%20snapshot%20Mid%20North%20Coast.pdf" TargetMode="External"/><Relationship Id="rId42" Type="http://schemas.openxmlformats.org/officeDocument/2006/relationships/hyperlink" Target="https://www.education.gov.au/australian-universities-accord/resources/final-report" TargetMode="External"/><Relationship Id="rId47" Type="http://schemas.openxmlformats.org/officeDocument/2006/relationships/hyperlink" Target="https://able.adelaide.edu.au/housing-research/data-gateway/aria" TargetMode="External"/><Relationship Id="rId7" Type="http://schemas.openxmlformats.org/officeDocument/2006/relationships/hyperlink" Target="https://www.education.gov.au/australian-universities-accord/resources/final-report" TargetMode="External"/><Relationship Id="rId2" Type="http://schemas.openxmlformats.org/officeDocument/2006/relationships/hyperlink" Target="https://www.jobsandskills.gov.au/data/recruitment-experiences-and-outlook-survey/recruitment-methods-used-by-employers" TargetMode="External"/><Relationship Id="rId16" Type="http://schemas.openxmlformats.org/officeDocument/2006/relationships/hyperlink" Target="https://www.education.gov.au/australian-universities-accord/resources/final-report" TargetMode="External"/><Relationship Id="rId29" Type="http://schemas.openxmlformats.org/officeDocument/2006/relationships/hyperlink" Target="https://www.ncver.edu.au/__data/assets/pdf_file/0042/9684582/SOS_data_dictionary_updated.pdf" TargetMode="External"/><Relationship Id="rId1" Type="http://schemas.openxmlformats.org/officeDocument/2006/relationships/hyperlink" Target="https://www.abs.gov.au/statistics/labour/employment-and-unemployment/labour-force-australia/latest-release" TargetMode="External"/><Relationship Id="rId6" Type="http://schemas.openxmlformats.org/officeDocument/2006/relationships/hyperlink" Target="https://www.education.gov.au/australian-universities-accord/resources/final-report" TargetMode="External"/><Relationship Id="rId11" Type="http://schemas.openxmlformats.org/officeDocument/2006/relationships/hyperlink" Target="https://ministers.education.gov.au/clare/ten-new-study-hubs-regional-australia" TargetMode="External"/><Relationship Id="rId24" Type="http://schemas.openxmlformats.org/officeDocument/2006/relationships/hyperlink" Target="https://www.education.gov.au/australian-universities-accord/resources/final-report" TargetMode="External"/><Relationship Id="rId32" Type="http://schemas.openxmlformats.org/officeDocument/2006/relationships/hyperlink" Target="https://www.dewr.gov.au/local-jobs/resources/mid-north-coast-local-jobs-plan" TargetMode="External"/><Relationship Id="rId37" Type="http://schemas.openxmlformats.org/officeDocument/2006/relationships/hyperlink" Target="https://www.health.gov.au/sites/default/files/documents/2022/03/national-medical-workforce-strategy-2021-2031.pdf" TargetMode="External"/><Relationship Id="rId40" Type="http://schemas.openxmlformats.org/officeDocument/2006/relationships/hyperlink" Target="https://rdamnc.org.au/wp-content/uploads/RDA_Regional_Plan_P10.pdf" TargetMode="External"/><Relationship Id="rId45" Type="http://schemas.openxmlformats.org/officeDocument/2006/relationships/hyperlink" Target="https://www.education.gov.au/australian-universities-accord/resources/final-report" TargetMode="External"/><Relationship Id="rId5" Type="http://schemas.openxmlformats.org/officeDocument/2006/relationships/hyperlink" Target="https://www.education.gov.au/australian-universities-accord/resources/final-report" TargetMode="External"/><Relationship Id="rId15" Type="http://schemas.openxmlformats.org/officeDocument/2006/relationships/hyperlink" Target="https://www.education.gov.au/higher-education-reviews-and-consultations/national-regional-rural-and-remote-education-strategy" TargetMode="External"/><Relationship Id="rId23" Type="http://schemas.openxmlformats.org/officeDocument/2006/relationships/hyperlink" Target="https://www.education.gov.au/australian-universities-accord/resources/final-report" TargetMode="External"/><Relationship Id="rId28" Type="http://schemas.openxmlformats.org/officeDocument/2006/relationships/hyperlink" Target="https://education.nsw.gov.au/content/dam/main-education/skills/nsw-vet-review/NSW_VET_Review_Discussion_Paper.pdf" TargetMode="External"/><Relationship Id="rId36" Type="http://schemas.openxmlformats.org/officeDocument/2006/relationships/hyperlink" Target="https://www.jobsandskills.gov.au/jobs-and-skills-atlas" TargetMode="External"/><Relationship Id="rId10" Type="http://schemas.openxmlformats.org/officeDocument/2006/relationships/hyperlink" Target="https://cef.org.au/more_than_your_atar_distance_study/" TargetMode="External"/><Relationship Id="rId19" Type="http://schemas.openxmlformats.org/officeDocument/2006/relationships/hyperlink" Target="https://qilt.edu.au/surveys/graduate-outcomes-survey---longitudinal-(gos-l)" TargetMode="External"/><Relationship Id="rId31" Type="http://schemas.openxmlformats.org/officeDocument/2006/relationships/hyperlink" Target="https://www.jobsandskills.gov.au/sites/default/files/2024-02/Employment%20Region%20Maps.pdf" TargetMode="External"/><Relationship Id="rId44" Type="http://schemas.openxmlformats.org/officeDocument/2006/relationships/hyperlink" Target="https://course-search.scu.edu.au/s/search.html?f.Location%7Clocation=Coffs+Harbour&amp;f.Tabs%7Cscu%7Edep-courses=Courses&amp;collection=scu%7Escu-dep" TargetMode="External"/><Relationship Id="rId4" Type="http://schemas.openxmlformats.org/officeDocument/2006/relationships/hyperlink" Target="https://www.jobsandskills.gov.au/data/skills-shortages-analysis" TargetMode="External"/><Relationship Id="rId9" Type="http://schemas.openxmlformats.org/officeDocument/2006/relationships/hyperlink" Target="https://www.education.gov.au/australian-universities-accord/resources/final-report" TargetMode="External"/><Relationship Id="rId14" Type="http://schemas.openxmlformats.org/officeDocument/2006/relationships/hyperlink" Target="https://grattan.edu.au/wp-content/uploads/2018/04/University-attrition-background.pdf" TargetMode="External"/><Relationship Id="rId22" Type="http://schemas.openxmlformats.org/officeDocument/2006/relationships/hyperlink" Target="https://www.education.gov.au/australian-universities-accord/resources/final-report" TargetMode="External"/><Relationship Id="rId27" Type="http://schemas.openxmlformats.org/officeDocument/2006/relationships/hyperlink" Target="https://www.education.gov.au/australian-universities-accord/resources/final-report" TargetMode="External"/><Relationship Id="rId30" Type="http://schemas.openxmlformats.org/officeDocument/2006/relationships/hyperlink" Target="https://parlinfo.aph.gov.au/parlInfo/download/committees/commrep/27065/toc_pdf/Employment,%20Education%20and%20Training%20Committee_2023_07_27.pdf;fileType=application%2Fpdf" TargetMode="External"/><Relationship Id="rId35" Type="http://schemas.openxmlformats.org/officeDocument/2006/relationships/hyperlink" Target="https://www.education.gov.au/australian-universities-accord/resources/final-report" TargetMode="External"/><Relationship Id="rId43" Type="http://schemas.openxmlformats.org/officeDocument/2006/relationships/hyperlink" Target="https://study.csu.edu.au/courses?cid=Google|na|na|na|pros|Sitelink|na&amp;ef_id=CjwKCAjw88yxBhBWEiwA7cm6pbGpsXw-Z7W3J7zULqQw2NzTzXXdsGdIy64M1osbC8A7EJ4URWDPihoC2m8QAvD_BwE:G:s&amp;s_kwcid=AL!875!3!567847113765!e!!g!!charles%20sturt%20university%20port%20macquarie&amp;gad_source=1&amp;gclid=CjwKCAjw88yxBhBWEiwA7cm6pbGpsXw-Z7W3J7zULqQw2NzTzXXdsGdIy64M1osbC8A7EJ4URWDPihoC2m8QAvD_BwE" TargetMode="External"/><Relationship Id="rId8" Type="http://schemas.openxmlformats.org/officeDocument/2006/relationships/hyperlink" Target="https://www.jobsandskills.gov.au/data/skills-shortages-analysis/skills-priority-list?level=4" TargetMode="External"/><Relationship Id="rId3" Type="http://schemas.openxmlformats.org/officeDocument/2006/relationships/hyperlink" Target="https://www.jobsandskills.gov.au/data/skills-shortages-analysis" TargetMode="External"/><Relationship Id="rId12" Type="http://schemas.openxmlformats.org/officeDocument/2006/relationships/hyperlink" Target="https://www.education.gov.au/australian-universities-accord/resources/final-report" TargetMode="External"/><Relationship Id="rId17" Type="http://schemas.openxmlformats.org/officeDocument/2006/relationships/hyperlink" Target="file:///C://Users/sm0298/Downloads/2023-gos-national-report.pdf" TargetMode="External"/><Relationship Id="rId25" Type="http://schemas.openxmlformats.org/officeDocument/2006/relationships/hyperlink" Target="https://www.education.gov.au/higher-education/commonwealth-prac-payment" TargetMode="External"/><Relationship Id="rId33" Type="http://schemas.openxmlformats.org/officeDocument/2006/relationships/hyperlink" Target="https://www.newsofthearea.com.au/stark-realities-of-mid-north-coast-childcare-crisis-laid-bare" TargetMode="External"/><Relationship Id="rId38" Type="http://schemas.openxmlformats.org/officeDocument/2006/relationships/hyperlink" Target="file://emp.application.enet/50038325/WF%20Branch/4%20Regional%20Workforce%20Assessment/Local%20Jobs%20Plan%20work/15.%20LJP%20In%20Depth%20Profiles/1.%20Mid%20North%20Coast/Conversion%20to%20case%20study/www.tafensw.ed.au/locations" TargetMode="External"/><Relationship Id="rId46" Type="http://schemas.openxmlformats.org/officeDocument/2006/relationships/hyperlink" Target="https://www.education.gov.au/australian-universities-accord/resources/final-report" TargetMode="External"/><Relationship Id="rId20" Type="http://schemas.openxmlformats.org/officeDocument/2006/relationships/hyperlink" Target="https://www.run.edu.au/wp-content/uploads/2021/05/RUN-Economic-impact-report-final.pdf" TargetMode="External"/><Relationship Id="rId41" Type="http://schemas.openxmlformats.org/officeDocument/2006/relationships/hyperlink" Target="https://www.education.gov.au/australian-universities-accord/resources/final-repor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Labour%20Market%20Indicator%20model\6.%20Jun%202024\Jack\General%20Workings%20Jun-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Jobs%20and%20Skills%20Roadmap\Drivers%20and%20pressures%20on%20regional%20LM\Jack\2024%2006\Skill%20Level%20March%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EMP.application.enet\50038325\LMM%20Branch\ERSA\3.%20REOS%20Survey%20Output\2.%20Monthly\Research%20Features%20(inc%20Spotlights%20&amp;%20Quarterly)\2024.%2008.%20August%20-%20June%20Quarter%202024\Quarterly%20chart%20builder.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EMP.application.enet\50038325\LMM%20Branch\ERSA\3.%20REOS%20Survey%20Output\2.%20Monthly\Research%20Features%20(inc%20Spotlights%20&amp;%20Quarterly)\2024.%2008.%20August%20-%20June%20Quarter%202024\Quarterly%20chart%20builder.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EMP.application.enet\50038325\LMM%20Branch\ERSA\3.%20REOS%20Survey%20Output\2.%20Monthly\Research%20Features%20(inc%20Spotlights%20&amp;%20Quarterly)\2024.%2008.%20August%20-%20June%20Quarter%202024\Quarterly%20chart%20builder.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https://sharedservicescentre-my.sharepoint.com/personal/mathew_rogosic_jobsandskills_gov_au/Documents/Microsoft%20Teams%20Chat%20Files/Recruitment%20difficulty%20x%20recruitment%20rate%20by%20gcc%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TB3201\Downloads\SERA_SSQ%20data%20extract.xlsx" TargetMode="External"/><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TB3201\Downloads\SERA_SSQ%20data%20extract.xlsx" TargetMode="External"/><Relationship Id="rId1" Type="http://schemas.openxmlformats.org/officeDocument/2006/relationships/themeOverride" Target="../theme/themeOverride5.xml"/></Relationships>
</file>

<file path=word/charts/_rels/chart17.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Labour%20Market%20Indicator%20model\RLMI%20Related%20Work\Research%20Project\Jack\Workings\Aug_24\EQ08%20May%202024.xlsx"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Labour%20Market%20Indicator%20model\RLMI%20Related%20Work\Research%20Project\Jack\Workings\Aug_24\SA2%20Chart.xlsx" TargetMode="External"/><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Local%20Jobs%20Plan%20work\15.%20LJP%20In%20Depth%20Profiles\Documents%20to%20support%20all%20detailed%20profiles\Higher%20Ed%20Roadmap%20Data.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Jobs%20and%20Skills%20Roadmap\Drivers%20and%20pressures%20on%20regional%20LM\Jack\2024%2006\General%20workings%20March%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Regional%20Roadmap%20-%20Higher%20Education\Higher%20Ed%20Roadmap%20DataV2.xlsx" TargetMode="External"/><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lit%20review%20and%20data%20workings\VET%20&amp;%20Regional%20Roadmap%20data\VET%20Dat%20CHECKING_JAS.xlsx"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lit%20review%20and%20data%20workings\VET%20&amp;%20Regional%20Roadmap%20data\Figure%2014%20VET%20program%20enrolments%20by%20qualification%20level,%202022.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lit%20review%20and%20data%20workings\VET%20&amp;%20Regional%20Roadmap%20data\VET%20Dat%20CHECKING_JAS.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Labour%20Market%20Indicator%20model\6.%20Jun%202024\Jack\General%20Workings%20Jun-24.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lit%20review%20and%20data%20workings\VET%20&amp;%20Regional%20Roadmap%20data\VET%20Dat%20CHECKING_JAS.xlsx" TargetMode="External"/><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Profiles\regional%20roadmap\lit%20review%20and%20data%20workings\VET%20&amp;%20Regional%20Roadmap%20data\VET%20Dat%20CHECKING_JAS.xlsx" TargetMode="External"/><Relationship Id="rId2" Type="http://schemas.microsoft.com/office/2011/relationships/chartColorStyle" Target="colors29.xml"/><Relationship Id="rId1" Type="http://schemas.microsoft.com/office/2011/relationships/chartStyle" Target="style29.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JS4011\AppData\Local\Microsoft\Windows\INetCache\Content.Outlook\69345AK0\MNC%20case%20study.xlsx" TargetMode="External"/><Relationship Id="rId2" Type="http://schemas.microsoft.com/office/2011/relationships/chartColorStyle" Target="colors30.xml"/><Relationship Id="rId1" Type="http://schemas.microsoft.com/office/2011/relationships/chartStyle" Target="style30.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JS4011\AppData\Local\Microsoft\Windows\INetCache\Content.Outlook\69345AK0\MNC%20case%20study.xlsx" TargetMode="External"/><Relationship Id="rId2" Type="http://schemas.microsoft.com/office/2011/relationships/chartColorStyle" Target="colors31.xml"/><Relationship Id="rId1" Type="http://schemas.microsoft.com/office/2011/relationships/chartStyle" Target="style31.xml"/></Relationships>
</file>

<file path=word/charts/_rels/chart4.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Jobs%20and%20Skills%20Roadmap\Drivers%20and%20pressures%20on%20regional%20LM\Jack\2024%2008\Search%20&amp;%20Matching%20-%20Sarah%20working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Jobs%20and%20Skills%20Roadmap\Drivers%20and%20pressures%20on%20regional%20LM\Jack\2024%2006\Income%20Volatilit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Jobs%20and%20Skills%20Roadmap\Drivers%20and%20pressures%20on%20regional%20LM\Jack\2024%2006\First%20Natio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H0685\AppData\Roaming\Microsoft\Excel\RLMI%20-%20March%20workings%20roadmap%20-%20modified%20geography%20(version%201).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s3888\Downloads\RLMI%20-%20March%20workings%20roadmap%20-%20modified%20geograph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MP.application.enet\50038325\WF%20Branch\4%20Regional%20Workforce%20Assessment\Regional%20Labour%20Market%20Indicator%20model\Sarah\Roadmap%20related%20workings\RLMI%20-%20June%20workings%20roadmap%20-%20modified%20geograph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Remoteness!$I$10</c:f>
              <c:strCache>
                <c:ptCount val="1"/>
                <c:pt idx="0">
                  <c:v>Metropolitan City</c:v>
                </c:pt>
              </c:strCache>
            </c:strRef>
          </c:tx>
          <c:spPr>
            <a:solidFill>
              <a:srgbClr val="6929C4"/>
            </a:solidFill>
            <a:ln>
              <a:solidFill>
                <a:srgbClr val="6929C4"/>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Remoteness!$H$11:$H$15</c:f>
              <c:strCache>
                <c:ptCount val="5"/>
                <c:pt idx="0">
                  <c:v>Strong</c:v>
                </c:pt>
                <c:pt idx="1">
                  <c:v>Above average</c:v>
                </c:pt>
                <c:pt idx="2">
                  <c:v>Average</c:v>
                </c:pt>
                <c:pt idx="3">
                  <c:v>Below average</c:v>
                </c:pt>
                <c:pt idx="4">
                  <c:v>Poor</c:v>
                </c:pt>
              </c:strCache>
            </c:strRef>
          </c:cat>
          <c:val>
            <c:numRef>
              <c:f>Remoteness!$I$11:$I$15</c:f>
              <c:numCache>
                <c:formatCode>0\%</c:formatCode>
                <c:ptCount val="5"/>
                <c:pt idx="0">
                  <c:v>84.615384615384613</c:v>
                </c:pt>
                <c:pt idx="1">
                  <c:v>65.384615384615387</c:v>
                </c:pt>
                <c:pt idx="2">
                  <c:v>45</c:v>
                </c:pt>
                <c:pt idx="3">
                  <c:v>27.27272727272727</c:v>
                </c:pt>
                <c:pt idx="4">
                  <c:v>29.411764705882355</c:v>
                </c:pt>
              </c:numCache>
            </c:numRef>
          </c:val>
          <c:extLst>
            <c:ext xmlns:c16="http://schemas.microsoft.com/office/drawing/2014/chart" uri="{C3380CC4-5D6E-409C-BE32-E72D297353CC}">
              <c16:uniqueId val="{00000000-5753-4471-A613-7C9B5878FB8A}"/>
            </c:ext>
          </c:extLst>
        </c:ser>
        <c:ser>
          <c:idx val="1"/>
          <c:order val="1"/>
          <c:tx>
            <c:strRef>
              <c:f>Remoteness!$J$10</c:f>
              <c:strCache>
                <c:ptCount val="1"/>
                <c:pt idx="0">
                  <c:v>Regional City</c:v>
                </c:pt>
              </c:strCache>
            </c:strRef>
          </c:tx>
          <c:spPr>
            <a:solidFill>
              <a:srgbClr val="009D9A"/>
            </a:solidFill>
            <a:ln>
              <a:solidFill>
                <a:srgbClr val="009D9A"/>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5753-4471-A613-7C9B5878FB8A}"/>
                </c:ext>
              </c:extLst>
            </c:dLbl>
            <c:dLbl>
              <c:idx val="4"/>
              <c:delete val="1"/>
              <c:extLst>
                <c:ext xmlns:c15="http://schemas.microsoft.com/office/drawing/2012/chart" uri="{CE6537A1-D6FC-4f65-9D91-7224C49458BB}"/>
                <c:ext xmlns:c16="http://schemas.microsoft.com/office/drawing/2014/chart" uri="{C3380CC4-5D6E-409C-BE32-E72D297353CC}">
                  <c16:uniqueId val="{00000002-5753-4471-A613-7C9B5878FB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Remoteness!$H$11:$H$15</c:f>
              <c:strCache>
                <c:ptCount val="5"/>
                <c:pt idx="0">
                  <c:v>Strong</c:v>
                </c:pt>
                <c:pt idx="1">
                  <c:v>Above average</c:v>
                </c:pt>
                <c:pt idx="2">
                  <c:v>Average</c:v>
                </c:pt>
                <c:pt idx="3">
                  <c:v>Below average</c:v>
                </c:pt>
                <c:pt idx="4">
                  <c:v>Poor</c:v>
                </c:pt>
              </c:strCache>
            </c:strRef>
          </c:cat>
          <c:val>
            <c:numRef>
              <c:f>Remoteness!$J$11:$J$15</c:f>
              <c:numCache>
                <c:formatCode>0\%</c:formatCode>
                <c:ptCount val="5"/>
                <c:pt idx="0">
                  <c:v>0</c:v>
                </c:pt>
                <c:pt idx="1">
                  <c:v>15.384615384615385</c:v>
                </c:pt>
                <c:pt idx="2">
                  <c:v>10</c:v>
                </c:pt>
                <c:pt idx="3">
                  <c:v>9.0909090909090917</c:v>
                </c:pt>
                <c:pt idx="4">
                  <c:v>0</c:v>
                </c:pt>
              </c:numCache>
            </c:numRef>
          </c:val>
          <c:extLst>
            <c:ext xmlns:c16="http://schemas.microsoft.com/office/drawing/2014/chart" uri="{C3380CC4-5D6E-409C-BE32-E72D297353CC}">
              <c16:uniqueId val="{00000003-5753-4471-A613-7C9B5878FB8A}"/>
            </c:ext>
          </c:extLst>
        </c:ser>
        <c:ser>
          <c:idx val="2"/>
          <c:order val="2"/>
          <c:tx>
            <c:strRef>
              <c:f>Remoteness!$K$10</c:f>
              <c:strCache>
                <c:ptCount val="1"/>
                <c:pt idx="0">
                  <c:v>Regional</c:v>
                </c:pt>
              </c:strCache>
            </c:strRef>
          </c:tx>
          <c:spPr>
            <a:solidFill>
              <a:srgbClr val="012749"/>
            </a:solidFill>
            <a:ln>
              <a:solidFill>
                <a:srgbClr val="01274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Remoteness!$H$11:$H$15</c:f>
              <c:strCache>
                <c:ptCount val="5"/>
                <c:pt idx="0">
                  <c:v>Strong</c:v>
                </c:pt>
                <c:pt idx="1">
                  <c:v>Above average</c:v>
                </c:pt>
                <c:pt idx="2">
                  <c:v>Average</c:v>
                </c:pt>
                <c:pt idx="3">
                  <c:v>Below average</c:v>
                </c:pt>
                <c:pt idx="4">
                  <c:v>Poor</c:v>
                </c:pt>
              </c:strCache>
            </c:strRef>
          </c:cat>
          <c:val>
            <c:numRef>
              <c:f>Remoteness!$K$11:$K$15</c:f>
              <c:numCache>
                <c:formatCode>0\%</c:formatCode>
                <c:ptCount val="5"/>
                <c:pt idx="0">
                  <c:v>15.384615384615385</c:v>
                </c:pt>
                <c:pt idx="1">
                  <c:v>19.230769230769234</c:v>
                </c:pt>
                <c:pt idx="2">
                  <c:v>35</c:v>
                </c:pt>
                <c:pt idx="3">
                  <c:v>45.454545454545453</c:v>
                </c:pt>
                <c:pt idx="4">
                  <c:v>29.411764705882355</c:v>
                </c:pt>
              </c:numCache>
            </c:numRef>
          </c:val>
          <c:extLst>
            <c:ext xmlns:c16="http://schemas.microsoft.com/office/drawing/2014/chart" uri="{C3380CC4-5D6E-409C-BE32-E72D297353CC}">
              <c16:uniqueId val="{00000004-5753-4471-A613-7C9B5878FB8A}"/>
            </c:ext>
          </c:extLst>
        </c:ser>
        <c:ser>
          <c:idx val="3"/>
          <c:order val="3"/>
          <c:tx>
            <c:strRef>
              <c:f>Remoteness!$L$10</c:f>
              <c:strCache>
                <c:ptCount val="1"/>
                <c:pt idx="0">
                  <c:v>Remote</c:v>
                </c:pt>
              </c:strCache>
            </c:strRef>
          </c:tx>
          <c:spPr>
            <a:solidFill>
              <a:srgbClr val="EE538B"/>
            </a:solidFill>
            <a:ln>
              <a:solidFill>
                <a:srgbClr val="EE538B"/>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5753-4471-A613-7C9B5878FB8A}"/>
                </c:ext>
              </c:extLst>
            </c:dLbl>
            <c:dLbl>
              <c:idx val="1"/>
              <c:delete val="1"/>
              <c:extLst>
                <c:ext xmlns:c15="http://schemas.microsoft.com/office/drawing/2012/chart" uri="{CE6537A1-D6FC-4f65-9D91-7224C49458BB}"/>
                <c:ext xmlns:c16="http://schemas.microsoft.com/office/drawing/2014/chart" uri="{C3380CC4-5D6E-409C-BE32-E72D297353CC}">
                  <c16:uniqueId val="{00000006-5753-4471-A613-7C9B5878FB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Remoteness!$H$11:$H$15</c:f>
              <c:strCache>
                <c:ptCount val="5"/>
                <c:pt idx="0">
                  <c:v>Strong</c:v>
                </c:pt>
                <c:pt idx="1">
                  <c:v>Above average</c:v>
                </c:pt>
                <c:pt idx="2">
                  <c:v>Average</c:v>
                </c:pt>
                <c:pt idx="3">
                  <c:v>Below average</c:v>
                </c:pt>
                <c:pt idx="4">
                  <c:v>Poor</c:v>
                </c:pt>
              </c:strCache>
            </c:strRef>
          </c:cat>
          <c:val>
            <c:numRef>
              <c:f>Remoteness!$L$11:$L$15</c:f>
              <c:numCache>
                <c:formatCode>0\%</c:formatCode>
                <c:ptCount val="5"/>
                <c:pt idx="0">
                  <c:v>0</c:v>
                </c:pt>
                <c:pt idx="1">
                  <c:v>0</c:v>
                </c:pt>
                <c:pt idx="2">
                  <c:v>10</c:v>
                </c:pt>
                <c:pt idx="3">
                  <c:v>18.181818181818183</c:v>
                </c:pt>
                <c:pt idx="4">
                  <c:v>41.17647058823529</c:v>
                </c:pt>
              </c:numCache>
            </c:numRef>
          </c:val>
          <c:extLst>
            <c:ext xmlns:c16="http://schemas.microsoft.com/office/drawing/2014/chart" uri="{C3380CC4-5D6E-409C-BE32-E72D297353CC}">
              <c16:uniqueId val="{00000007-5753-4471-A613-7C9B5878FB8A}"/>
            </c:ext>
          </c:extLst>
        </c:ser>
        <c:dLbls>
          <c:dLblPos val="ctr"/>
          <c:showLegendKey val="0"/>
          <c:showVal val="1"/>
          <c:showCatName val="0"/>
          <c:showSerName val="0"/>
          <c:showPercent val="0"/>
          <c:showBubbleSize val="0"/>
        </c:dLbls>
        <c:gapWidth val="150"/>
        <c:overlap val="100"/>
        <c:axId val="1411364719"/>
        <c:axId val="1411365679"/>
      </c:barChart>
      <c:catAx>
        <c:axId val="1411364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1365679"/>
        <c:crosses val="autoZero"/>
        <c:auto val="1"/>
        <c:lblAlgn val="ctr"/>
        <c:lblOffset val="100"/>
        <c:noMultiLvlLbl val="0"/>
      </c:catAx>
      <c:valAx>
        <c:axId val="1411365679"/>
        <c:scaling>
          <c:orientation val="minMax"/>
          <c:max val="100"/>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a:t>
                </a:r>
                <a:r>
                  <a:rPr lang="en-AU" baseline="0"/>
                  <a:t> of regions by remoteness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1411364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461194863204912"/>
          <c:y val="3.4722222222222224E-2"/>
          <c:w val="0.68538801399825022"/>
          <c:h val="0.7294003353747448"/>
        </c:manualLayout>
      </c:layout>
      <c:barChart>
        <c:barDir val="bar"/>
        <c:grouping val="clustered"/>
        <c:varyColors val="0"/>
        <c:ser>
          <c:idx val="0"/>
          <c:order val="0"/>
          <c:tx>
            <c:strRef>
              <c:f>'April 2024'!$AC$40</c:f>
              <c:strCache>
                <c:ptCount val="1"/>
                <c:pt idx="0">
                  <c:v>Skill Level 1</c:v>
                </c:pt>
              </c:strCache>
            </c:strRef>
          </c:tx>
          <c:spPr>
            <a:solidFill>
              <a:srgbClr val="6929C4"/>
            </a:solidFill>
            <a:ln>
              <a:solidFill>
                <a:srgbClr val="6929C4"/>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'April 2024'!$AB$41:$AB$44</c:f>
              <c:strCache>
                <c:ptCount val="4"/>
                <c:pt idx="0">
                  <c:v>Capital City</c:v>
                </c:pt>
                <c:pt idx="1">
                  <c:v>Regional City</c:v>
                </c:pt>
                <c:pt idx="2">
                  <c:v>Regional</c:v>
                </c:pt>
                <c:pt idx="3">
                  <c:v>Remote</c:v>
                </c:pt>
              </c:strCache>
            </c:strRef>
          </c:cat>
          <c:val>
            <c:numRef>
              <c:f>'April 2024'!$AC$41:$AC$44</c:f>
              <c:numCache>
                <c:formatCode>0.0</c:formatCode>
                <c:ptCount val="4"/>
                <c:pt idx="0">
                  <c:v>2.5802115812177249</c:v>
                </c:pt>
                <c:pt idx="1">
                  <c:v>2.8203415096737778</c:v>
                </c:pt>
                <c:pt idx="2">
                  <c:v>1.1556780647321467</c:v>
                </c:pt>
                <c:pt idx="3">
                  <c:v>0.89305610424839799</c:v>
                </c:pt>
              </c:numCache>
            </c:numRef>
          </c:val>
          <c:extLst>
            <c:ext xmlns:c16="http://schemas.microsoft.com/office/drawing/2014/chart" uri="{C3380CC4-5D6E-409C-BE32-E72D297353CC}">
              <c16:uniqueId val="{00000000-A40D-44FD-B6C5-324B2BD38EB6}"/>
            </c:ext>
          </c:extLst>
        </c:ser>
        <c:ser>
          <c:idx val="1"/>
          <c:order val="1"/>
          <c:tx>
            <c:strRef>
              <c:f>'April 2024'!$AD$40</c:f>
              <c:strCache>
                <c:ptCount val="1"/>
                <c:pt idx="0">
                  <c:v>Skill Level 2-4</c:v>
                </c:pt>
              </c:strCache>
            </c:strRef>
          </c:tx>
          <c:spPr>
            <a:solidFill>
              <a:srgbClr val="009D9A"/>
            </a:solidFill>
            <a:ln>
              <a:solidFill>
                <a:srgbClr val="009D9A"/>
              </a:solidFill>
            </a:ln>
            <a:effectLst/>
          </c:spPr>
          <c:invertIfNegative val="0"/>
          <c:dLbls>
            <c:dLbl>
              <c:idx val="0"/>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0D-44FD-B6C5-324B2BD38EB6}"/>
                </c:ext>
              </c:extLst>
            </c:dLbl>
            <c:dLbl>
              <c:idx val="1"/>
              <c:layout>
                <c:manualLayout>
                  <c:x val="1.7448352875488553E-7"/>
                  <c:y val="1.38892534266550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0D-44FD-B6C5-324B2BD38EB6}"/>
                </c:ext>
              </c:extLst>
            </c:dLbl>
            <c:dLbl>
              <c:idx val="2"/>
              <c:layout>
                <c:manualLayout>
                  <c:x val="-1.0185067526415994E-16"/>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0D-44FD-B6C5-324B2BD38EB6}"/>
                </c:ext>
              </c:extLst>
            </c:dLbl>
            <c:dLbl>
              <c:idx val="3"/>
              <c:layout>
                <c:manualLayout>
                  <c:x val="0"/>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0D-44FD-B6C5-324B2BD38EB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'April 2024'!$AB$41:$AB$44</c:f>
              <c:strCache>
                <c:ptCount val="4"/>
                <c:pt idx="0">
                  <c:v>Capital City</c:v>
                </c:pt>
                <c:pt idx="1">
                  <c:v>Regional City</c:v>
                </c:pt>
                <c:pt idx="2">
                  <c:v>Regional</c:v>
                </c:pt>
                <c:pt idx="3">
                  <c:v>Remote</c:v>
                </c:pt>
              </c:strCache>
            </c:strRef>
          </c:cat>
          <c:val>
            <c:numRef>
              <c:f>'April 2024'!$AD$41:$AD$44</c:f>
              <c:numCache>
                <c:formatCode>0.0</c:formatCode>
                <c:ptCount val="4"/>
                <c:pt idx="0">
                  <c:v>-1.2993209400662096</c:v>
                </c:pt>
                <c:pt idx="1">
                  <c:v>-1.2000166713057894</c:v>
                </c:pt>
                <c:pt idx="2">
                  <c:v>0.14732713453902591</c:v>
                </c:pt>
                <c:pt idx="3">
                  <c:v>0.42121060731397364</c:v>
                </c:pt>
              </c:numCache>
            </c:numRef>
          </c:val>
          <c:extLst>
            <c:ext xmlns:c16="http://schemas.microsoft.com/office/drawing/2014/chart" uri="{C3380CC4-5D6E-409C-BE32-E72D297353CC}">
              <c16:uniqueId val="{00000005-A40D-44FD-B6C5-324B2BD38EB6}"/>
            </c:ext>
          </c:extLst>
        </c:ser>
        <c:ser>
          <c:idx val="2"/>
          <c:order val="2"/>
          <c:tx>
            <c:strRef>
              <c:f>'April 2024'!$AE$40</c:f>
              <c:strCache>
                <c:ptCount val="1"/>
                <c:pt idx="0">
                  <c:v>Skill Level 5</c:v>
                </c:pt>
              </c:strCache>
            </c:strRef>
          </c:tx>
          <c:spPr>
            <a:solidFill>
              <a:srgbClr val="012749"/>
            </a:solidFill>
            <a:ln>
              <a:solidFill>
                <a:srgbClr val="012749"/>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'April 2024'!$AB$41:$AB$44</c:f>
              <c:strCache>
                <c:ptCount val="4"/>
                <c:pt idx="0">
                  <c:v>Capital City</c:v>
                </c:pt>
                <c:pt idx="1">
                  <c:v>Regional City</c:v>
                </c:pt>
                <c:pt idx="2">
                  <c:v>Regional</c:v>
                </c:pt>
                <c:pt idx="3">
                  <c:v>Remote</c:v>
                </c:pt>
              </c:strCache>
            </c:strRef>
          </c:cat>
          <c:val>
            <c:numRef>
              <c:f>'April 2024'!$AE$41:$AE$44</c:f>
              <c:numCache>
                <c:formatCode>0.0</c:formatCode>
                <c:ptCount val="4"/>
                <c:pt idx="0">
                  <c:v>-1.280890641151526</c:v>
                </c:pt>
                <c:pt idx="1">
                  <c:v>-1.6203248383679885</c:v>
                </c:pt>
                <c:pt idx="2">
                  <c:v>-1.3030051992711691</c:v>
                </c:pt>
                <c:pt idx="3">
                  <c:v>-1.3142667115623645</c:v>
                </c:pt>
              </c:numCache>
            </c:numRef>
          </c:val>
          <c:extLst>
            <c:ext xmlns:c16="http://schemas.microsoft.com/office/drawing/2014/chart" uri="{C3380CC4-5D6E-409C-BE32-E72D297353CC}">
              <c16:uniqueId val="{00000006-A40D-44FD-B6C5-324B2BD38EB6}"/>
            </c:ext>
          </c:extLst>
        </c:ser>
        <c:dLbls>
          <c:dLblPos val="outEnd"/>
          <c:showLegendKey val="0"/>
          <c:showVal val="1"/>
          <c:showCatName val="0"/>
          <c:showSerName val="0"/>
          <c:showPercent val="0"/>
          <c:showBubbleSize val="0"/>
        </c:dLbls>
        <c:gapWidth val="182"/>
        <c:axId val="1861439103"/>
        <c:axId val="1861441023"/>
      </c:barChart>
      <c:catAx>
        <c:axId val="1861439103"/>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61441023"/>
        <c:crosses val="autoZero"/>
        <c:auto val="1"/>
        <c:lblAlgn val="ctr"/>
        <c:lblOffset val="1000"/>
        <c:noMultiLvlLbl val="0"/>
      </c:catAx>
      <c:valAx>
        <c:axId val="1861441023"/>
        <c:scaling>
          <c:orientation val="minMax"/>
        </c:scaling>
        <c:delete val="1"/>
        <c:axPos val="t"/>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Employment share, change (% pts) 2019 to 2024</a:t>
                </a:r>
              </a:p>
            </c:rich>
          </c:tx>
          <c:layout>
            <c:manualLayout>
              <c:xMode val="edge"/>
              <c:yMode val="edge"/>
              <c:x val="0.33153213986599667"/>
              <c:y val="0.7870370370370370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high"/>
        <c:crossAx val="1861439103"/>
        <c:crosses val="autoZero"/>
        <c:crossBetween val="between"/>
      </c:valAx>
      <c:spPr>
        <a:noFill/>
        <a:ln>
          <a:noFill/>
        </a:ln>
        <a:effectLst/>
      </c:spPr>
    </c:plotArea>
    <c:legend>
      <c:legendPos val="b"/>
      <c:layout>
        <c:manualLayout>
          <c:xMode val="edge"/>
          <c:yMode val="edge"/>
          <c:x val="0.31064733389168059"/>
          <c:y val="0.89274533391659372"/>
          <c:w val="0.58257171273031827"/>
          <c:h val="8.4106517935258099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'Output - ARIA'!$D$21</c:f>
              <c:strCache>
                <c:ptCount val="1"/>
                <c:pt idx="0">
                  <c:v>2023Q2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'Output - ARIA'!$A$22:$A$24</c:f>
              <c:strCache>
                <c:ptCount val="3"/>
                <c:pt idx="0">
                  <c:v>Major Cities of Australia</c:v>
                </c:pt>
                <c:pt idx="1">
                  <c:v>Inner Regional Australia</c:v>
                </c:pt>
                <c:pt idx="2">
                  <c:v>Outer Regional, Remote, and Very Remote Australia</c:v>
                </c:pt>
              </c:strCache>
            </c:strRef>
          </c:cat>
          <c:val>
            <c:numRef>
              <c:f>'Output - ARIA'!$D$22:$D$24</c:f>
              <c:numCache>
                <c:formatCode>0%</c:formatCode>
                <c:ptCount val="3"/>
                <c:pt idx="0">
                  <c:v>0.48</c:v>
                </c:pt>
                <c:pt idx="1">
                  <c:v>0.53</c:v>
                </c:pt>
                <c:pt idx="2">
                  <c:v>0.56999999999999995</c:v>
                </c:pt>
              </c:numCache>
            </c:numRef>
          </c:val>
          <c:extLst>
            <c:ext xmlns:c16="http://schemas.microsoft.com/office/drawing/2014/chart" uri="{C3380CC4-5D6E-409C-BE32-E72D297353CC}">
              <c16:uniqueId val="{00000000-BBCC-4FD2-A6D1-C5DE46E1EA4B}"/>
            </c:ext>
          </c:extLst>
        </c:ser>
        <c:ser>
          <c:idx val="1"/>
          <c:order val="1"/>
          <c:tx>
            <c:strRef>
              <c:f>'Output - ARIA'!$E$21</c:f>
              <c:strCache>
                <c:ptCount val="1"/>
                <c:pt idx="0">
                  <c:v>2023Q3</c:v>
                </c:pt>
              </c:strCache>
            </c:strRef>
          </c:tx>
          <c:spPr>
            <a:solidFill>
              <a:schemeClr val="accent2"/>
            </a:solidFill>
            <a:ln>
              <a:noFill/>
            </a:ln>
            <a:effectLst/>
          </c:spPr>
          <c:invertIfNegative val="0"/>
          <c:cat>
            <c:strRef>
              <c:f>'Output - ARIA'!$A$22:$A$24</c:f>
              <c:strCache>
                <c:ptCount val="3"/>
                <c:pt idx="0">
                  <c:v>Major Cities of Australia</c:v>
                </c:pt>
                <c:pt idx="1">
                  <c:v>Inner Regional Australia</c:v>
                </c:pt>
                <c:pt idx="2">
                  <c:v>Outer Regional, Remote, and Very Remote Australia</c:v>
                </c:pt>
              </c:strCache>
            </c:strRef>
          </c:cat>
          <c:val>
            <c:numRef>
              <c:f>'Output - ARIA'!$E$22:$E$24</c:f>
              <c:numCache>
                <c:formatCode>0%</c:formatCode>
                <c:ptCount val="3"/>
                <c:pt idx="0">
                  <c:v>0.47</c:v>
                </c:pt>
                <c:pt idx="1">
                  <c:v>0.49</c:v>
                </c:pt>
                <c:pt idx="2">
                  <c:v>0.55000000000000004</c:v>
                </c:pt>
              </c:numCache>
            </c:numRef>
          </c:val>
          <c:extLst>
            <c:ext xmlns:c16="http://schemas.microsoft.com/office/drawing/2014/chart" uri="{C3380CC4-5D6E-409C-BE32-E72D297353CC}">
              <c16:uniqueId val="{00000001-BBCC-4FD2-A6D1-C5DE46E1EA4B}"/>
            </c:ext>
          </c:extLst>
        </c:ser>
        <c:ser>
          <c:idx val="2"/>
          <c:order val="2"/>
          <c:tx>
            <c:strRef>
              <c:f>'Output - ARIA'!$F$21</c:f>
              <c:strCache>
                <c:ptCount val="1"/>
                <c:pt idx="0">
                  <c:v>2023Q4</c:v>
                </c:pt>
              </c:strCache>
            </c:strRef>
          </c:tx>
          <c:spPr>
            <a:solidFill>
              <a:schemeClr val="accent3"/>
            </a:solidFill>
            <a:ln>
              <a:noFill/>
            </a:ln>
            <a:effectLst/>
          </c:spPr>
          <c:invertIfNegative val="0"/>
          <c:cat>
            <c:strRef>
              <c:f>'Output - ARIA'!$A$22:$A$24</c:f>
              <c:strCache>
                <c:ptCount val="3"/>
                <c:pt idx="0">
                  <c:v>Major Cities of Australia</c:v>
                </c:pt>
                <c:pt idx="1">
                  <c:v>Inner Regional Australia</c:v>
                </c:pt>
                <c:pt idx="2">
                  <c:v>Outer Regional, Remote, and Very Remote Australia</c:v>
                </c:pt>
              </c:strCache>
            </c:strRef>
          </c:cat>
          <c:val>
            <c:numRef>
              <c:f>'Output - ARIA'!$F$22:$F$24</c:f>
              <c:numCache>
                <c:formatCode>0%</c:formatCode>
                <c:ptCount val="3"/>
                <c:pt idx="0">
                  <c:v>0.47</c:v>
                </c:pt>
                <c:pt idx="1">
                  <c:v>0.56999999999999995</c:v>
                </c:pt>
                <c:pt idx="2">
                  <c:v>0.55000000000000004</c:v>
                </c:pt>
              </c:numCache>
            </c:numRef>
          </c:val>
          <c:extLst>
            <c:ext xmlns:c16="http://schemas.microsoft.com/office/drawing/2014/chart" uri="{C3380CC4-5D6E-409C-BE32-E72D297353CC}">
              <c16:uniqueId val="{00000002-BBCC-4FD2-A6D1-C5DE46E1EA4B}"/>
            </c:ext>
          </c:extLst>
        </c:ser>
        <c:ser>
          <c:idx val="3"/>
          <c:order val="3"/>
          <c:tx>
            <c:strRef>
              <c:f>'Output - ARIA'!$G$21</c:f>
              <c:strCache>
                <c:ptCount val="1"/>
                <c:pt idx="0">
                  <c:v>2024Q1</c:v>
                </c:pt>
              </c:strCache>
            </c:strRef>
          </c:tx>
          <c:spPr>
            <a:solidFill>
              <a:schemeClr val="accent4"/>
            </a:solidFill>
            <a:ln>
              <a:noFill/>
            </a:ln>
            <a:effectLst/>
          </c:spPr>
          <c:invertIfNegative val="0"/>
          <c:cat>
            <c:strRef>
              <c:f>'Output - ARIA'!$A$22:$A$24</c:f>
              <c:strCache>
                <c:ptCount val="3"/>
                <c:pt idx="0">
                  <c:v>Major Cities of Australia</c:v>
                </c:pt>
                <c:pt idx="1">
                  <c:v>Inner Regional Australia</c:v>
                </c:pt>
                <c:pt idx="2">
                  <c:v>Outer Regional, Remote, and Very Remote Australia</c:v>
                </c:pt>
              </c:strCache>
            </c:strRef>
          </c:cat>
          <c:val>
            <c:numRef>
              <c:f>'Output - ARIA'!$G$22:$G$24</c:f>
              <c:numCache>
                <c:formatCode>0%</c:formatCode>
                <c:ptCount val="3"/>
                <c:pt idx="0">
                  <c:v>0.46</c:v>
                </c:pt>
                <c:pt idx="1">
                  <c:v>0.54</c:v>
                </c:pt>
                <c:pt idx="2">
                  <c:v>0.54</c:v>
                </c:pt>
              </c:numCache>
            </c:numRef>
          </c:val>
          <c:extLst>
            <c:ext xmlns:c16="http://schemas.microsoft.com/office/drawing/2014/chart" uri="{C3380CC4-5D6E-409C-BE32-E72D297353CC}">
              <c16:uniqueId val="{00000003-BBCC-4FD2-A6D1-C5DE46E1EA4B}"/>
            </c:ext>
          </c:extLst>
        </c:ser>
        <c:ser>
          <c:idx val="4"/>
          <c:order val="4"/>
          <c:tx>
            <c:strRef>
              <c:f>'Output - ARIA'!$H$21</c:f>
              <c:strCache>
                <c:ptCount val="1"/>
                <c:pt idx="0">
                  <c:v>2024Q2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'Output - ARIA'!$A$22:$A$24</c:f>
              <c:strCache>
                <c:ptCount val="3"/>
                <c:pt idx="0">
                  <c:v>Major Cities of Australia</c:v>
                </c:pt>
                <c:pt idx="1">
                  <c:v>Inner Regional Australia</c:v>
                </c:pt>
                <c:pt idx="2">
                  <c:v>Outer Regional, Remote, and Very Remote Australia</c:v>
                </c:pt>
              </c:strCache>
            </c:strRef>
          </c:cat>
          <c:val>
            <c:numRef>
              <c:f>'Output - ARIA'!$H$22:$H$24</c:f>
              <c:numCache>
                <c:formatCode>0%</c:formatCode>
                <c:ptCount val="3"/>
                <c:pt idx="0">
                  <c:v>0.43</c:v>
                </c:pt>
                <c:pt idx="1">
                  <c:v>0.52</c:v>
                </c:pt>
                <c:pt idx="2">
                  <c:v>0.47</c:v>
                </c:pt>
              </c:numCache>
            </c:numRef>
          </c:val>
          <c:extLst>
            <c:ext xmlns:c16="http://schemas.microsoft.com/office/drawing/2014/chart" uri="{C3380CC4-5D6E-409C-BE32-E72D297353CC}">
              <c16:uniqueId val="{00000004-BBCC-4FD2-A6D1-C5DE46E1EA4B}"/>
            </c:ext>
          </c:extLst>
        </c:ser>
        <c:dLbls>
          <c:showLegendKey val="0"/>
          <c:showVal val="0"/>
          <c:showCatName val="0"/>
          <c:showSerName val="0"/>
          <c:showPercent val="0"/>
          <c:showBubbleSize val="0"/>
        </c:dLbls>
        <c:gapWidth val="219"/>
        <c:overlap val="-27"/>
        <c:axId val="1065368751"/>
        <c:axId val="510140415"/>
      </c:barChart>
      <c:catAx>
        <c:axId val="106536875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140415"/>
        <c:crosses val="autoZero"/>
        <c:auto val="1"/>
        <c:lblAlgn val="ctr"/>
        <c:lblOffset val="100"/>
        <c:noMultiLvlLbl val="0"/>
      </c:catAx>
      <c:valAx>
        <c:axId val="5101404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5368751"/>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mn-lt"/>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'Output - ARIA'!$D$21</c:f>
              <c:strCache>
                <c:ptCount val="1"/>
                <c:pt idx="0">
                  <c:v>2023Q2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'Output - ARIA'!$A$36:$A$38</c:f>
              <c:strCache>
                <c:ptCount val="3"/>
                <c:pt idx="0">
                  <c:v>Major Cities of Australia</c:v>
                </c:pt>
                <c:pt idx="1">
                  <c:v>Inner Regional Australia</c:v>
                </c:pt>
                <c:pt idx="2">
                  <c:v>Outer Regional, Remote, and Very Remote Australia</c:v>
                </c:pt>
              </c:strCache>
            </c:strRef>
          </c:cat>
          <c:val>
            <c:numRef>
              <c:f>'Output - ARIA'!$D$36:$D$38</c:f>
              <c:numCache>
                <c:formatCode>0%</c:formatCode>
                <c:ptCount val="3"/>
                <c:pt idx="0">
                  <c:v>0.62</c:v>
                </c:pt>
                <c:pt idx="1">
                  <c:v>0.7</c:v>
                </c:pt>
                <c:pt idx="2">
                  <c:v>0.67</c:v>
                </c:pt>
              </c:numCache>
            </c:numRef>
          </c:val>
          <c:extLst>
            <c:ext xmlns:c16="http://schemas.microsoft.com/office/drawing/2014/chart" uri="{C3380CC4-5D6E-409C-BE32-E72D297353CC}">
              <c16:uniqueId val="{00000000-9662-41C9-B9AC-48DA1223728C}"/>
            </c:ext>
          </c:extLst>
        </c:ser>
        <c:ser>
          <c:idx val="1"/>
          <c:order val="1"/>
          <c:tx>
            <c:strRef>
              <c:f>'Output - ARIA'!$E$21</c:f>
              <c:strCache>
                <c:ptCount val="1"/>
                <c:pt idx="0">
                  <c:v>2023Q3</c:v>
                </c:pt>
              </c:strCache>
            </c:strRef>
          </c:tx>
          <c:spPr>
            <a:solidFill>
              <a:schemeClr val="accent2"/>
            </a:solidFill>
            <a:ln>
              <a:noFill/>
            </a:ln>
            <a:effectLst/>
          </c:spPr>
          <c:invertIfNegative val="0"/>
          <c:cat>
            <c:strRef>
              <c:f>'Output - ARIA'!$A$36:$A$38</c:f>
              <c:strCache>
                <c:ptCount val="3"/>
                <c:pt idx="0">
                  <c:v>Major Cities of Australia</c:v>
                </c:pt>
                <c:pt idx="1">
                  <c:v>Inner Regional Australia</c:v>
                </c:pt>
                <c:pt idx="2">
                  <c:v>Outer Regional, Remote, and Very Remote Australia</c:v>
                </c:pt>
              </c:strCache>
            </c:strRef>
          </c:cat>
          <c:val>
            <c:numRef>
              <c:f>'Output - ARIA'!$E$36:$E$38</c:f>
              <c:numCache>
                <c:formatCode>0%</c:formatCode>
                <c:ptCount val="3"/>
                <c:pt idx="0">
                  <c:v>0.56999999999999995</c:v>
                </c:pt>
                <c:pt idx="1">
                  <c:v>0.64</c:v>
                </c:pt>
                <c:pt idx="2">
                  <c:v>0.67</c:v>
                </c:pt>
              </c:numCache>
            </c:numRef>
          </c:val>
          <c:extLst>
            <c:ext xmlns:c16="http://schemas.microsoft.com/office/drawing/2014/chart" uri="{C3380CC4-5D6E-409C-BE32-E72D297353CC}">
              <c16:uniqueId val="{00000001-9662-41C9-B9AC-48DA1223728C}"/>
            </c:ext>
          </c:extLst>
        </c:ser>
        <c:ser>
          <c:idx val="2"/>
          <c:order val="2"/>
          <c:tx>
            <c:strRef>
              <c:f>'Output - ARIA'!$F$21</c:f>
              <c:strCache>
                <c:ptCount val="1"/>
                <c:pt idx="0">
                  <c:v>2023Q4</c:v>
                </c:pt>
              </c:strCache>
            </c:strRef>
          </c:tx>
          <c:spPr>
            <a:solidFill>
              <a:schemeClr val="accent3"/>
            </a:solidFill>
            <a:ln>
              <a:noFill/>
            </a:ln>
            <a:effectLst/>
          </c:spPr>
          <c:invertIfNegative val="0"/>
          <c:cat>
            <c:strRef>
              <c:f>'Output - ARIA'!$A$36:$A$38</c:f>
              <c:strCache>
                <c:ptCount val="3"/>
                <c:pt idx="0">
                  <c:v>Major Cities of Australia</c:v>
                </c:pt>
                <c:pt idx="1">
                  <c:v>Inner Regional Australia</c:v>
                </c:pt>
                <c:pt idx="2">
                  <c:v>Outer Regional, Remote, and Very Remote Australia</c:v>
                </c:pt>
              </c:strCache>
            </c:strRef>
          </c:cat>
          <c:val>
            <c:numRef>
              <c:f>'Output - ARIA'!$F$36:$F$38</c:f>
              <c:numCache>
                <c:formatCode>0%</c:formatCode>
                <c:ptCount val="3"/>
                <c:pt idx="0">
                  <c:v>0.53</c:v>
                </c:pt>
                <c:pt idx="1">
                  <c:v>0.6</c:v>
                </c:pt>
                <c:pt idx="2">
                  <c:v>0.59</c:v>
                </c:pt>
              </c:numCache>
            </c:numRef>
          </c:val>
          <c:extLst>
            <c:ext xmlns:c16="http://schemas.microsoft.com/office/drawing/2014/chart" uri="{C3380CC4-5D6E-409C-BE32-E72D297353CC}">
              <c16:uniqueId val="{00000002-9662-41C9-B9AC-48DA1223728C}"/>
            </c:ext>
          </c:extLst>
        </c:ser>
        <c:ser>
          <c:idx val="3"/>
          <c:order val="3"/>
          <c:tx>
            <c:strRef>
              <c:f>'Output - ARIA'!$G$21</c:f>
              <c:strCache>
                <c:ptCount val="1"/>
                <c:pt idx="0">
                  <c:v>2024Q1</c:v>
                </c:pt>
              </c:strCache>
            </c:strRef>
          </c:tx>
          <c:spPr>
            <a:solidFill>
              <a:schemeClr val="accent4"/>
            </a:solidFill>
            <a:ln>
              <a:noFill/>
            </a:ln>
            <a:effectLst/>
          </c:spPr>
          <c:invertIfNegative val="0"/>
          <c:cat>
            <c:strRef>
              <c:f>'Output - ARIA'!$A$36:$A$38</c:f>
              <c:strCache>
                <c:ptCount val="3"/>
                <c:pt idx="0">
                  <c:v>Major Cities of Australia</c:v>
                </c:pt>
                <c:pt idx="1">
                  <c:v>Inner Regional Australia</c:v>
                </c:pt>
                <c:pt idx="2">
                  <c:v>Outer Regional, Remote, and Very Remote Australia</c:v>
                </c:pt>
              </c:strCache>
            </c:strRef>
          </c:cat>
          <c:val>
            <c:numRef>
              <c:f>'Output - ARIA'!$G$36:$G$38</c:f>
              <c:numCache>
                <c:formatCode>0%</c:formatCode>
                <c:ptCount val="3"/>
                <c:pt idx="0">
                  <c:v>0.49</c:v>
                </c:pt>
                <c:pt idx="1">
                  <c:v>0.59</c:v>
                </c:pt>
                <c:pt idx="2">
                  <c:v>0.65</c:v>
                </c:pt>
              </c:numCache>
            </c:numRef>
          </c:val>
          <c:extLst>
            <c:ext xmlns:c16="http://schemas.microsoft.com/office/drawing/2014/chart" uri="{C3380CC4-5D6E-409C-BE32-E72D297353CC}">
              <c16:uniqueId val="{00000003-9662-41C9-B9AC-48DA1223728C}"/>
            </c:ext>
          </c:extLst>
        </c:ser>
        <c:ser>
          <c:idx val="4"/>
          <c:order val="4"/>
          <c:tx>
            <c:strRef>
              <c:f>'Output - ARIA'!$H$21</c:f>
              <c:strCache>
                <c:ptCount val="1"/>
                <c:pt idx="0">
                  <c:v>2024Q2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'Output - ARIA'!$A$36:$A$38</c:f>
              <c:strCache>
                <c:ptCount val="3"/>
                <c:pt idx="0">
                  <c:v>Major Cities of Australia</c:v>
                </c:pt>
                <c:pt idx="1">
                  <c:v>Inner Regional Australia</c:v>
                </c:pt>
                <c:pt idx="2">
                  <c:v>Outer Regional, Remote, and Very Remote Australia</c:v>
                </c:pt>
              </c:strCache>
            </c:strRef>
          </c:cat>
          <c:val>
            <c:numRef>
              <c:f>'Output - ARIA'!$H$36:$H$38</c:f>
              <c:numCache>
                <c:formatCode>0%</c:formatCode>
                <c:ptCount val="3"/>
                <c:pt idx="0">
                  <c:v>0.53</c:v>
                </c:pt>
                <c:pt idx="1">
                  <c:v>0.59</c:v>
                </c:pt>
                <c:pt idx="2">
                  <c:v>0.56999999999999995</c:v>
                </c:pt>
              </c:numCache>
            </c:numRef>
          </c:val>
          <c:extLst>
            <c:ext xmlns:c16="http://schemas.microsoft.com/office/drawing/2014/chart" uri="{C3380CC4-5D6E-409C-BE32-E72D297353CC}">
              <c16:uniqueId val="{00000004-9662-41C9-B9AC-48DA1223728C}"/>
            </c:ext>
          </c:extLst>
        </c:ser>
        <c:dLbls>
          <c:showLegendKey val="0"/>
          <c:showVal val="0"/>
          <c:showCatName val="0"/>
          <c:showSerName val="0"/>
          <c:showPercent val="0"/>
          <c:showBubbleSize val="0"/>
        </c:dLbls>
        <c:gapWidth val="219"/>
        <c:overlap val="-27"/>
        <c:axId val="1065368751"/>
        <c:axId val="510140415"/>
      </c:barChart>
      <c:catAx>
        <c:axId val="106536875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140415"/>
        <c:crosses val="autoZero"/>
        <c:auto val="1"/>
        <c:lblAlgn val="ctr"/>
        <c:lblOffset val="100"/>
        <c:noMultiLvlLbl val="0"/>
      </c:catAx>
      <c:valAx>
        <c:axId val="510140415"/>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5368751"/>
        <c:crosses val="autoZero"/>
        <c:crossBetween val="between"/>
        <c:majorUnit val="0.2"/>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solidFill>
            <a:sysClr val="windowText" lastClr="000000"/>
          </a:solidFill>
          <a:latin typeface="+mn-lt"/>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17304804804804E-2"/>
          <c:y val="0.10421873251520011"/>
          <c:w val="0.89616272522522522"/>
          <c:h val="0.36369726584356005"/>
        </c:manualLayout>
      </c:layout>
      <c:barChart>
        <c:barDir val="col"/>
        <c:grouping val="clustered"/>
        <c:varyColors val="0"/>
        <c:ser>
          <c:idx val="0"/>
          <c:order val="0"/>
          <c:tx>
            <c:strRef>
              <c:f>'Output - ARIA'!$D$16</c:f>
              <c:strCache>
                <c:ptCount val="1"/>
                <c:pt idx="0">
                  <c:v>Jun qtr 2023</c:v>
                </c:pt>
              </c:strCache>
            </c:strRef>
          </c:tx>
          <c:spPr>
            <a:solidFill>
              <a:schemeClr val="accent1"/>
            </a:solidFill>
            <a:ln>
              <a:noFill/>
            </a:ln>
            <a:effectLst/>
          </c:spPr>
          <c:invertIfNegative val="0"/>
          <c:cat>
            <c:numRef>
              <c:f>'Output - ARIA'!$A$17</c:f>
              <c:numCache>
                <c:formatCode>General</c:formatCode>
                <c:ptCount val="1"/>
              </c:numCache>
            </c:numRef>
          </c:cat>
          <c:val>
            <c:numRef>
              <c:f>'Output - ARIA'!$D$17</c:f>
              <c:numCache>
                <c:formatCode>General</c:formatCode>
                <c:ptCount val="1"/>
              </c:numCache>
            </c:numRef>
          </c:val>
          <c:extLst>
            <c:ext xmlns:c16="http://schemas.microsoft.com/office/drawing/2014/chart" uri="{C3380CC4-5D6E-409C-BE32-E72D297353CC}">
              <c16:uniqueId val="{00000000-EC4B-4980-BCBB-031F640573D7}"/>
            </c:ext>
          </c:extLst>
        </c:ser>
        <c:ser>
          <c:idx val="1"/>
          <c:order val="1"/>
          <c:tx>
            <c:strRef>
              <c:f>'Output - ARIA'!$E$16</c:f>
              <c:strCache>
                <c:ptCount val="1"/>
                <c:pt idx="0">
                  <c:v>Sep qtr 2023</c:v>
                </c:pt>
              </c:strCache>
            </c:strRef>
          </c:tx>
          <c:spPr>
            <a:solidFill>
              <a:schemeClr val="accent2"/>
            </a:solidFill>
            <a:ln>
              <a:noFill/>
            </a:ln>
            <a:effectLst/>
          </c:spPr>
          <c:invertIfNegative val="0"/>
          <c:cat>
            <c:numRef>
              <c:f>'Output - ARIA'!$A$17</c:f>
              <c:numCache>
                <c:formatCode>General</c:formatCode>
                <c:ptCount val="1"/>
              </c:numCache>
            </c:numRef>
          </c:cat>
          <c:val>
            <c:numRef>
              <c:f>'Output - ARIA'!$E$17</c:f>
              <c:numCache>
                <c:formatCode>General</c:formatCode>
                <c:ptCount val="1"/>
              </c:numCache>
            </c:numRef>
          </c:val>
          <c:extLst>
            <c:ext xmlns:c16="http://schemas.microsoft.com/office/drawing/2014/chart" uri="{C3380CC4-5D6E-409C-BE32-E72D297353CC}">
              <c16:uniqueId val="{00000001-EC4B-4980-BCBB-031F640573D7}"/>
            </c:ext>
          </c:extLst>
        </c:ser>
        <c:ser>
          <c:idx val="2"/>
          <c:order val="2"/>
          <c:tx>
            <c:strRef>
              <c:f>'Output - ARIA'!$F$16</c:f>
              <c:strCache>
                <c:ptCount val="1"/>
                <c:pt idx="0">
                  <c:v>Dec qtr 2023</c:v>
                </c:pt>
              </c:strCache>
            </c:strRef>
          </c:tx>
          <c:spPr>
            <a:solidFill>
              <a:schemeClr val="accent3"/>
            </a:solidFill>
            <a:ln>
              <a:noFill/>
            </a:ln>
            <a:effectLst/>
          </c:spPr>
          <c:invertIfNegative val="0"/>
          <c:cat>
            <c:numRef>
              <c:f>'Output - ARIA'!$A$17</c:f>
              <c:numCache>
                <c:formatCode>General</c:formatCode>
                <c:ptCount val="1"/>
              </c:numCache>
            </c:numRef>
          </c:cat>
          <c:val>
            <c:numRef>
              <c:f>'Output - ARIA'!$F$17</c:f>
              <c:numCache>
                <c:formatCode>General</c:formatCode>
                <c:ptCount val="1"/>
              </c:numCache>
            </c:numRef>
          </c:val>
          <c:extLst>
            <c:ext xmlns:c16="http://schemas.microsoft.com/office/drawing/2014/chart" uri="{C3380CC4-5D6E-409C-BE32-E72D297353CC}">
              <c16:uniqueId val="{00000002-EC4B-4980-BCBB-031F640573D7}"/>
            </c:ext>
          </c:extLst>
        </c:ser>
        <c:ser>
          <c:idx val="3"/>
          <c:order val="3"/>
          <c:tx>
            <c:strRef>
              <c:f>'Output - ARIA'!$G$16</c:f>
              <c:strCache>
                <c:ptCount val="1"/>
                <c:pt idx="0">
                  <c:v>Mar qtr 2024</c:v>
                </c:pt>
              </c:strCache>
            </c:strRef>
          </c:tx>
          <c:spPr>
            <a:solidFill>
              <a:schemeClr val="accent4"/>
            </a:solidFill>
            <a:ln>
              <a:noFill/>
            </a:ln>
            <a:effectLst/>
          </c:spPr>
          <c:invertIfNegative val="0"/>
          <c:cat>
            <c:numRef>
              <c:f>'Output - ARIA'!$A$17</c:f>
              <c:numCache>
                <c:formatCode>General</c:formatCode>
                <c:ptCount val="1"/>
              </c:numCache>
            </c:numRef>
          </c:cat>
          <c:val>
            <c:numRef>
              <c:f>'Output - ARIA'!$G$17</c:f>
              <c:numCache>
                <c:formatCode>General</c:formatCode>
                <c:ptCount val="1"/>
              </c:numCache>
            </c:numRef>
          </c:val>
          <c:extLst>
            <c:ext xmlns:c16="http://schemas.microsoft.com/office/drawing/2014/chart" uri="{C3380CC4-5D6E-409C-BE32-E72D297353CC}">
              <c16:uniqueId val="{00000003-EC4B-4980-BCBB-031F640573D7}"/>
            </c:ext>
          </c:extLst>
        </c:ser>
        <c:ser>
          <c:idx val="4"/>
          <c:order val="4"/>
          <c:tx>
            <c:strRef>
              <c:f>'Output - ARIA'!$H$16</c:f>
              <c:strCache>
                <c:ptCount val="1"/>
                <c:pt idx="0">
                  <c:v>Jun qtr 2024</c:v>
                </c:pt>
              </c:strCache>
            </c:strRef>
          </c:tx>
          <c:spPr>
            <a:solidFill>
              <a:schemeClr val="accent5"/>
            </a:solidFill>
            <a:ln>
              <a:noFill/>
            </a:ln>
            <a:effectLst/>
          </c:spPr>
          <c:invertIfNegative val="0"/>
          <c:cat>
            <c:numRef>
              <c:f>'Output - ARIA'!$A$17</c:f>
              <c:numCache>
                <c:formatCode>General</c:formatCode>
                <c:ptCount val="1"/>
              </c:numCache>
            </c:numRef>
          </c:cat>
          <c:val>
            <c:numRef>
              <c:f>'Output - ARIA'!$H$17</c:f>
              <c:numCache>
                <c:formatCode>General</c:formatCode>
                <c:ptCount val="1"/>
              </c:numCache>
            </c:numRef>
          </c:val>
          <c:extLst>
            <c:ext xmlns:c16="http://schemas.microsoft.com/office/drawing/2014/chart" uri="{C3380CC4-5D6E-409C-BE32-E72D297353CC}">
              <c16:uniqueId val="{00000004-EC4B-4980-BCBB-031F640573D7}"/>
            </c:ext>
          </c:extLst>
        </c:ser>
        <c:dLbls>
          <c:showLegendKey val="0"/>
          <c:showVal val="0"/>
          <c:showCatName val="0"/>
          <c:showSerName val="0"/>
          <c:showPercent val="0"/>
          <c:showBubbleSize val="0"/>
        </c:dLbls>
        <c:gapWidth val="219"/>
        <c:overlap val="-27"/>
        <c:axId val="1065368751"/>
        <c:axId val="510140415"/>
      </c:barChart>
      <c:catAx>
        <c:axId val="1065368751"/>
        <c:scaling>
          <c:orientation val="minMax"/>
        </c:scaling>
        <c:delete val="1"/>
        <c:axPos val="b"/>
        <c:numFmt formatCode="General" sourceLinked="1"/>
        <c:majorTickMark val="out"/>
        <c:minorTickMark val="none"/>
        <c:tickLblPos val="nextTo"/>
        <c:crossAx val="510140415"/>
        <c:crosses val="autoZero"/>
        <c:auto val="1"/>
        <c:lblAlgn val="ctr"/>
        <c:lblOffset val="100"/>
        <c:noMultiLvlLbl val="0"/>
      </c:catAx>
      <c:valAx>
        <c:axId val="510140415"/>
        <c:scaling>
          <c:orientation val="minMax"/>
        </c:scaling>
        <c:delete val="1"/>
        <c:axPos val="l"/>
        <c:numFmt formatCode="General" sourceLinked="1"/>
        <c:majorTickMark val="none"/>
        <c:minorTickMark val="none"/>
        <c:tickLblPos val="nextTo"/>
        <c:crossAx val="1065368751"/>
        <c:crosses val="autoZero"/>
        <c:crossBetween val="between"/>
        <c:majorUnit val="0.2"/>
      </c:valAx>
      <c:spPr>
        <a:noFill/>
        <a:ln w="25400">
          <a:noFill/>
        </a:ln>
        <a:effectLst/>
      </c:spPr>
    </c:plotArea>
    <c:legend>
      <c:legendPos val="b"/>
      <c:layout>
        <c:manualLayout>
          <c:xMode val="edge"/>
          <c:yMode val="edge"/>
          <c:x val="6.1378941441441438E-2"/>
          <c:y val="8.3101197359095866E-2"/>
          <c:w val="0.87724211711711708"/>
          <c:h val="0.8600522212689768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3414692240467"/>
          <c:y val="5.4630807850382566E-2"/>
          <c:w val="0.84776174189329379"/>
          <c:h val="0.72985656993267667"/>
        </c:manualLayout>
      </c:layout>
      <c:scatterChart>
        <c:scatterStyle val="lineMarker"/>
        <c:varyColors val="0"/>
        <c:ser>
          <c:idx val="0"/>
          <c:order val="0"/>
          <c:tx>
            <c:strRef>
              <c:f>'Updated format'!$C$5</c:f>
              <c:strCache>
                <c:ptCount val="1"/>
                <c:pt idx="0">
                  <c:v>Capital Cities</c:v>
                </c:pt>
              </c:strCache>
            </c:strRef>
          </c:tx>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fld id="{1BD75D5D-C3F5-4396-863C-6F85B29C9A5A}" type="CELLRANGE">
                      <a:rPr lang="en-US"/>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4782-4A2A-9308-FACD32112D32}"/>
                </c:ext>
              </c:extLst>
            </c:dLbl>
            <c:dLbl>
              <c:idx val="1"/>
              <c:layout>
                <c:manualLayout>
                  <c:x val="2.9435722942754424E-2"/>
                  <c:y val="-3.0132977085978729E-3"/>
                </c:manualLayout>
              </c:layout>
              <c:tx>
                <c:rich>
                  <a:bodyPr/>
                  <a:lstStyle/>
                  <a:p>
                    <a:fld id="{3D77FF98-2619-445C-AAC5-7E02552C518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4782-4A2A-9308-FACD32112D32}"/>
                </c:ext>
              </c:extLst>
            </c:dLbl>
            <c:dLbl>
              <c:idx val="2"/>
              <c:layout>
                <c:manualLayout>
                  <c:x val="-3.7386199989963557E-2"/>
                  <c:y val="-4.0571978105735949E-2"/>
                </c:manualLayout>
              </c:layout>
              <c:tx>
                <c:rich>
                  <a:bodyPr/>
                  <a:lstStyle/>
                  <a:p>
                    <a:fld id="{31D8C2CB-55EE-4795-BAF8-3DF7028744D7}"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4782-4A2A-9308-FACD32112D32}"/>
                </c:ext>
              </c:extLst>
            </c:dLbl>
            <c:dLbl>
              <c:idx val="3"/>
              <c:layout>
                <c:manualLayout>
                  <c:x val="-8.9088462785552894E-2"/>
                  <c:y val="-4.7400829087033705E-2"/>
                </c:manualLayout>
              </c:layout>
              <c:tx>
                <c:rich>
                  <a:bodyPr/>
                  <a:lstStyle/>
                  <a:p>
                    <a:fld id="{CA920784-C7B9-4008-AC25-11413AD10BC1}"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4782-4A2A-9308-FACD32112D32}"/>
                </c:ext>
              </c:extLst>
            </c:dLbl>
            <c:dLbl>
              <c:idx val="4"/>
              <c:tx>
                <c:rich>
                  <a:bodyPr/>
                  <a:lstStyle/>
                  <a:p>
                    <a:fld id="{77226F88-63B4-4235-B696-D3D718090FCD}" type="CELLRANGE">
                      <a:rPr lang="en-AU"/>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4782-4A2A-9308-FACD32112D32}"/>
                </c:ext>
              </c:extLst>
            </c:dLbl>
            <c:dLbl>
              <c:idx val="5"/>
              <c:layout>
                <c:manualLayout>
                  <c:x val="-8.0656799568989274E-3"/>
                  <c:y val="3.8127694507491497E-2"/>
                </c:manualLayout>
              </c:layout>
              <c:tx>
                <c:rich>
                  <a:bodyPr/>
                  <a:lstStyle/>
                  <a:p>
                    <a:fld id="{332EA3D8-48E3-436B-AEA8-C11AF1A3C82F}"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782-4A2A-9308-FACD32112D32}"/>
                </c:ext>
              </c:extLst>
            </c:dLbl>
            <c:dLbl>
              <c:idx val="6"/>
              <c:layout>
                <c:manualLayout>
                  <c:x val="-0.13483487984141626"/>
                  <c:y val="-9.8421486898956929E-3"/>
                </c:manualLayout>
              </c:layout>
              <c:tx>
                <c:rich>
                  <a:bodyPr/>
                  <a:lstStyle/>
                  <a:p>
                    <a:fld id="{A9644FA3-57D8-493F-8248-FBC9EDDF7CDD}"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4782-4A2A-9308-FACD32112D32}"/>
                </c:ext>
              </c:extLst>
            </c:dLbl>
            <c:dLbl>
              <c:idx val="7"/>
              <c:layout>
                <c:manualLayout>
                  <c:x val="4.3464207392994073E-2"/>
                  <c:y val="2.4302106216593285E-2"/>
                </c:manualLayout>
              </c:layout>
              <c:tx>
                <c:rich>
                  <a:bodyPr/>
                  <a:lstStyle/>
                  <a:p>
                    <a:fld id="{89FD9A98-50D2-42D0-927B-82A87BAFB1D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782-4A2A-9308-FACD32112D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'Updated format'!$B$6:$B$13</c:f>
              <c:numCache>
                <c:formatCode>0%</c:formatCode>
                <c:ptCount val="8"/>
                <c:pt idx="0">
                  <c:v>0.5</c:v>
                </c:pt>
                <c:pt idx="1">
                  <c:v>0.55000000000000004</c:v>
                </c:pt>
                <c:pt idx="2">
                  <c:v>0.52</c:v>
                </c:pt>
                <c:pt idx="3">
                  <c:v>0.56999999999999995</c:v>
                </c:pt>
                <c:pt idx="4">
                  <c:v>0.42</c:v>
                </c:pt>
                <c:pt idx="5">
                  <c:v>0.53</c:v>
                </c:pt>
                <c:pt idx="6">
                  <c:v>0.5</c:v>
                </c:pt>
                <c:pt idx="7">
                  <c:v>0.55000000000000004</c:v>
                </c:pt>
              </c:numCache>
            </c:numRef>
          </c:xVal>
          <c:yVal>
            <c:numRef>
              <c:f>'Updated format'!$C$6:$C$13</c:f>
              <c:numCache>
                <c:formatCode>0%</c:formatCode>
                <c:ptCount val="8"/>
                <c:pt idx="0">
                  <c:v>0.53</c:v>
                </c:pt>
                <c:pt idx="1">
                  <c:v>0.45</c:v>
                </c:pt>
                <c:pt idx="2">
                  <c:v>0.51</c:v>
                </c:pt>
                <c:pt idx="3">
                  <c:v>0.63</c:v>
                </c:pt>
                <c:pt idx="4">
                  <c:v>0.45</c:v>
                </c:pt>
                <c:pt idx="5">
                  <c:v>0.43</c:v>
                </c:pt>
                <c:pt idx="6">
                  <c:v>0.48</c:v>
                </c:pt>
                <c:pt idx="7">
                  <c:v>0.44</c:v>
                </c:pt>
              </c:numCache>
            </c:numRef>
          </c:yVal>
          <c:smooth val="0"/>
          <c:extLst>
            <c:ext xmlns:c15="http://schemas.microsoft.com/office/drawing/2012/chart" uri="{02D57815-91ED-43cb-92C2-25804820EDAC}">
              <c15:datalabelsRange>
                <c15:f>'Updated format'!$A$6:$A$13</c15:f>
                <c15:dlblRangeCache>
                  <c:ptCount val="8"/>
                  <c:pt idx="0">
                    <c:v>ACT</c:v>
                  </c:pt>
                  <c:pt idx="1">
                    <c:v>Greater Adelaide</c:v>
                  </c:pt>
                  <c:pt idx="2">
                    <c:v>Greater Brisbane</c:v>
                  </c:pt>
                  <c:pt idx="3">
                    <c:v>Greater Darwin</c:v>
                  </c:pt>
                  <c:pt idx="4">
                    <c:v>Greater Hobart</c:v>
                  </c:pt>
                  <c:pt idx="5">
                    <c:v>Greater Melbourne</c:v>
                  </c:pt>
                  <c:pt idx="6">
                    <c:v>Greater Perth</c:v>
                  </c:pt>
                  <c:pt idx="7">
                    <c:v>Greater Sydney</c:v>
                  </c:pt>
                </c15:dlblRangeCache>
              </c15:datalabelsRange>
            </c:ext>
            <c:ext xmlns:c16="http://schemas.microsoft.com/office/drawing/2014/chart" uri="{C3380CC4-5D6E-409C-BE32-E72D297353CC}">
              <c16:uniqueId val="{00000008-4782-4A2A-9308-FACD32112D32}"/>
            </c:ext>
          </c:extLst>
        </c:ser>
        <c:ser>
          <c:idx val="1"/>
          <c:order val="1"/>
          <c:tx>
            <c:strRef>
              <c:f>'Updated format'!$D$5</c:f>
              <c:strCache>
                <c:ptCount val="1"/>
                <c:pt idx="0">
                  <c:v>Rest of State areas</c:v>
                </c:pt>
              </c:strCache>
            </c:strRef>
          </c:tx>
          <c:spPr>
            <a:ln w="25400" cap="rnd">
              <a:noFill/>
              <a:round/>
            </a:ln>
            <a:effectLst/>
          </c:spPr>
          <c:marker>
            <c:symbol val="circle"/>
            <c:size val="5"/>
            <c:spPr>
              <a:solidFill>
                <a:schemeClr val="accent2"/>
              </a:solidFill>
              <a:ln w="9525">
                <a:solidFill>
                  <a:schemeClr val="accent2"/>
                </a:solidFill>
              </a:ln>
              <a:effectLst/>
            </c:spPr>
          </c:marker>
          <c:dLbls>
            <c:dLbl>
              <c:idx val="0"/>
              <c:tx>
                <c:rich>
                  <a:bodyPr/>
                  <a:lstStyle/>
                  <a:p>
                    <a:fld id="{5A61DCAB-823E-4739-A20F-E85E7CAA9CC5}" type="CELLRANGE">
                      <a:rPr lang="en-US"/>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782-4A2A-9308-FACD32112D32}"/>
                </c:ext>
              </c:extLst>
            </c:dLbl>
            <c:dLbl>
              <c:idx val="1"/>
              <c:layout>
                <c:manualLayout>
                  <c:x val="1.0296724428463363E-3"/>
                  <c:y val="-2.1529162554345151E-2"/>
                </c:manualLayout>
              </c:layout>
              <c:tx>
                <c:rich>
                  <a:bodyPr/>
                  <a:lstStyle/>
                  <a:p>
                    <a:fld id="{F119DA6F-961B-4C7F-90A6-58B2D564420D}"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782-4A2A-9308-FACD32112D32}"/>
                </c:ext>
              </c:extLst>
            </c:dLbl>
            <c:dLbl>
              <c:idx val="2"/>
              <c:layout>
                <c:manualLayout>
                  <c:x val="-7.4809741235238592E-2"/>
                  <c:y val="-4.3412672572995442E-2"/>
                </c:manualLayout>
              </c:layout>
              <c:tx>
                <c:rich>
                  <a:bodyPr/>
                  <a:lstStyle/>
                  <a:p>
                    <a:fld id="{3A2819C6-DC33-4E1F-8C2C-F33A847BA992}"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4782-4A2A-9308-FACD32112D32}"/>
                </c:ext>
              </c:extLst>
            </c:dLbl>
            <c:dLbl>
              <c:idx val="3"/>
              <c:layout>
                <c:manualLayout>
                  <c:x val="-0.11257155032274842"/>
                  <c:y val="-3.0132977085978729E-3"/>
                </c:manualLayout>
              </c:layout>
              <c:tx>
                <c:rich>
                  <a:bodyPr/>
                  <a:lstStyle/>
                  <a:p>
                    <a:fld id="{0111C1D4-E825-4863-9195-ECE6A186179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4782-4A2A-9308-FACD32112D32}"/>
                </c:ext>
              </c:extLst>
            </c:dLbl>
            <c:dLbl>
              <c:idx val="4"/>
              <c:layout>
                <c:manualLayout>
                  <c:x val="-6.5829422780227118E-2"/>
                  <c:y val="-4.7400829087033705E-2"/>
                </c:manualLayout>
              </c:layout>
              <c:tx>
                <c:rich>
                  <a:bodyPr/>
                  <a:lstStyle/>
                  <a:p>
                    <a:fld id="{5E0477C6-9C06-4D17-8B81-540A625239C9}"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4782-4A2A-9308-FACD32112D32}"/>
                </c:ext>
              </c:extLst>
            </c:dLbl>
            <c:dLbl>
              <c:idx val="5"/>
              <c:tx>
                <c:rich>
                  <a:bodyPr/>
                  <a:lstStyle/>
                  <a:p>
                    <a:fld id="{955297A4-F345-4B02-99A5-1F3262D51521}" type="CELLRANGE">
                      <a:rPr lang="en-AU"/>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4782-4A2A-9308-FACD32112D32}"/>
                </c:ext>
              </c:extLst>
            </c:dLbl>
            <c:dLbl>
              <c:idx val="6"/>
              <c:tx>
                <c:rich>
                  <a:bodyPr/>
                  <a:lstStyle/>
                  <a:p>
                    <a:fld id="{C588DF4D-5F82-4C04-82B7-A3126503F80E}" type="CELLRANGE">
                      <a:rPr lang="en-AU"/>
                      <a:pPr/>
                      <a:t>[CELLRANGE]</a:t>
                    </a:fld>
                    <a:endParaRPr lang="en-AU"/>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4782-4A2A-9308-FACD32112D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'Updated format'!$B$14:$B$20</c:f>
              <c:numCache>
                <c:formatCode>0%</c:formatCode>
                <c:ptCount val="7"/>
                <c:pt idx="0">
                  <c:v>0.57999999999999996</c:v>
                </c:pt>
                <c:pt idx="1">
                  <c:v>0.63</c:v>
                </c:pt>
                <c:pt idx="2">
                  <c:v>0.56000000000000005</c:v>
                </c:pt>
                <c:pt idx="3">
                  <c:v>0.54</c:v>
                </c:pt>
                <c:pt idx="4">
                  <c:v>0.55000000000000004</c:v>
                </c:pt>
                <c:pt idx="5">
                  <c:v>0.61</c:v>
                </c:pt>
                <c:pt idx="6">
                  <c:v>0.64</c:v>
                </c:pt>
              </c:numCache>
            </c:numRef>
          </c:xVal>
          <c:yVal>
            <c:numRef>
              <c:f>'Updated format'!$D$14:$D$20</c:f>
              <c:numCache>
                <c:formatCode>0%</c:formatCode>
                <c:ptCount val="7"/>
                <c:pt idx="0">
                  <c:v>0.5</c:v>
                </c:pt>
                <c:pt idx="1">
                  <c:v>0.78</c:v>
                </c:pt>
                <c:pt idx="2">
                  <c:v>0.54</c:v>
                </c:pt>
                <c:pt idx="3">
                  <c:v>0.46</c:v>
                </c:pt>
                <c:pt idx="4">
                  <c:v>0.46</c:v>
                </c:pt>
                <c:pt idx="5">
                  <c:v>0.48</c:v>
                </c:pt>
                <c:pt idx="6">
                  <c:v>0.59</c:v>
                </c:pt>
              </c:numCache>
            </c:numRef>
          </c:yVal>
          <c:smooth val="0"/>
          <c:extLst>
            <c:ext xmlns:c15="http://schemas.microsoft.com/office/drawing/2012/chart" uri="{02D57815-91ED-43cb-92C2-25804820EDAC}">
              <c15:datalabelsRange>
                <c15:f>'Updated format'!$A$14:$A$20</c15:f>
                <c15:dlblRangeCache>
                  <c:ptCount val="7"/>
                  <c:pt idx="0">
                    <c:v>Rest of NSW</c:v>
                  </c:pt>
                  <c:pt idx="1">
                    <c:v>Rest of NT</c:v>
                  </c:pt>
                  <c:pt idx="2">
                    <c:v>Rest of Queensland</c:v>
                  </c:pt>
                  <c:pt idx="3">
                    <c:v>Rest of SA</c:v>
                  </c:pt>
                  <c:pt idx="4">
                    <c:v>Rest of Tasmania</c:v>
                  </c:pt>
                  <c:pt idx="5">
                    <c:v>Rest of Victoria</c:v>
                  </c:pt>
                  <c:pt idx="6">
                    <c:v>Rest of WA</c:v>
                  </c:pt>
                </c15:dlblRangeCache>
              </c15:datalabelsRange>
            </c:ext>
            <c:ext xmlns:c16="http://schemas.microsoft.com/office/drawing/2014/chart" uri="{C3380CC4-5D6E-409C-BE32-E72D297353CC}">
              <c16:uniqueId val="{00000010-4782-4A2A-9308-FACD32112D32}"/>
            </c:ext>
          </c:extLst>
        </c:ser>
        <c:dLbls>
          <c:dLblPos val="t"/>
          <c:showLegendKey val="0"/>
          <c:showVal val="1"/>
          <c:showCatName val="0"/>
          <c:showSerName val="0"/>
          <c:showPercent val="0"/>
          <c:showBubbleSize val="0"/>
        </c:dLbls>
        <c:axId val="1302423375"/>
        <c:axId val="1302425295"/>
      </c:scatterChart>
      <c:valAx>
        <c:axId val="1302423375"/>
        <c:scaling>
          <c:orientation val="minMax"/>
          <c:max val="0.70000000000000007"/>
          <c:min val="0.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Recruitment difficulty rate (Proportion of recruiting employers)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02425295"/>
        <c:crosses val="autoZero"/>
        <c:crossBetween val="midCat"/>
      </c:valAx>
      <c:valAx>
        <c:axId val="1302425295"/>
        <c:scaling>
          <c:orientation val="minMax"/>
          <c:max val="0.8"/>
          <c:min val="0.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Recruitment rate (Proportion of all employers)</a:t>
                </a:r>
              </a:p>
            </c:rich>
          </c:tx>
          <c:layout>
            <c:manualLayout>
              <c:xMode val="edge"/>
              <c:yMode val="edge"/>
              <c:x val="1.2675440784409733E-3"/>
              <c:y val="8.159078890166535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02423375"/>
        <c:crosses val="autoZero"/>
        <c:crossBetween val="midCat"/>
        <c:majorUnit val="0.1"/>
        <c:min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880057582829845E-3"/>
          <c:y val="3.1929413078684313E-2"/>
          <c:w val="0.98265168931445901"/>
          <c:h val="0.75144740353395567"/>
        </c:manualLayout>
      </c:layout>
      <c:barChart>
        <c:barDir val="col"/>
        <c:grouping val="clustered"/>
        <c:varyColors val="0"/>
        <c:ser>
          <c:idx val="1"/>
          <c:order val="1"/>
          <c:tx>
            <c:strRef>
              <c:f>'Metro_Regional chart'!$D$1</c:f>
              <c:strCache>
                <c:ptCount val="1"/>
                <c:pt idx="0">
                  <c:v>Applicants per vacancy</c:v>
                </c:pt>
              </c:strCache>
            </c:strRef>
          </c:tx>
          <c:spPr>
            <a:solidFill>
              <a:srgbClr val="6929C4"/>
            </a:solidFill>
            <a:ln>
              <a:noFill/>
            </a:ln>
            <a:effectLst/>
          </c:spPr>
          <c:invertIfNegative val="0"/>
          <c:dLbls>
            <c:spPr>
              <a:noFill/>
              <a:ln>
                <a:noFill/>
              </a:ln>
              <a:effectLst/>
            </c:spPr>
            <c:txPr>
              <a:bodyPr rot="0" spcFirstLastPara="1" vertOverflow="ellipsis" vert="horz" wrap="square" lIns="0" tIns="0" rIns="0" bIns="0" anchor="ctr" anchorCtr="1">
                <a:spAutoFit/>
              </a:bodyPr>
              <a:lstStyle/>
              <a:p>
                <a:pPr>
                  <a:defRPr sz="6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'Metro_Regional chart'!$B$2:$B$10</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chart'!$D$2:$D$10</c:f>
              <c:numCache>
                <c:formatCode>0.0</c:formatCode>
                <c:ptCount val="9"/>
                <c:pt idx="0">
                  <c:v>14.554726850058117</c:v>
                </c:pt>
                <c:pt idx="1">
                  <c:v>14.1315232397607</c:v>
                </c:pt>
                <c:pt idx="2">
                  <c:v>14.939393939393939</c:v>
                </c:pt>
                <c:pt idx="3">
                  <c:v>16.41449105309475</c:v>
                </c:pt>
                <c:pt idx="4">
                  <c:v>18.205113473139903</c:v>
                </c:pt>
                <c:pt idx="5">
                  <c:v>19.939979654120041</c:v>
                </c:pt>
                <c:pt idx="6">
                  <c:v>21.401254885825963</c:v>
                </c:pt>
                <c:pt idx="7">
                  <c:v>24.391077212412497</c:v>
                </c:pt>
                <c:pt idx="8">
                  <c:v>28.048690913398886</c:v>
                </c:pt>
              </c:numCache>
            </c:numRef>
          </c:val>
          <c:extLst>
            <c:ext xmlns:c16="http://schemas.microsoft.com/office/drawing/2014/chart" uri="{C3380CC4-5D6E-409C-BE32-E72D297353CC}">
              <c16:uniqueId val="{00000000-A0B5-4D5D-BE78-922C417B83BA}"/>
            </c:ext>
          </c:extLst>
        </c:ser>
        <c:ser>
          <c:idx val="2"/>
          <c:order val="2"/>
          <c:tx>
            <c:strRef>
              <c:f>'Metro_Regional chart'!$E$1</c:f>
              <c:strCache>
                <c:ptCount val="1"/>
                <c:pt idx="0">
                  <c:v>Qualified applicants per vacancy</c:v>
                </c:pt>
              </c:strCache>
            </c:strRef>
          </c:tx>
          <c:spPr>
            <a:solidFill>
              <a:srgbClr val="009D9A"/>
            </a:solidFill>
            <a:ln>
              <a:noFill/>
            </a:ln>
            <a:effectLst/>
          </c:spPr>
          <c:invertIfNegative val="0"/>
          <c:dLbls>
            <c:spPr>
              <a:noFill/>
              <a:ln>
                <a:noFill/>
              </a:ln>
              <a:effectLst/>
            </c:spPr>
            <c:txPr>
              <a:bodyPr rot="0" spcFirstLastPara="1" vertOverflow="ellipsis" vert="horz" wrap="square" lIns="0" tIns="0" rIns="0" bIns="0" anchor="ctr" anchorCtr="1">
                <a:spAutoFit/>
              </a:bodyPr>
              <a:lstStyle/>
              <a:p>
                <a:pPr>
                  <a:defRPr sz="6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'Metro_Regional chart'!$B$2:$B$10</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chart'!$E$2:$E$10</c:f>
              <c:numCache>
                <c:formatCode>0.0</c:formatCode>
                <c:ptCount val="9"/>
                <c:pt idx="0">
                  <c:v>5.3796036829463567</c:v>
                </c:pt>
                <c:pt idx="1">
                  <c:v>5.1387432058739391</c:v>
                </c:pt>
                <c:pt idx="2">
                  <c:v>5.3512103916551856</c:v>
                </c:pt>
                <c:pt idx="3">
                  <c:v>5.7816080196399344</c:v>
                </c:pt>
                <c:pt idx="4">
                  <c:v>6.4471114727420664</c:v>
                </c:pt>
                <c:pt idx="5">
                  <c:v>6.9514329468387661</c:v>
                </c:pt>
                <c:pt idx="6">
                  <c:v>7.3203971119133575</c:v>
                </c:pt>
                <c:pt idx="7">
                  <c:v>8.0614146060954575</c:v>
                </c:pt>
                <c:pt idx="8">
                  <c:v>8.8634286460373417</c:v>
                </c:pt>
              </c:numCache>
            </c:numRef>
          </c:val>
          <c:extLst>
            <c:ext xmlns:c16="http://schemas.microsoft.com/office/drawing/2014/chart" uri="{C3380CC4-5D6E-409C-BE32-E72D297353CC}">
              <c16:uniqueId val="{00000001-A0B5-4D5D-BE78-922C417B83BA}"/>
            </c:ext>
          </c:extLst>
        </c:ser>
        <c:ser>
          <c:idx val="3"/>
          <c:order val="3"/>
          <c:tx>
            <c:strRef>
              <c:f>'Metro_Regional chart'!$F$1</c:f>
              <c:strCache>
                <c:ptCount val="1"/>
                <c:pt idx="0">
                  <c:v>Suitable applicants per vacancy</c:v>
                </c:pt>
              </c:strCache>
            </c:strRef>
          </c:tx>
          <c:spPr>
            <a:solidFill>
              <a:srgbClr val="012749"/>
            </a:solidFill>
            <a:ln>
              <a:noFill/>
            </a:ln>
            <a:effectLst/>
          </c:spPr>
          <c:invertIfNegative val="0"/>
          <c:dLbls>
            <c:spPr>
              <a:noFill/>
              <a:ln>
                <a:noFill/>
              </a:ln>
              <a:effectLst/>
            </c:spPr>
            <c:txPr>
              <a:bodyPr rot="0" spcFirstLastPara="1" vertOverflow="ellipsis" vert="horz" wrap="square" lIns="0" tIns="0" rIns="0" bIns="0" anchor="ctr" anchorCtr="1">
                <a:spAutoFit/>
              </a:bodyPr>
              <a:lstStyle/>
              <a:p>
                <a:pPr>
                  <a:defRPr sz="6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'Metro_Regional chart'!$B$2:$B$10</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chart'!$F$2:$F$10</c:f>
              <c:numCache>
                <c:formatCode>0.0</c:formatCode>
                <c:ptCount val="9"/>
                <c:pt idx="0">
                  <c:v>2.3964548624564124</c:v>
                </c:pt>
                <c:pt idx="1">
                  <c:v>2.27731247123792</c:v>
                </c:pt>
                <c:pt idx="2">
                  <c:v>2.3931818181818181</c:v>
                </c:pt>
                <c:pt idx="3">
                  <c:v>2.6330302141390436</c:v>
                </c:pt>
                <c:pt idx="4">
                  <c:v>2.8257205783778607</c:v>
                </c:pt>
                <c:pt idx="5">
                  <c:v>2.9530010172939978</c:v>
                </c:pt>
                <c:pt idx="6">
                  <c:v>3.0083316190084344</c:v>
                </c:pt>
                <c:pt idx="7">
                  <c:v>3.1772019642670566</c:v>
                </c:pt>
                <c:pt idx="8">
                  <c:v>3.3368084350195475</c:v>
                </c:pt>
              </c:numCache>
            </c:numRef>
          </c:val>
          <c:extLst>
            <c:ext xmlns:c16="http://schemas.microsoft.com/office/drawing/2014/chart" uri="{C3380CC4-5D6E-409C-BE32-E72D297353CC}">
              <c16:uniqueId val="{00000002-A0B5-4D5D-BE78-922C417B83BA}"/>
            </c:ext>
          </c:extLst>
        </c:ser>
        <c:dLbls>
          <c:showLegendKey val="0"/>
          <c:showVal val="0"/>
          <c:showCatName val="0"/>
          <c:showSerName val="0"/>
          <c:showPercent val="0"/>
          <c:showBubbleSize val="0"/>
        </c:dLbls>
        <c:gapWidth val="70"/>
        <c:axId val="574728255"/>
        <c:axId val="574724895"/>
      </c:barChart>
      <c:lineChart>
        <c:grouping val="standard"/>
        <c:varyColors val="0"/>
        <c:ser>
          <c:idx val="0"/>
          <c:order val="0"/>
          <c:tx>
            <c:strRef>
              <c:f>'Metro_Regional chart'!$C$1</c:f>
              <c:strCache>
                <c:ptCount val="1"/>
                <c:pt idx="0">
                  <c:v>Fill rate</c:v>
                </c:pt>
              </c:strCache>
            </c:strRef>
          </c:tx>
          <c:spPr>
            <a:ln w="28575" cap="rnd">
              <a:noFill/>
              <a:round/>
            </a:ln>
            <a:effectLst/>
          </c:spPr>
          <c:marker>
            <c:symbol val="dash"/>
            <c:size val="17"/>
            <c:spPr>
              <a:solidFill>
                <a:srgbClr val="EE538B"/>
              </a:solidFill>
              <a:ln w="9525">
                <a:solidFill>
                  <a:srgbClr val="EE538B"/>
                </a:solidFill>
              </a:ln>
              <a:effectLst/>
            </c:spPr>
          </c:marker>
          <c:dLbls>
            <c:spPr>
              <a:noFill/>
              <a:ln>
                <a:noFill/>
              </a:ln>
              <a:effectLst/>
            </c:spPr>
            <c:txPr>
              <a:bodyPr rot="0" spcFirstLastPara="1" vertOverflow="ellipsis" vert="horz" wrap="square" lIns="0" tIns="0" rIns="0" bIns="0"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'Metro_Regional chart'!$B$2:$B$10</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chart'!$C$2:$C$10</c:f>
              <c:numCache>
                <c:formatCode>0.0%</c:formatCode>
                <c:ptCount val="9"/>
                <c:pt idx="0">
                  <c:v>0.59628051142967842</c:v>
                </c:pt>
                <c:pt idx="1">
                  <c:v>0.58048780487804874</c:v>
                </c:pt>
                <c:pt idx="2">
                  <c:v>0.58958333333333335</c:v>
                </c:pt>
                <c:pt idx="3">
                  <c:v>0.60643394934976047</c:v>
                </c:pt>
                <c:pt idx="4">
                  <c:v>0.62663985444795556</c:v>
                </c:pt>
                <c:pt idx="5">
                  <c:v>0.64252288911495425</c:v>
                </c:pt>
                <c:pt idx="6">
                  <c:v>0.65603785229376677</c:v>
                </c:pt>
                <c:pt idx="7">
                  <c:v>0.66273116706718216</c:v>
                </c:pt>
                <c:pt idx="8">
                  <c:v>0.68036962445207916</c:v>
                </c:pt>
              </c:numCache>
            </c:numRef>
          </c:val>
          <c:smooth val="0"/>
          <c:extLst>
            <c:ext xmlns:c16="http://schemas.microsoft.com/office/drawing/2014/chart" uri="{C3380CC4-5D6E-409C-BE32-E72D297353CC}">
              <c16:uniqueId val="{00000003-A0B5-4D5D-BE78-922C417B83BA}"/>
            </c:ext>
          </c:extLst>
        </c:ser>
        <c:dLbls>
          <c:showLegendKey val="0"/>
          <c:showVal val="0"/>
          <c:showCatName val="0"/>
          <c:showSerName val="0"/>
          <c:showPercent val="0"/>
          <c:showBubbleSize val="0"/>
        </c:dLbls>
        <c:marker val="1"/>
        <c:smooth val="0"/>
        <c:axId val="685181119"/>
        <c:axId val="685184959"/>
        <c:extLst>
          <c:ext xmlns:c15="http://schemas.microsoft.com/office/drawing/2012/chart" uri="{02D57815-91ED-43cb-92C2-25804820EDAC}">
            <c15:filteredLineSeries>
              <c15:ser>
                <c:idx val="4"/>
                <c:order val="4"/>
                <c:tx>
                  <c:strRef>
                    <c:extLst>
                      <c:ext uri="{02D57815-91ED-43cb-92C2-25804820EDAC}">
                        <c15:formulaRef>
                          <c15:sqref>'Metro_Regional chart'!$G$1</c15:sqref>
                        </c15:formulaRef>
                      </c:ext>
                    </c:extLst>
                    <c:strCache>
                      <c:ptCount val="1"/>
                      <c:pt idx="0">
                        <c:v>Suitability gap</c:v>
                      </c:pt>
                    </c:strCache>
                  </c:strRef>
                </c:tx>
                <c:spPr>
                  <a:ln w="25400" cap="rnd">
                    <a:noFill/>
                    <a:round/>
                  </a:ln>
                  <a:effectLst/>
                </c:spPr>
                <c:marker>
                  <c:symbol val="circle"/>
                  <c:size val="5"/>
                  <c:spPr>
                    <a:solidFill>
                      <a:schemeClr val="accent5"/>
                    </a:solidFill>
                    <a:ln w="9525">
                      <a:solidFill>
                        <a:schemeClr val="accent5"/>
                      </a:solidFill>
                    </a:ln>
                    <a:effectLst/>
                  </c:spPr>
                </c:marker>
                <c:cat>
                  <c:numRef>
                    <c:extLst>
                      <c:ext uri="{02D57815-91ED-43cb-92C2-25804820EDAC}">
                        <c15:formulaRef>
                          <c15:sqref>'Metro_Regional chart'!$B$2:$B$10</c15:sqref>
                        </c15:formulaRef>
                      </c:ext>
                    </c:extLst>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extLst>
                      <c:ext uri="{02D57815-91ED-43cb-92C2-25804820EDAC}">
                        <c15:formulaRef>
                          <c15:sqref>'Metro_Regional chart'!$G$2:$G$10</c15:sqref>
                        </c15:formulaRef>
                      </c:ext>
                    </c:extLst>
                    <c:numCache>
                      <c:formatCode>0.0%</c:formatCode>
                      <c:ptCount val="9"/>
                      <c:pt idx="0">
                        <c:v>0.55452947769120842</c:v>
                      </c:pt>
                      <c:pt idx="1">
                        <c:v>0.55683473954588858</c:v>
                      </c:pt>
                      <c:pt idx="2">
                        <c:v>0.55277747593071525</c:v>
                      </c:pt>
                      <c:pt idx="3">
                        <c:v>0.54458513873740222</c:v>
                      </c:pt>
                      <c:pt idx="4">
                        <c:v>0.56170750415518511</c:v>
                      </c:pt>
                      <c:pt idx="5">
                        <c:v>0.57519535326354476</c:v>
                      </c:pt>
                      <c:pt idx="6">
                        <c:v>0.58904802935996237</c:v>
                      </c:pt>
                      <c:pt idx="7">
                        <c:v>0.60587538049901479</c:v>
                      </c:pt>
                      <c:pt idx="8">
                        <c:v>0.62353073869316178</c:v>
                      </c:pt>
                    </c:numCache>
                  </c:numRef>
                </c:val>
                <c:smooth val="0"/>
                <c:extLst>
                  <c:ext xmlns:c16="http://schemas.microsoft.com/office/drawing/2014/chart" uri="{C3380CC4-5D6E-409C-BE32-E72D297353CC}">
                    <c16:uniqueId val="{00000004-A0B5-4D5D-BE78-922C417B83BA}"/>
                  </c:ext>
                </c:extLst>
              </c15:ser>
            </c15:filteredLineSeries>
          </c:ext>
        </c:extLst>
      </c:lineChart>
      <c:catAx>
        <c:axId val="574728255"/>
        <c:scaling>
          <c:orientation val="minMax"/>
        </c:scaling>
        <c:delete val="0"/>
        <c:axPos val="b"/>
        <c:numFmt formatCode="mmm\ yy"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74724895"/>
        <c:crosses val="autoZero"/>
        <c:auto val="0"/>
        <c:lblAlgn val="ctr"/>
        <c:lblOffset val="100"/>
        <c:tickLblSkip val="1"/>
        <c:noMultiLvlLbl val="0"/>
      </c:catAx>
      <c:valAx>
        <c:axId val="574724895"/>
        <c:scaling>
          <c:orientation val="minMax"/>
          <c:max val="32"/>
          <c:min val="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574728255"/>
        <c:crosses val="autoZero"/>
        <c:crossBetween val="between"/>
      </c:valAx>
      <c:valAx>
        <c:axId val="685184959"/>
        <c:scaling>
          <c:orientation val="minMax"/>
          <c:min val="0.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mn-lt"/>
                <a:ea typeface="+mn-ea"/>
                <a:cs typeface="+mn-cs"/>
              </a:defRPr>
            </a:pPr>
            <a:endParaRPr lang="en-US"/>
          </a:p>
        </c:txPr>
        <c:crossAx val="685181119"/>
        <c:crosses val="max"/>
        <c:crossBetween val="between"/>
      </c:valAx>
      <c:dateAx>
        <c:axId val="685181119"/>
        <c:scaling>
          <c:orientation val="minMax"/>
        </c:scaling>
        <c:delete val="1"/>
        <c:axPos val="b"/>
        <c:numFmt formatCode="mmm\-yy" sourceLinked="1"/>
        <c:majorTickMark val="out"/>
        <c:minorTickMark val="none"/>
        <c:tickLblPos val="nextTo"/>
        <c:crossAx val="685184959"/>
        <c:crosses val="autoZero"/>
        <c:auto val="1"/>
        <c:lblOffset val="100"/>
        <c:baseTimeUnit val="months"/>
        <c:majorUnit val="1"/>
        <c:minorUnit val="1"/>
      </c:dateAx>
      <c:spPr>
        <a:noFill/>
        <a:ln>
          <a:noFill/>
        </a:ln>
        <a:effectLst/>
      </c:spPr>
    </c:plotArea>
    <c:legend>
      <c:legendPos val="b"/>
      <c:layout>
        <c:manualLayout>
          <c:xMode val="edge"/>
          <c:yMode val="edge"/>
          <c:x val="5.0000043623355944E-2"/>
          <c:y val="0.87499254082601396"/>
          <c:w val="0.89999991275328806"/>
          <c:h val="6.0164500714006496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880057582829845E-3"/>
          <c:y val="1.4089888043205528E-2"/>
          <c:w val="0.98265168931445901"/>
          <c:h val="0.75144740353395567"/>
        </c:manualLayout>
      </c:layout>
      <c:barChart>
        <c:barDir val="col"/>
        <c:grouping val="clustered"/>
        <c:varyColors val="0"/>
        <c:ser>
          <c:idx val="1"/>
          <c:order val="1"/>
          <c:tx>
            <c:strRef>
              <c:f>'Metro_Regional chart'!$D$16</c:f>
              <c:strCache>
                <c:ptCount val="1"/>
                <c:pt idx="0">
                  <c:v>Applicants per vacancy</c:v>
                </c:pt>
              </c:strCache>
            </c:strRef>
          </c:tx>
          <c:spPr>
            <a:solidFill>
              <a:srgbClr val="6929C4"/>
            </a:solidFill>
            <a:ln>
              <a:noFill/>
            </a:ln>
            <a:effectLst/>
          </c:spPr>
          <c:invertIfNegative val="0"/>
          <c:dLbls>
            <c:spPr>
              <a:noFill/>
              <a:ln>
                <a:noFill/>
              </a:ln>
              <a:effectLst/>
            </c:spPr>
            <c:txPr>
              <a:bodyPr rot="0" spcFirstLastPara="1" vertOverflow="ellipsis" vert="horz" wrap="square" lIns="0" tIns="0" rIns="0" bIns="0" anchor="ctr" anchorCtr="1">
                <a:spAutoFit/>
              </a:bodyPr>
              <a:lstStyle/>
              <a:p>
                <a:pPr>
                  <a:defRPr lang="en-US" sz="6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'Metro_Regional chart'!$B$17:$B$25</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chart'!$D$17:$D$25</c:f>
              <c:numCache>
                <c:formatCode>0.0</c:formatCode>
                <c:ptCount val="9"/>
                <c:pt idx="0">
                  <c:v>10.146316851664984</c:v>
                </c:pt>
                <c:pt idx="1">
                  <c:v>9.5810110974106042</c:v>
                </c:pt>
                <c:pt idx="2">
                  <c:v>9.283675937122128</c:v>
                </c:pt>
                <c:pt idx="3">
                  <c:v>9.7967613236329498</c:v>
                </c:pt>
                <c:pt idx="4">
                  <c:v>10.277932661376797</c:v>
                </c:pt>
                <c:pt idx="5">
                  <c:v>10.392431972789115</c:v>
                </c:pt>
                <c:pt idx="6">
                  <c:v>11.114521591871295</c:v>
                </c:pt>
                <c:pt idx="7">
                  <c:v>12.837902007338657</c:v>
                </c:pt>
                <c:pt idx="8">
                  <c:v>14.577410863843024</c:v>
                </c:pt>
              </c:numCache>
            </c:numRef>
          </c:val>
          <c:extLst>
            <c:ext xmlns:c16="http://schemas.microsoft.com/office/drawing/2014/chart" uri="{C3380CC4-5D6E-409C-BE32-E72D297353CC}">
              <c16:uniqueId val="{00000000-AABE-43CB-9F68-22CAB1CE82B8}"/>
            </c:ext>
          </c:extLst>
        </c:ser>
        <c:ser>
          <c:idx val="2"/>
          <c:order val="2"/>
          <c:tx>
            <c:strRef>
              <c:f>'Metro_Regional chart'!$E$16</c:f>
              <c:strCache>
                <c:ptCount val="1"/>
                <c:pt idx="0">
                  <c:v>Qualified applicants per vacancy</c:v>
                </c:pt>
              </c:strCache>
            </c:strRef>
          </c:tx>
          <c:spPr>
            <a:solidFill>
              <a:srgbClr val="009D9A"/>
            </a:solidFill>
            <a:ln>
              <a:noFill/>
            </a:ln>
            <a:effectLst/>
          </c:spPr>
          <c:invertIfNegative val="0"/>
          <c:dLbls>
            <c:spPr>
              <a:noFill/>
              <a:ln>
                <a:noFill/>
              </a:ln>
              <a:effectLst/>
            </c:spPr>
            <c:txPr>
              <a:bodyPr rot="0" spcFirstLastPara="1" vertOverflow="ellipsis" vert="horz" wrap="square" lIns="0" tIns="0" rIns="0" bIns="0" anchor="ctr" anchorCtr="1">
                <a:spAutoFit/>
              </a:bodyPr>
              <a:lstStyle/>
              <a:p>
                <a:pPr>
                  <a:defRPr lang="en-US" sz="6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'Metro_Regional chart'!$B$17:$B$25</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chart'!$E$17:$E$25</c:f>
              <c:numCache>
                <c:formatCode>0.0</c:formatCode>
                <c:ptCount val="9"/>
                <c:pt idx="0">
                  <c:v>3.6118661787767903</c:v>
                </c:pt>
                <c:pt idx="1">
                  <c:v>3.4188775510204081</c:v>
                </c:pt>
                <c:pt idx="2">
                  <c:v>3.2573639540688966</c:v>
                </c:pt>
                <c:pt idx="3">
                  <c:v>3.2599657617999509</c:v>
                </c:pt>
                <c:pt idx="4">
                  <c:v>3.4389201349831273</c:v>
                </c:pt>
                <c:pt idx="5">
                  <c:v>3.3121321865097331</c:v>
                </c:pt>
                <c:pt idx="6">
                  <c:v>3.5634598012646794</c:v>
                </c:pt>
                <c:pt idx="7">
                  <c:v>4.2178629125317331</c:v>
                </c:pt>
                <c:pt idx="8">
                  <c:v>4.5686123911930361</c:v>
                </c:pt>
              </c:numCache>
            </c:numRef>
          </c:val>
          <c:extLst>
            <c:ext xmlns:c16="http://schemas.microsoft.com/office/drawing/2014/chart" uri="{C3380CC4-5D6E-409C-BE32-E72D297353CC}">
              <c16:uniqueId val="{00000001-AABE-43CB-9F68-22CAB1CE82B8}"/>
            </c:ext>
          </c:extLst>
        </c:ser>
        <c:ser>
          <c:idx val="3"/>
          <c:order val="3"/>
          <c:tx>
            <c:strRef>
              <c:f>'Metro_Regional chart'!$F$16</c:f>
              <c:strCache>
                <c:ptCount val="1"/>
                <c:pt idx="0">
                  <c:v>Suitable applicants per vacancy</c:v>
                </c:pt>
              </c:strCache>
            </c:strRef>
          </c:tx>
          <c:spPr>
            <a:solidFill>
              <a:srgbClr val="012749"/>
            </a:solidFill>
            <a:ln>
              <a:noFill/>
            </a:ln>
            <a:effectLst/>
          </c:spPr>
          <c:invertIfNegative val="0"/>
          <c:dLbls>
            <c:spPr>
              <a:noFill/>
              <a:ln>
                <a:noFill/>
              </a:ln>
              <a:effectLst/>
            </c:spPr>
            <c:txPr>
              <a:bodyPr rot="0" spcFirstLastPara="1" vertOverflow="ellipsis" vert="horz" wrap="square" lIns="0" tIns="0" rIns="0" bIns="0" anchor="ctr" anchorCtr="1">
                <a:spAutoFit/>
              </a:bodyPr>
              <a:lstStyle/>
              <a:p>
                <a:pPr>
                  <a:defRPr lang="en-US" sz="6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'Metro_Regional chart'!$B$17:$B$25</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chart'!$F$17:$F$25</c:f>
              <c:numCache>
                <c:formatCode>0.0</c:formatCode>
                <c:ptCount val="9"/>
                <c:pt idx="0">
                  <c:v>1.8874873864783048</c:v>
                </c:pt>
                <c:pt idx="1">
                  <c:v>1.7287299630086312</c:v>
                </c:pt>
                <c:pt idx="2">
                  <c:v>1.7629987908101572</c:v>
                </c:pt>
                <c:pt idx="3">
                  <c:v>1.8669326449190331</c:v>
                </c:pt>
                <c:pt idx="4">
                  <c:v>1.9631138751876474</c:v>
                </c:pt>
                <c:pt idx="5">
                  <c:v>1.9194302721088434</c:v>
                </c:pt>
                <c:pt idx="6">
                  <c:v>1.8579593564775614</c:v>
                </c:pt>
                <c:pt idx="7">
                  <c:v>1.983811785020505</c:v>
                </c:pt>
                <c:pt idx="8">
                  <c:v>2.0603015075376883</c:v>
                </c:pt>
              </c:numCache>
            </c:numRef>
          </c:val>
          <c:extLst>
            <c:ext xmlns:c16="http://schemas.microsoft.com/office/drawing/2014/chart" uri="{C3380CC4-5D6E-409C-BE32-E72D297353CC}">
              <c16:uniqueId val="{00000002-AABE-43CB-9F68-22CAB1CE82B8}"/>
            </c:ext>
          </c:extLst>
        </c:ser>
        <c:dLbls>
          <c:showLegendKey val="0"/>
          <c:showVal val="0"/>
          <c:showCatName val="0"/>
          <c:showSerName val="0"/>
          <c:showPercent val="0"/>
          <c:showBubbleSize val="0"/>
        </c:dLbls>
        <c:gapWidth val="70"/>
        <c:axId val="574728255"/>
        <c:axId val="574724895"/>
      </c:barChart>
      <c:lineChart>
        <c:grouping val="standard"/>
        <c:varyColors val="0"/>
        <c:ser>
          <c:idx val="0"/>
          <c:order val="0"/>
          <c:tx>
            <c:strRef>
              <c:f>'Metro_Regional chart'!$C$16</c:f>
              <c:strCache>
                <c:ptCount val="1"/>
                <c:pt idx="0">
                  <c:v>Fill rate</c:v>
                </c:pt>
              </c:strCache>
            </c:strRef>
          </c:tx>
          <c:spPr>
            <a:ln w="28575" cap="rnd">
              <a:noFill/>
              <a:round/>
            </a:ln>
            <a:effectLst/>
          </c:spPr>
          <c:marker>
            <c:symbol val="dash"/>
            <c:size val="17"/>
            <c:spPr>
              <a:solidFill>
                <a:srgbClr val="EE538B"/>
              </a:solidFill>
              <a:ln w="9525">
                <a:solidFill>
                  <a:srgbClr val="EE538B"/>
                </a:solidFill>
              </a:ln>
              <a:effectLst/>
            </c:spPr>
          </c:marker>
          <c:dLbls>
            <c:spPr>
              <a:noFill/>
              <a:ln>
                <a:noFill/>
              </a:ln>
              <a:effectLst/>
            </c:spPr>
            <c:txPr>
              <a:bodyPr rot="0" spcFirstLastPara="1" vertOverflow="ellipsis" vert="horz" wrap="square" lIns="0" tIns="0" rIns="0" bIns="0" anchor="ctr" anchorCtr="1"/>
              <a:lstStyle/>
              <a:p>
                <a:pPr>
                  <a:defRPr lang="en-US" sz="8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'Metro_Regional chart'!$B$17:$B$25</c:f>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f>'Metro_Regional chart'!$C$17:$C$25</c:f>
              <c:numCache>
                <c:formatCode>0.0%</c:formatCode>
                <c:ptCount val="9"/>
                <c:pt idx="0">
                  <c:v>0.58526740665993948</c:v>
                </c:pt>
                <c:pt idx="1">
                  <c:v>0.56177558569667074</c:v>
                </c:pt>
                <c:pt idx="2">
                  <c:v>0.56178960096735187</c:v>
                </c:pt>
                <c:pt idx="3">
                  <c:v>0.58084956582961744</c:v>
                </c:pt>
                <c:pt idx="4">
                  <c:v>0.57924083208235044</c:v>
                </c:pt>
                <c:pt idx="5">
                  <c:v>0.58120748299319724</c:v>
                </c:pt>
                <c:pt idx="6">
                  <c:v>0.58890770533446235</c:v>
                </c:pt>
                <c:pt idx="7">
                  <c:v>0.59766889704295278</c:v>
                </c:pt>
                <c:pt idx="8">
                  <c:v>0.61258674324000961</c:v>
                </c:pt>
              </c:numCache>
            </c:numRef>
          </c:val>
          <c:smooth val="0"/>
          <c:extLst>
            <c:ext xmlns:c16="http://schemas.microsoft.com/office/drawing/2014/chart" uri="{C3380CC4-5D6E-409C-BE32-E72D297353CC}">
              <c16:uniqueId val="{00000003-AABE-43CB-9F68-22CAB1CE82B8}"/>
            </c:ext>
          </c:extLst>
        </c:ser>
        <c:dLbls>
          <c:showLegendKey val="0"/>
          <c:showVal val="0"/>
          <c:showCatName val="0"/>
          <c:showSerName val="0"/>
          <c:showPercent val="0"/>
          <c:showBubbleSize val="0"/>
        </c:dLbls>
        <c:marker val="1"/>
        <c:smooth val="0"/>
        <c:axId val="685136015"/>
        <c:axId val="685136975"/>
        <c:extLst>
          <c:ext xmlns:c15="http://schemas.microsoft.com/office/drawing/2012/chart" uri="{02D57815-91ED-43cb-92C2-25804820EDAC}">
            <c15:filteredLineSeries>
              <c15:ser>
                <c:idx val="4"/>
                <c:order val="4"/>
                <c:tx>
                  <c:strRef>
                    <c:extLst>
                      <c:ext uri="{02D57815-91ED-43cb-92C2-25804820EDAC}">
                        <c15:formulaRef>
                          <c15:sqref>'Metro_Regional chart'!$G$16</c15:sqref>
                        </c15:formulaRef>
                      </c:ext>
                    </c:extLst>
                    <c:strCache>
                      <c:ptCount val="1"/>
                      <c:pt idx="0">
                        <c:v>Suitability gap</c:v>
                      </c:pt>
                    </c:strCache>
                  </c:strRef>
                </c:tx>
                <c:spPr>
                  <a:ln w="25400" cap="rnd">
                    <a:noFill/>
                    <a:round/>
                  </a:ln>
                  <a:effectLst/>
                </c:spPr>
                <c:marker>
                  <c:symbol val="circle"/>
                  <c:size val="5"/>
                  <c:spPr>
                    <a:solidFill>
                      <a:schemeClr val="accent5"/>
                    </a:solidFill>
                    <a:ln w="9525">
                      <a:solidFill>
                        <a:schemeClr val="accent5"/>
                      </a:solidFill>
                    </a:ln>
                    <a:effectLst/>
                  </c:spPr>
                </c:marker>
                <c:cat>
                  <c:numRef>
                    <c:extLst>
                      <c:ext uri="{02D57815-91ED-43cb-92C2-25804820EDAC}">
                        <c15:formulaRef>
                          <c15:sqref>'Metro_Regional chart'!$B$17:$B$25</c15:sqref>
                        </c15:formulaRef>
                      </c:ext>
                    </c:extLst>
                    <c:numCache>
                      <c:formatCode>mmm\-yy</c:formatCode>
                      <c:ptCount val="9"/>
                      <c:pt idx="0">
                        <c:v>44713</c:v>
                      </c:pt>
                      <c:pt idx="1">
                        <c:v>44805</c:v>
                      </c:pt>
                      <c:pt idx="2">
                        <c:v>44896</c:v>
                      </c:pt>
                      <c:pt idx="3">
                        <c:v>44986</c:v>
                      </c:pt>
                      <c:pt idx="4">
                        <c:v>45078</c:v>
                      </c:pt>
                      <c:pt idx="5">
                        <c:v>45170</c:v>
                      </c:pt>
                      <c:pt idx="6">
                        <c:v>45261</c:v>
                      </c:pt>
                      <c:pt idx="7">
                        <c:v>45352</c:v>
                      </c:pt>
                      <c:pt idx="8">
                        <c:v>45444</c:v>
                      </c:pt>
                    </c:numCache>
                  </c:numRef>
                </c:cat>
                <c:val>
                  <c:numRef>
                    <c:extLst>
                      <c:ext uri="{02D57815-91ED-43cb-92C2-25804820EDAC}">
                        <c15:formulaRef>
                          <c15:sqref>'Metro_Regional chart'!$G$17:$G$25</c15:sqref>
                        </c15:formulaRef>
                      </c:ext>
                    </c:extLst>
                    <c:numCache>
                      <c:formatCode>0.0%</c:formatCode>
                      <c:ptCount val="9"/>
                      <c:pt idx="0">
                        <c:v>0.47742045439858205</c:v>
                      </c:pt>
                      <c:pt idx="1">
                        <c:v>0.49435745000792164</c:v>
                      </c:pt>
                      <c:pt idx="2">
                        <c:v>0.45876518078124839</c:v>
                      </c:pt>
                      <c:pt idx="3">
                        <c:v>0.42731525993443908</c:v>
                      </c:pt>
                      <c:pt idx="4">
                        <c:v>0.42914816333840822</c:v>
                      </c:pt>
                      <c:pt idx="5">
                        <c:v>0.42048500360986329</c:v>
                      </c:pt>
                      <c:pt idx="6">
                        <c:v>0.47860802139028824</c:v>
                      </c:pt>
                      <c:pt idx="7">
                        <c:v>0.52966423372215754</c:v>
                      </c:pt>
                      <c:pt idx="8">
                        <c:v>0.54903123068410142</c:v>
                      </c:pt>
                    </c:numCache>
                  </c:numRef>
                </c:val>
                <c:smooth val="0"/>
                <c:extLst>
                  <c:ext xmlns:c16="http://schemas.microsoft.com/office/drawing/2014/chart" uri="{C3380CC4-5D6E-409C-BE32-E72D297353CC}">
                    <c16:uniqueId val="{00000004-AABE-43CB-9F68-22CAB1CE82B8}"/>
                  </c:ext>
                </c:extLst>
              </c15:ser>
            </c15:filteredLineSeries>
          </c:ext>
        </c:extLst>
      </c:lineChart>
      <c:catAx>
        <c:axId val="574728255"/>
        <c:scaling>
          <c:orientation val="minMax"/>
        </c:scaling>
        <c:delete val="0"/>
        <c:axPos val="b"/>
        <c:numFmt formatCode="mmm\ yy"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lang="en-US" sz="800" b="0" i="0" u="none" strike="noStrike" kern="1200" baseline="0">
                <a:solidFill>
                  <a:schemeClr val="tx1"/>
                </a:solidFill>
                <a:latin typeface="+mn-lt"/>
                <a:ea typeface="+mn-ea"/>
                <a:cs typeface="+mn-cs"/>
              </a:defRPr>
            </a:pPr>
            <a:endParaRPr lang="en-US"/>
          </a:p>
        </c:txPr>
        <c:crossAx val="574724895"/>
        <c:crossesAt val="0"/>
        <c:auto val="0"/>
        <c:lblAlgn val="ctr"/>
        <c:lblOffset val="100"/>
        <c:tickLblSkip val="1"/>
        <c:noMultiLvlLbl val="0"/>
      </c:catAx>
      <c:valAx>
        <c:axId val="574724895"/>
        <c:scaling>
          <c:orientation val="minMax"/>
          <c:max val="32"/>
          <c:min val="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lang="en-US" sz="100" b="0" i="0" u="none" strike="noStrike" kern="1200" baseline="0">
                <a:solidFill>
                  <a:schemeClr val="bg1"/>
                </a:solidFill>
                <a:latin typeface="+mn-lt"/>
                <a:ea typeface="+mn-ea"/>
                <a:cs typeface="+mn-cs"/>
              </a:defRPr>
            </a:pPr>
            <a:endParaRPr lang="en-US"/>
          </a:p>
        </c:txPr>
        <c:crossAx val="574728255"/>
        <c:crosses val="autoZero"/>
        <c:crossBetween val="between"/>
      </c:valAx>
      <c:valAx>
        <c:axId val="685136975"/>
        <c:scaling>
          <c:orientation val="minMax"/>
          <c:max val="0.70000000000000007"/>
          <c:min val="0.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lang="en-US" sz="100" b="0" i="0" u="none" strike="noStrike" kern="1200" baseline="0">
                <a:solidFill>
                  <a:schemeClr val="bg1"/>
                </a:solidFill>
                <a:latin typeface="+mn-lt"/>
                <a:ea typeface="+mn-ea"/>
                <a:cs typeface="+mn-cs"/>
              </a:defRPr>
            </a:pPr>
            <a:endParaRPr lang="en-US"/>
          </a:p>
        </c:txPr>
        <c:crossAx val="685136015"/>
        <c:crosses val="max"/>
        <c:crossBetween val="between"/>
      </c:valAx>
      <c:dateAx>
        <c:axId val="685136015"/>
        <c:scaling>
          <c:orientation val="minMax"/>
        </c:scaling>
        <c:delete val="1"/>
        <c:axPos val="b"/>
        <c:numFmt formatCode="mmm\-yy" sourceLinked="1"/>
        <c:majorTickMark val="out"/>
        <c:minorTickMark val="none"/>
        <c:tickLblPos val="nextTo"/>
        <c:crossAx val="685136975"/>
        <c:crosses val="autoZero"/>
        <c:auto val="1"/>
        <c:lblOffset val="100"/>
        <c:baseTimeUnit val="months"/>
      </c:dateAx>
      <c:spPr>
        <a:noFill/>
        <a:ln>
          <a:noFill/>
        </a:ln>
        <a:effectLst/>
      </c:spPr>
    </c:plotArea>
    <c:legend>
      <c:legendPos val="b"/>
      <c:layout>
        <c:manualLayout>
          <c:xMode val="edge"/>
          <c:yMode val="edge"/>
          <c:x val="5.0000043623355944E-2"/>
          <c:y val="0.86780883705925238"/>
          <c:w val="0.89999991275328806"/>
          <c:h val="5.6318628798107367E-2"/>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lgn="ctr">
        <a:defRPr lang="en-US" sz="800" b="0" i="0" u="none" strike="noStrike" kern="1200" baseline="0">
          <a:solidFill>
            <a:schemeClr val="tx1"/>
          </a:solidFill>
          <a:latin typeface="+mn-lt"/>
          <a:ea typeface="+mn-ea"/>
          <a:cs typeface="+mn-cs"/>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Table!$R$3</c:f>
              <c:strCache>
                <c:ptCount val="1"/>
                <c:pt idx="0">
                  <c:v>1986-87</c:v>
                </c:pt>
              </c:strCache>
            </c:strRef>
          </c:tx>
          <c:spPr>
            <a:solidFill>
              <a:srgbClr val="6929C4"/>
            </a:solidFill>
            <a:ln>
              <a:noFill/>
            </a:ln>
            <a:effectLst/>
          </c:spPr>
          <c:invertIfNegative val="0"/>
          <c:dLbls>
            <c:dLbl>
              <c:idx val="0"/>
              <c:layout>
                <c:manualLayout>
                  <c:x val="-8.333333333333333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CF-4376-89FE-2BE82D13B140}"/>
                </c:ext>
              </c:extLst>
            </c:dLbl>
            <c:dLbl>
              <c:idx val="1"/>
              <c:layout>
                <c:manualLayout>
                  <c:x val="-8.333333333333333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CF-4376-89FE-2BE82D13B140}"/>
                </c:ext>
              </c:extLst>
            </c:dLbl>
            <c:dLbl>
              <c:idx val="4"/>
              <c:layout>
                <c:manualLayout>
                  <c:x val="-1.1111111111111112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CF-4376-89FE-2BE82D13B14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Table!$P$4:$Q$9</c:f>
              <c:multiLvlStrCache>
                <c:ptCount val="6"/>
                <c:lvl>
                  <c:pt idx="0">
                    <c:v>Female dominated</c:v>
                  </c:pt>
                  <c:pt idx="1">
                    <c:v>Balanced</c:v>
                  </c:pt>
                  <c:pt idx="2">
                    <c:v>Male dominated</c:v>
                  </c:pt>
                  <c:pt idx="3">
                    <c:v>Female dominated</c:v>
                  </c:pt>
                  <c:pt idx="4">
                    <c:v>Balanced</c:v>
                  </c:pt>
                  <c:pt idx="5">
                    <c:v>Male dominated</c:v>
                  </c:pt>
                </c:lvl>
                <c:lvl>
                  <c:pt idx="0">
                    <c:v>Female</c:v>
                  </c:pt>
                  <c:pt idx="3">
                    <c:v>Male</c:v>
                  </c:pt>
                </c:lvl>
              </c:multiLvlStrCache>
            </c:multiLvlStrRef>
          </c:cat>
          <c:val>
            <c:numRef>
              <c:f>Table!$R$4:$R$9</c:f>
              <c:numCache>
                <c:formatCode>0\%</c:formatCode>
                <c:ptCount val="6"/>
                <c:pt idx="0">
                  <c:v>36.993687640888986</c:v>
                </c:pt>
                <c:pt idx="1">
                  <c:v>46.419266305542934</c:v>
                </c:pt>
                <c:pt idx="2">
                  <c:v>16.587046053568034</c:v>
                </c:pt>
                <c:pt idx="3">
                  <c:v>3.6597453644301439</c:v>
                </c:pt>
                <c:pt idx="4">
                  <c:v>22.390426815384707</c:v>
                </c:pt>
                <c:pt idx="5">
                  <c:v>73.949827820185192</c:v>
                </c:pt>
              </c:numCache>
            </c:numRef>
          </c:val>
          <c:extLst>
            <c:ext xmlns:c16="http://schemas.microsoft.com/office/drawing/2014/chart" uri="{C3380CC4-5D6E-409C-BE32-E72D297353CC}">
              <c16:uniqueId val="{00000003-D7CF-4376-89FE-2BE82D13B140}"/>
            </c:ext>
          </c:extLst>
        </c:ser>
        <c:ser>
          <c:idx val="1"/>
          <c:order val="1"/>
          <c:tx>
            <c:strRef>
              <c:f>Table!$S$3</c:f>
              <c:strCache>
                <c:ptCount val="1"/>
                <c:pt idx="0">
                  <c:v>2024</c:v>
                </c:pt>
              </c:strCache>
            </c:strRef>
          </c:tx>
          <c:spPr>
            <a:solidFill>
              <a:srgbClr val="009D9A"/>
            </a:solidFill>
            <a:ln>
              <a:noFill/>
            </a:ln>
            <a:effectLst/>
          </c:spPr>
          <c:invertIfNegative val="0"/>
          <c:dLbls>
            <c:dLbl>
              <c:idx val="1"/>
              <c:layout>
                <c:manualLayout>
                  <c:x val="1.388888888888888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CF-4376-89FE-2BE82D13B140}"/>
                </c:ext>
              </c:extLst>
            </c:dLbl>
            <c:dLbl>
              <c:idx val="2"/>
              <c:layout>
                <c:manualLayout>
                  <c:x val="8.3333333333333332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CF-4376-89FE-2BE82D13B140}"/>
                </c:ext>
              </c:extLst>
            </c:dLbl>
            <c:dLbl>
              <c:idx val="5"/>
              <c:layout>
                <c:manualLayout>
                  <c:x val="8.333333333333230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CF-4376-89FE-2BE82D13B14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Table!$P$4:$Q$9</c:f>
              <c:multiLvlStrCache>
                <c:ptCount val="6"/>
                <c:lvl>
                  <c:pt idx="0">
                    <c:v>Female dominated</c:v>
                  </c:pt>
                  <c:pt idx="1">
                    <c:v>Balanced</c:v>
                  </c:pt>
                  <c:pt idx="2">
                    <c:v>Male dominated</c:v>
                  </c:pt>
                  <c:pt idx="3">
                    <c:v>Female dominated</c:v>
                  </c:pt>
                  <c:pt idx="4">
                    <c:v>Balanced</c:v>
                  </c:pt>
                  <c:pt idx="5">
                    <c:v>Male dominated</c:v>
                  </c:pt>
                </c:lvl>
                <c:lvl>
                  <c:pt idx="0">
                    <c:v>Female</c:v>
                  </c:pt>
                  <c:pt idx="3">
                    <c:v>Male</c:v>
                  </c:pt>
                </c:lvl>
              </c:multiLvlStrCache>
            </c:multiLvlStrRef>
          </c:cat>
          <c:val>
            <c:numRef>
              <c:f>Table!$S$4:$S$9</c:f>
              <c:numCache>
                <c:formatCode>0\%</c:formatCode>
                <c:ptCount val="6"/>
                <c:pt idx="0">
                  <c:v>42.040074104346438</c:v>
                </c:pt>
                <c:pt idx="1">
                  <c:v>46.948923991733778</c:v>
                </c:pt>
                <c:pt idx="2">
                  <c:v>11.011001903919729</c:v>
                </c:pt>
                <c:pt idx="3">
                  <c:v>6.7998053550708493</c:v>
                </c:pt>
                <c:pt idx="4">
                  <c:v>34.809676821895984</c:v>
                </c:pt>
                <c:pt idx="5">
                  <c:v>58.390517823033193</c:v>
                </c:pt>
              </c:numCache>
            </c:numRef>
          </c:val>
          <c:extLst>
            <c:ext xmlns:c16="http://schemas.microsoft.com/office/drawing/2014/chart" uri="{C3380CC4-5D6E-409C-BE32-E72D297353CC}">
              <c16:uniqueId val="{00000007-D7CF-4376-89FE-2BE82D13B140}"/>
            </c:ext>
          </c:extLst>
        </c:ser>
        <c:dLbls>
          <c:dLblPos val="outEnd"/>
          <c:showLegendKey val="0"/>
          <c:showVal val="1"/>
          <c:showCatName val="0"/>
          <c:showSerName val="0"/>
          <c:showPercent val="0"/>
          <c:showBubbleSize val="0"/>
        </c:dLbls>
        <c:gapWidth val="219"/>
        <c:overlap val="-27"/>
        <c:axId val="1608282607"/>
        <c:axId val="1608281167"/>
      </c:barChart>
      <c:catAx>
        <c:axId val="1608282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08281167"/>
        <c:crosses val="autoZero"/>
        <c:auto val="1"/>
        <c:lblAlgn val="ctr"/>
        <c:lblOffset val="100"/>
        <c:noMultiLvlLbl val="0"/>
      </c:catAx>
      <c:valAx>
        <c:axId val="1608281167"/>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Share</a:t>
                </a:r>
                <a:r>
                  <a:rPr lang="en-AU" baseline="0"/>
                  <a:t> of total hours worked (%)</a:t>
                </a:r>
                <a:endParaRPr lang="en-AU"/>
              </a:p>
            </c:rich>
          </c:tx>
          <c:layout>
            <c:manualLayout>
              <c:xMode val="edge"/>
              <c:yMode val="edge"/>
              <c:x val="1.5512465373961219E-2"/>
              <c:y val="9.022824060125886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solidFill>
              <a:srgbClr val="D9D9D9"/>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08282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'Pasted values for chart'!$J$2</c:f>
              <c:strCache>
                <c:ptCount val="1"/>
                <c:pt idx="0">
                  <c:v>Metropolitan City</c:v>
                </c:pt>
              </c:strCache>
            </c:strRef>
          </c:tx>
          <c:spPr>
            <a:ln w="25400" cap="rnd">
              <a:noFill/>
              <a:round/>
            </a:ln>
            <a:effectLst/>
          </c:spPr>
          <c:marker>
            <c:symbol val="circle"/>
            <c:size val="5"/>
            <c:spPr>
              <a:solidFill>
                <a:srgbClr val="6929C4"/>
              </a:solidFill>
              <a:ln w="9525">
                <a:noFill/>
              </a:ln>
              <a:effectLst/>
            </c:spPr>
          </c:marker>
          <c:xVal>
            <c:numRef>
              <c:f>'Pasted values for chart'!$J$3:$J$2315</c:f>
              <c:numCache>
                <c:formatCode>General</c:formatCode>
                <c:ptCount val="2313"/>
                <c:pt idx="0">
                  <c:v>12420.743372506149</c:v>
                </c:pt>
                <c:pt idx="1">
                  <c:v>12021.422060164086</c:v>
                </c:pt>
                <c:pt idx="2">
                  <c:v>4426.7228408064993</c:v>
                </c:pt>
                <c:pt idx="3">
                  <c:v>9332.1449035461901</c:v>
                </c:pt>
                <c:pt idx="4">
                  <c:v>12392.344497607657</c:v>
                </c:pt>
                <c:pt idx="5">
                  <c:v>8808.7583630202462</c:v>
                </c:pt>
                <c:pt idx="6">
                  <c:v>20042.288557213928</c:v>
                </c:pt>
                <c:pt idx="7">
                  <c:v>7570.9412874664349</c:v>
                </c:pt>
                <c:pt idx="8">
                  <c:v>4535.4453757636029</c:v>
                </c:pt>
                <c:pt idx="9">
                  <c:v>9144.4438335074501</c:v>
                </c:pt>
                <c:pt idx="10">
                  <c:v>5896.3282937365002</c:v>
                </c:pt>
                <c:pt idx="11">
                  <c:v>6576.6013836781058</c:v>
                </c:pt>
                <c:pt idx="12">
                  <c:v>8045.2057213491071</c:v>
                </c:pt>
                <c:pt idx="13">
                  <c:v>2497.6651516094889</c:v>
                </c:pt>
                <c:pt idx="14">
                  <c:v>14449.245965252663</c:v>
                </c:pt>
                <c:pt idx="15">
                  <c:v>1040.4033024037408</c:v>
                </c:pt>
                <c:pt idx="16">
                  <c:v>15555.666102875333</c:v>
                </c:pt>
                <c:pt idx="17">
                  <c:v>4868.4672044896524</c:v>
                </c:pt>
                <c:pt idx="18">
                  <c:v>5218.0407928756104</c:v>
                </c:pt>
                <c:pt idx="19">
                  <c:v>18430.157261794629</c:v>
                </c:pt>
                <c:pt idx="20">
                  <c:v>5105.5846074009023</c:v>
                </c:pt>
                <c:pt idx="21">
                  <c:v>12271.820448877805</c:v>
                </c:pt>
                <c:pt idx="22">
                  <c:v>4743.1769956830321</c:v>
                </c:pt>
                <c:pt idx="23">
                  <c:v>9565.6634746922027</c:v>
                </c:pt>
                <c:pt idx="24">
                  <c:v>6502.4553338209171</c:v>
                </c:pt>
                <c:pt idx="25">
                  <c:v>3973.4228187919462</c:v>
                </c:pt>
                <c:pt idx="26">
                  <c:v>6450.8413064995029</c:v>
                </c:pt>
                <c:pt idx="27">
                  <c:v>4691.2173231711668</c:v>
                </c:pt>
                <c:pt idx="28">
                  <c:v>13620.819442950855</c:v>
                </c:pt>
                <c:pt idx="29">
                  <c:v>7370.6864564007428</c:v>
                </c:pt>
                <c:pt idx="30">
                  <c:v>6342.062193126023</c:v>
                </c:pt>
                <c:pt idx="31">
                  <c:v>5872.1520154967266</c:v>
                </c:pt>
                <c:pt idx="32">
                  <c:v>6627.0435853894051</c:v>
                </c:pt>
                <c:pt idx="33">
                  <c:v>5846.8190240889435</c:v>
                </c:pt>
                <c:pt idx="34">
                  <c:v>3553.9449700546825</c:v>
                </c:pt>
                <c:pt idx="35">
                  <c:v>5355.5269602756225</c:v>
                </c:pt>
                <c:pt idx="36">
                  <c:v>7243.6656405399008</c:v>
                </c:pt>
                <c:pt idx="37">
                  <c:v>6185.1087474202268</c:v>
                </c:pt>
                <c:pt idx="38">
                  <c:v>3379.6911035012931</c:v>
                </c:pt>
                <c:pt idx="39">
                  <c:v>1735.5758223307641</c:v>
                </c:pt>
                <c:pt idx="40">
                  <c:v>6041.5262235405144</c:v>
                </c:pt>
                <c:pt idx="41">
                  <c:v>15695.290170249786</c:v>
                </c:pt>
                <c:pt idx="42">
                  <c:v>7772.2011213601018</c:v>
                </c:pt>
                <c:pt idx="43">
                  <c:v>6036.025566531086</c:v>
                </c:pt>
                <c:pt idx="44">
                  <c:v>6646.801895173232</c:v>
                </c:pt>
                <c:pt idx="45">
                  <c:v>3292.3381855991688</c:v>
                </c:pt>
                <c:pt idx="46">
                  <c:v>9037.2256578149627</c:v>
                </c:pt>
                <c:pt idx="47">
                  <c:v>6548.1665630826592</c:v>
                </c:pt>
                <c:pt idx="48">
                  <c:v>5750.1539905552463</c:v>
                </c:pt>
                <c:pt idx="49">
                  <c:v>2912.3309053069715</c:v>
                </c:pt>
                <c:pt idx="50">
                  <c:v>3843.2781911435382</c:v>
                </c:pt>
                <c:pt idx="51">
                  <c:v>5848.4579261327553</c:v>
                </c:pt>
                <c:pt idx="52">
                  <c:v>7058.4151542199725</c:v>
                </c:pt>
                <c:pt idx="53">
                  <c:v>5629.7548605240918</c:v>
                </c:pt>
                <c:pt idx="54">
                  <c:v>7208.9637602038192</c:v>
                </c:pt>
                <c:pt idx="55">
                  <c:v>2890.3690175645911</c:v>
                </c:pt>
                <c:pt idx="56">
                  <c:v>3450.5043184151727</c:v>
                </c:pt>
                <c:pt idx="57">
                  <c:v>1932.943865887732</c:v>
                </c:pt>
                <c:pt idx="58">
                  <c:v>2069.1281101334571</c:v>
                </c:pt>
                <c:pt idx="59">
                  <c:v>8416.1112014306618</c:v>
                </c:pt>
                <c:pt idx="60">
                  <c:v>2233.3626942034157</c:v>
                </c:pt>
                <c:pt idx="61">
                  <c:v>7605.5764729825987</c:v>
                </c:pt>
                <c:pt idx="62">
                  <c:v>6401.1288563915086</c:v>
                </c:pt>
                <c:pt idx="63">
                  <c:v>4307.8594712060849</c:v>
                </c:pt>
                <c:pt idx="64">
                  <c:v>1923.2647605665184</c:v>
                </c:pt>
                <c:pt idx="65">
                  <c:v>1688.7371542865026</c:v>
                </c:pt>
                <c:pt idx="66">
                  <c:v>5875.7289362557804</c:v>
                </c:pt>
                <c:pt idx="67">
                  <c:v>4771.9603060576692</c:v>
                </c:pt>
                <c:pt idx="68">
                  <c:v>1296.0758947822337</c:v>
                </c:pt>
                <c:pt idx="69">
                  <c:v>4120.2116994241223</c:v>
                </c:pt>
                <c:pt idx="70">
                  <c:v>1517.0173704279057</c:v>
                </c:pt>
                <c:pt idx="71">
                  <c:v>4266.9860917016049</c:v>
                </c:pt>
                <c:pt idx="72">
                  <c:v>4509.199559679194</c:v>
                </c:pt>
                <c:pt idx="73">
                  <c:v>3717.0040108198868</c:v>
                </c:pt>
                <c:pt idx="74">
                  <c:v>3332.5414618936616</c:v>
                </c:pt>
                <c:pt idx="75">
                  <c:v>4369.3038760239724</c:v>
                </c:pt>
                <c:pt idx="76">
                  <c:v>7711.869918699188</c:v>
                </c:pt>
                <c:pt idx="77">
                  <c:v>3893.3978011857484</c:v>
                </c:pt>
                <c:pt idx="78">
                  <c:v>3384.1743855220648</c:v>
                </c:pt>
                <c:pt idx="79">
                  <c:v>1199.9350728401573</c:v>
                </c:pt>
                <c:pt idx="80">
                  <c:v>4187.8103012396814</c:v>
                </c:pt>
                <c:pt idx="81">
                  <c:v>3786.3203393900576</c:v>
                </c:pt>
                <c:pt idx="82">
                  <c:v>3837.7868420322434</c:v>
                </c:pt>
                <c:pt idx="83">
                  <c:v>2784.9725023540168</c:v>
                </c:pt>
                <c:pt idx="84">
                  <c:v>5010.7126222636243</c:v>
                </c:pt>
                <c:pt idx="85">
                  <c:v>1805.3394581511941</c:v>
                </c:pt>
                <c:pt idx="86">
                  <c:v>2717.4318080190792</c:v>
                </c:pt>
                <c:pt idx="87">
                  <c:v>1040.7842850883596</c:v>
                </c:pt>
                <c:pt idx="88">
                  <c:v>16839.72425678587</c:v>
                </c:pt>
                <c:pt idx="89">
                  <c:v>5399.9015351564258</c:v>
                </c:pt>
                <c:pt idx="90">
                  <c:v>11373.757455268389</c:v>
                </c:pt>
                <c:pt idx="91">
                  <c:v>7605.9322033898316</c:v>
                </c:pt>
                <c:pt idx="92">
                  <c:v>6352.0322472287544</c:v>
                </c:pt>
                <c:pt idx="93">
                  <c:v>7453.903491565321</c:v>
                </c:pt>
                <c:pt idx="94">
                  <c:v>7028.7299385773758</c:v>
                </c:pt>
                <c:pt idx="95">
                  <c:v>5805.1124172030977</c:v>
                </c:pt>
                <c:pt idx="96">
                  <c:v>5807.6772424598503</c:v>
                </c:pt>
                <c:pt idx="97">
                  <c:v>2386.6564209194048</c:v>
                </c:pt>
                <c:pt idx="98">
                  <c:v>2818.1203810686488</c:v>
                </c:pt>
                <c:pt idx="99">
                  <c:v>4286.4461774918882</c:v>
                </c:pt>
                <c:pt idx="100">
                  <c:v>2145.8782013025766</c:v>
                </c:pt>
                <c:pt idx="101">
                  <c:v>3569.8642137538322</c:v>
                </c:pt>
                <c:pt idx="102">
                  <c:v>3559.9516627131538</c:v>
                </c:pt>
                <c:pt idx="103">
                  <c:v>2993.0839867693658</c:v>
                </c:pt>
                <c:pt idx="104">
                  <c:v>5421.5237302248142</c:v>
                </c:pt>
                <c:pt idx="106">
                  <c:v>7627.9945517186125</c:v>
                </c:pt>
                <c:pt idx="107">
                  <c:v>3482.9955288289275</c:v>
                </c:pt>
                <c:pt idx="108">
                  <c:v>4872.3879616243921</c:v>
                </c:pt>
                <c:pt idx="109">
                  <c:v>1921.7821558482638</c:v>
                </c:pt>
                <c:pt idx="110">
                  <c:v>1890.4183224865128</c:v>
                </c:pt>
                <c:pt idx="111">
                  <c:v>5803.3985803398555</c:v>
                </c:pt>
                <c:pt idx="112">
                  <c:v>2772.6696258719094</c:v>
                </c:pt>
                <c:pt idx="113">
                  <c:v>3850.6697256992484</c:v>
                </c:pt>
                <c:pt idx="114">
                  <c:v>4099.6338912133897</c:v>
                </c:pt>
                <c:pt idx="115">
                  <c:v>1637.6775060919249</c:v>
                </c:pt>
                <c:pt idx="116">
                  <c:v>2083.6501901140687</c:v>
                </c:pt>
                <c:pt idx="117">
                  <c:v>2912.2725215650244</c:v>
                </c:pt>
                <c:pt idx="118">
                  <c:v>4567.4356699201426</c:v>
                </c:pt>
                <c:pt idx="119">
                  <c:v>7482.1896121293303</c:v>
                </c:pt>
                <c:pt idx="120">
                  <c:v>6460.2187770520204</c:v>
                </c:pt>
                <c:pt idx="121">
                  <c:v>3257.4191064272773</c:v>
                </c:pt>
                <c:pt idx="122">
                  <c:v>15783.664459161148</c:v>
                </c:pt>
                <c:pt idx="123">
                  <c:v>4153.2708974000561</c:v>
                </c:pt>
                <c:pt idx="124">
                  <c:v>2950.9719714631278</c:v>
                </c:pt>
                <c:pt idx="125">
                  <c:v>4168.5603528939992</c:v>
                </c:pt>
                <c:pt idx="126">
                  <c:v>3917.3886608907133</c:v>
                </c:pt>
                <c:pt idx="127">
                  <c:v>4195.2715814953162</c:v>
                </c:pt>
                <c:pt idx="128">
                  <c:v>1943.4244805021638</c:v>
                </c:pt>
                <c:pt idx="129">
                  <c:v>2894.2986281817462</c:v>
                </c:pt>
                <c:pt idx="130">
                  <c:v>2361.3945114299745</c:v>
                </c:pt>
                <c:pt idx="131">
                  <c:v>3403.8397142538224</c:v>
                </c:pt>
                <c:pt idx="132">
                  <c:v>2722.5901398086835</c:v>
                </c:pt>
                <c:pt idx="134">
                  <c:v>2389.1430830932613</c:v>
                </c:pt>
                <c:pt idx="135">
                  <c:v>2660.8244932024331</c:v>
                </c:pt>
                <c:pt idx="136">
                  <c:v>2740.6915240105268</c:v>
                </c:pt>
                <c:pt idx="137">
                  <c:v>2452.8668880336768</c:v>
                </c:pt>
                <c:pt idx="138">
                  <c:v>1828.0535597648593</c:v>
                </c:pt>
                <c:pt idx="139">
                  <c:v>2098.9920458570832</c:v>
                </c:pt>
                <c:pt idx="140">
                  <c:v>8355.9055118110227</c:v>
                </c:pt>
                <c:pt idx="141">
                  <c:v>3199.6703494810572</c:v>
                </c:pt>
                <c:pt idx="142">
                  <c:v>1826.7112670310842</c:v>
                </c:pt>
                <c:pt idx="143">
                  <c:v>3278.0838759619332</c:v>
                </c:pt>
                <c:pt idx="144">
                  <c:v>3585.1124126204427</c:v>
                </c:pt>
                <c:pt idx="145">
                  <c:v>4957.7563635382094</c:v>
                </c:pt>
                <c:pt idx="146">
                  <c:v>1449.6882220745099</c:v>
                </c:pt>
                <c:pt idx="147">
                  <c:v>8379.3139078321947</c:v>
                </c:pt>
                <c:pt idx="148">
                  <c:v>2245.9947922679289</c:v>
                </c:pt>
                <c:pt idx="149">
                  <c:v>2676.1945337413017</c:v>
                </c:pt>
                <c:pt idx="150">
                  <c:v>2795.0408585557461</c:v>
                </c:pt>
                <c:pt idx="151">
                  <c:v>4001.1567751678945</c:v>
                </c:pt>
                <c:pt idx="152">
                  <c:v>3341.2731160208564</c:v>
                </c:pt>
                <c:pt idx="153">
                  <c:v>7221.6468151217005</c:v>
                </c:pt>
                <c:pt idx="154">
                  <c:v>1679.5590889138168</c:v>
                </c:pt>
                <c:pt idx="155">
                  <c:v>874.16699333594681</c:v>
                </c:pt>
                <c:pt idx="156">
                  <c:v>3052.6758616544971</c:v>
                </c:pt>
                <c:pt idx="157">
                  <c:v>5732.5404858299607</c:v>
                </c:pt>
                <c:pt idx="158">
                  <c:v>4267.9184795053816</c:v>
                </c:pt>
                <c:pt idx="159">
                  <c:v>2684.1679195096572</c:v>
                </c:pt>
                <c:pt idx="160">
                  <c:v>2967.2256313095609</c:v>
                </c:pt>
                <c:pt idx="161">
                  <c:v>1747.8886618866056</c:v>
                </c:pt>
                <c:pt idx="162">
                  <c:v>3726.2060572661949</c:v>
                </c:pt>
                <c:pt idx="163">
                  <c:v>3239.1513709494675</c:v>
                </c:pt>
                <c:pt idx="164">
                  <c:v>4464.2674747199617</c:v>
                </c:pt>
                <c:pt idx="165">
                  <c:v>3135.8400207092932</c:v>
                </c:pt>
                <c:pt idx="166">
                  <c:v>1366.5491108276431</c:v>
                </c:pt>
                <c:pt idx="167">
                  <c:v>2909.9916164926449</c:v>
                </c:pt>
                <c:pt idx="168">
                  <c:v>3579.0611616980591</c:v>
                </c:pt>
                <c:pt idx="169">
                  <c:v>3961.0541956674747</c:v>
                </c:pt>
                <c:pt idx="170">
                  <c:v>7673.2546201232026</c:v>
                </c:pt>
                <c:pt idx="171">
                  <c:v>5818.8207731354933</c:v>
                </c:pt>
                <c:pt idx="172">
                  <c:v>2949.735213879429</c:v>
                </c:pt>
                <c:pt idx="173">
                  <c:v>13289.191123836792</c:v>
                </c:pt>
                <c:pt idx="174">
                  <c:v>5483.4201499174196</c:v>
                </c:pt>
                <c:pt idx="175">
                  <c:v>5809.5870276421219</c:v>
                </c:pt>
                <c:pt idx="176">
                  <c:v>1659.144527643861</c:v>
                </c:pt>
                <c:pt idx="177">
                  <c:v>2285.1057632795714</c:v>
                </c:pt>
                <c:pt idx="178">
                  <c:v>3772.2757598220905</c:v>
                </c:pt>
                <c:pt idx="179">
                  <c:v>4238.5315118515873</c:v>
                </c:pt>
                <c:pt idx="180">
                  <c:v>5513.1917631917631</c:v>
                </c:pt>
                <c:pt idx="181">
                  <c:v>2828.5349563473069</c:v>
                </c:pt>
                <c:pt idx="182">
                  <c:v>1880.3663970321074</c:v>
                </c:pt>
                <c:pt idx="183">
                  <c:v>1218.6258958002854</c:v>
                </c:pt>
                <c:pt idx="184">
                  <c:v>2753.3807829181496</c:v>
                </c:pt>
                <c:pt idx="185">
                  <c:v>980.6419733948245</c:v>
                </c:pt>
                <c:pt idx="186">
                  <c:v>2907.0772716432148</c:v>
                </c:pt>
                <c:pt idx="187">
                  <c:v>5679.9131640836995</c:v>
                </c:pt>
                <c:pt idx="188">
                  <c:v>2509.3602866738443</c:v>
                </c:pt>
                <c:pt idx="189">
                  <c:v>7285.8316528493542</c:v>
                </c:pt>
                <c:pt idx="190">
                  <c:v>1636.5017752903652</c:v>
                </c:pt>
                <c:pt idx="191">
                  <c:v>7074.850004917871</c:v>
                </c:pt>
                <c:pt idx="192">
                  <c:v>4028.8297092597118</c:v>
                </c:pt>
                <c:pt idx="193">
                  <c:v>2415.6534954407293</c:v>
                </c:pt>
                <c:pt idx="194">
                  <c:v>3455.9835945510472</c:v>
                </c:pt>
                <c:pt idx="195">
                  <c:v>2479.3337446020973</c:v>
                </c:pt>
                <c:pt idx="196">
                  <c:v>3277.4267418684544</c:v>
                </c:pt>
                <c:pt idx="197">
                  <c:v>3019.8254882174865</c:v>
                </c:pt>
                <c:pt idx="198">
                  <c:v>5501.3985597809915</c:v>
                </c:pt>
                <c:pt idx="199">
                  <c:v>2106.691609421001</c:v>
                </c:pt>
                <c:pt idx="200">
                  <c:v>2788.8814673996812</c:v>
                </c:pt>
                <c:pt idx="201">
                  <c:v>3199.2893204566644</c:v>
                </c:pt>
                <c:pt idx="202">
                  <c:v>3344.1861706386267</c:v>
                </c:pt>
                <c:pt idx="203">
                  <c:v>2736.3474204171234</c:v>
                </c:pt>
                <c:pt idx="204">
                  <c:v>2279.3072379617579</c:v>
                </c:pt>
                <c:pt idx="205">
                  <c:v>1685.0066342326415</c:v>
                </c:pt>
                <c:pt idx="206">
                  <c:v>4465.0493887900693</c:v>
                </c:pt>
                <c:pt idx="207">
                  <c:v>1619.3432195271489</c:v>
                </c:pt>
                <c:pt idx="208">
                  <c:v>5551.7029248923454</c:v>
                </c:pt>
                <c:pt idx="209">
                  <c:v>2214.5599154081324</c:v>
                </c:pt>
                <c:pt idx="210">
                  <c:v>2016.3889859800381</c:v>
                </c:pt>
                <c:pt idx="211">
                  <c:v>2350.7880020335533</c:v>
                </c:pt>
                <c:pt idx="212">
                  <c:v>1663.3612692725992</c:v>
                </c:pt>
                <c:pt idx="213">
                  <c:v>2489.344838415409</c:v>
                </c:pt>
                <c:pt idx="214">
                  <c:v>1338.8595336777385</c:v>
                </c:pt>
                <c:pt idx="215">
                  <c:v>4526.8603090775314</c:v>
                </c:pt>
                <c:pt idx="216">
                  <c:v>2207.5898574233761</c:v>
                </c:pt>
                <c:pt idx="217">
                  <c:v>7330.3863155871595</c:v>
                </c:pt>
                <c:pt idx="218">
                  <c:v>2547.7332549470234</c:v>
                </c:pt>
                <c:pt idx="219">
                  <c:v>3960.961754409142</c:v>
                </c:pt>
                <c:pt idx="220">
                  <c:v>1908.8434002218416</c:v>
                </c:pt>
                <c:pt idx="221">
                  <c:v>1150.87101440161</c:v>
                </c:pt>
                <c:pt idx="223">
                  <c:v>4149.0471553762691</c:v>
                </c:pt>
                <c:pt idx="224">
                  <c:v>2534.8945994477226</c:v>
                </c:pt>
                <c:pt idx="225">
                  <c:v>2254.6262610371473</c:v>
                </c:pt>
                <c:pt idx="227">
                  <c:v>3812.0440264833624</c:v>
                </c:pt>
                <c:pt idx="228">
                  <c:v>4648.0847088134542</c:v>
                </c:pt>
                <c:pt idx="229">
                  <c:v>1980.4778052378488</c:v>
                </c:pt>
                <c:pt idx="230">
                  <c:v>2222.1935716772173</c:v>
                </c:pt>
                <c:pt idx="231">
                  <c:v>2570.0543705562532</c:v>
                </c:pt>
                <c:pt idx="232">
                  <c:v>566.61577573687487</c:v>
                </c:pt>
                <c:pt idx="233">
                  <c:v>3414.5724831875423</c:v>
                </c:pt>
                <c:pt idx="234">
                  <c:v>1082.570540812899</c:v>
                </c:pt>
                <c:pt idx="235">
                  <c:v>2366.1798930973632</c:v>
                </c:pt>
                <c:pt idx="236">
                  <c:v>3556.7140334650635</c:v>
                </c:pt>
                <c:pt idx="237">
                  <c:v>2256.5439775348514</c:v>
                </c:pt>
                <c:pt idx="238">
                  <c:v>3037.5288844344218</c:v>
                </c:pt>
                <c:pt idx="239">
                  <c:v>2467.0283971642443</c:v>
                </c:pt>
                <c:pt idx="240">
                  <c:v>2155.1295461170457</c:v>
                </c:pt>
                <c:pt idx="241">
                  <c:v>3255.2468867020816</c:v>
                </c:pt>
                <c:pt idx="242">
                  <c:v>1995.1067411079734</c:v>
                </c:pt>
                <c:pt idx="243">
                  <c:v>2822.9566648381788</c:v>
                </c:pt>
                <c:pt idx="245">
                  <c:v>3542.6035502958575</c:v>
                </c:pt>
                <c:pt idx="246">
                  <c:v>2921.0623802084174</c:v>
                </c:pt>
                <c:pt idx="247">
                  <c:v>2629.4211234854974</c:v>
                </c:pt>
                <c:pt idx="248">
                  <c:v>2802.2985264048507</c:v>
                </c:pt>
                <c:pt idx="249">
                  <c:v>2121.0990079971043</c:v>
                </c:pt>
                <c:pt idx="250">
                  <c:v>3565.6500693903804</c:v>
                </c:pt>
                <c:pt idx="251">
                  <c:v>3574.6239626556007</c:v>
                </c:pt>
                <c:pt idx="252">
                  <c:v>5622.9880704412053</c:v>
                </c:pt>
                <c:pt idx="253">
                  <c:v>2448.2060644546759</c:v>
                </c:pt>
                <c:pt idx="255">
                  <c:v>6756.8641080383286</c:v>
                </c:pt>
                <c:pt idx="256">
                  <c:v>3655.437586037754</c:v>
                </c:pt>
                <c:pt idx="257">
                  <c:v>1442.1867356209382</c:v>
                </c:pt>
                <c:pt idx="258">
                  <c:v>3847.2061210294455</c:v>
                </c:pt>
                <c:pt idx="259">
                  <c:v>3313.6048472734101</c:v>
                </c:pt>
                <c:pt idx="260">
                  <c:v>1579.4362822988735</c:v>
                </c:pt>
                <c:pt idx="261">
                  <c:v>2446.9779790723096</c:v>
                </c:pt>
                <c:pt idx="262">
                  <c:v>3199.9268702112458</c:v>
                </c:pt>
                <c:pt idx="263">
                  <c:v>4245.46894925996</c:v>
                </c:pt>
                <c:pt idx="264">
                  <c:v>2648.8059641988607</c:v>
                </c:pt>
                <c:pt idx="265">
                  <c:v>9832.8440965427271</c:v>
                </c:pt>
                <c:pt idx="266">
                  <c:v>2698.0917870639651</c:v>
                </c:pt>
                <c:pt idx="267">
                  <c:v>3621.6849098731145</c:v>
                </c:pt>
                <c:pt idx="268">
                  <c:v>1618.1518604970483</c:v>
                </c:pt>
                <c:pt idx="269">
                  <c:v>2884.5381159367353</c:v>
                </c:pt>
                <c:pt idx="270">
                  <c:v>2412.0825493293619</c:v>
                </c:pt>
                <c:pt idx="272">
                  <c:v>4398.2933868741384</c:v>
                </c:pt>
                <c:pt idx="273">
                  <c:v>2515.8121066591334</c:v>
                </c:pt>
                <c:pt idx="274">
                  <c:v>2314.7587076132536</c:v>
                </c:pt>
                <c:pt idx="275">
                  <c:v>4043.0407332628274</c:v>
                </c:pt>
                <c:pt idx="276">
                  <c:v>2879.7914823405631</c:v>
                </c:pt>
                <c:pt idx="277">
                  <c:v>2319.5374552250423</c:v>
                </c:pt>
                <c:pt idx="278">
                  <c:v>1376.2284442796215</c:v>
                </c:pt>
                <c:pt idx="279">
                  <c:v>2766.8582375478923</c:v>
                </c:pt>
                <c:pt idx="280">
                  <c:v>2163.9464764575364</c:v>
                </c:pt>
                <c:pt idx="281">
                  <c:v>1041.5475014299827</c:v>
                </c:pt>
                <c:pt idx="282">
                  <c:v>2270.8215297450424</c:v>
                </c:pt>
                <c:pt idx="283">
                  <c:v>4449.7720484200599</c:v>
                </c:pt>
                <c:pt idx="284">
                  <c:v>5909.0060139703419</c:v>
                </c:pt>
                <c:pt idx="285">
                  <c:v>2154.7559929574281</c:v>
                </c:pt>
                <c:pt idx="286">
                  <c:v>1869.1175541658772</c:v>
                </c:pt>
                <c:pt idx="287">
                  <c:v>1918.1634328507637</c:v>
                </c:pt>
                <c:pt idx="288">
                  <c:v>2503.9292500410511</c:v>
                </c:pt>
                <c:pt idx="289">
                  <c:v>3269.9091394975953</c:v>
                </c:pt>
                <c:pt idx="290">
                  <c:v>3725.9424208684586</c:v>
                </c:pt>
                <c:pt idx="291">
                  <c:v>1961.6432859029878</c:v>
                </c:pt>
                <c:pt idx="292">
                  <c:v>7107.5570924284984</c:v>
                </c:pt>
                <c:pt idx="293">
                  <c:v>2841.2524238279193</c:v>
                </c:pt>
                <c:pt idx="294">
                  <c:v>3042.3119332488513</c:v>
                </c:pt>
                <c:pt idx="295">
                  <c:v>3122.7165751428884</c:v>
                </c:pt>
                <c:pt idx="296">
                  <c:v>1857.0344077638031</c:v>
                </c:pt>
                <c:pt idx="297">
                  <c:v>5271.0743801652898</c:v>
                </c:pt>
                <c:pt idx="298">
                  <c:v>1988.1448550523289</c:v>
                </c:pt>
                <c:pt idx="299">
                  <c:v>326.20237122431706</c:v>
                </c:pt>
                <c:pt idx="300">
                  <c:v>3115.4472671819212</c:v>
                </c:pt>
                <c:pt idx="303">
                  <c:v>2320.0186690521564</c:v>
                </c:pt>
                <c:pt idx="305">
                  <c:v>2086.886501042849</c:v>
                </c:pt>
                <c:pt idx="306">
                  <c:v>3279.0573988462952</c:v>
                </c:pt>
                <c:pt idx="307">
                  <c:v>3552.3135661494266</c:v>
                </c:pt>
                <c:pt idx="308">
                  <c:v>1775.2597473120227</c:v>
                </c:pt>
                <c:pt idx="309">
                  <c:v>3560.8213246735681</c:v>
                </c:pt>
                <c:pt idx="310">
                  <c:v>2843.1996898881384</c:v>
                </c:pt>
                <c:pt idx="311">
                  <c:v>3606.297158016047</c:v>
                </c:pt>
                <c:pt idx="312">
                  <c:v>1476.7497844610402</c:v>
                </c:pt>
                <c:pt idx="313">
                  <c:v>637.70919750948315</c:v>
                </c:pt>
                <c:pt idx="314">
                  <c:v>3675.0734741302713</c:v>
                </c:pt>
                <c:pt idx="316">
                  <c:v>3218.2406927026495</c:v>
                </c:pt>
                <c:pt idx="317">
                  <c:v>2003.6559449627202</c:v>
                </c:pt>
                <c:pt idx="318">
                  <c:v>3242.806811509101</c:v>
                </c:pt>
                <c:pt idx="319">
                  <c:v>514.72009566151644</c:v>
                </c:pt>
                <c:pt idx="320">
                  <c:v>5946.5383587276119</c:v>
                </c:pt>
                <c:pt idx="321">
                  <c:v>2758.1944698773113</c:v>
                </c:pt>
                <c:pt idx="322">
                  <c:v>2368.9535555983812</c:v>
                </c:pt>
                <c:pt idx="323">
                  <c:v>3043.5554766238956</c:v>
                </c:pt>
                <c:pt idx="324">
                  <c:v>2490.6574798551906</c:v>
                </c:pt>
                <c:pt idx="325">
                  <c:v>5885.0295084921408</c:v>
                </c:pt>
                <c:pt idx="326">
                  <c:v>4266.6603604029688</c:v>
                </c:pt>
                <c:pt idx="327">
                  <c:v>1394.8802453827577</c:v>
                </c:pt>
                <c:pt idx="328">
                  <c:v>821.99507725967476</c:v>
                </c:pt>
                <c:pt idx="329">
                  <c:v>2027.1919676498374</c:v>
                </c:pt>
                <c:pt idx="330">
                  <c:v>2338.2358899558367</c:v>
                </c:pt>
                <c:pt idx="331">
                  <c:v>3428.5231972540309</c:v>
                </c:pt>
                <c:pt idx="332">
                  <c:v>649.09681932271724</c:v>
                </c:pt>
                <c:pt idx="333">
                  <c:v>1644.0696060638413</c:v>
                </c:pt>
                <c:pt idx="334">
                  <c:v>1876.2895414844829</c:v>
                </c:pt>
                <c:pt idx="335">
                  <c:v>772.31954923739522</c:v>
                </c:pt>
                <c:pt idx="336">
                  <c:v>3593.9243946231868</c:v>
                </c:pt>
                <c:pt idx="337">
                  <c:v>2410.7744107744106</c:v>
                </c:pt>
                <c:pt idx="338">
                  <c:v>232.62837964850178</c:v>
                </c:pt>
                <c:pt idx="339">
                  <c:v>1383.1035364896213</c:v>
                </c:pt>
                <c:pt idx="340">
                  <c:v>2649.4345718901445</c:v>
                </c:pt>
                <c:pt idx="341">
                  <c:v>2475.670521366003</c:v>
                </c:pt>
                <c:pt idx="342">
                  <c:v>2280.3036231317001</c:v>
                </c:pt>
                <c:pt idx="343">
                  <c:v>2976.7335491869362</c:v>
                </c:pt>
                <c:pt idx="344">
                  <c:v>1853.2685256882701</c:v>
                </c:pt>
                <c:pt idx="345">
                  <c:v>2153.5160970575857</c:v>
                </c:pt>
                <c:pt idx="346">
                  <c:v>2404.1673993318095</c:v>
                </c:pt>
                <c:pt idx="347">
                  <c:v>4145.4195342866315</c:v>
                </c:pt>
                <c:pt idx="348">
                  <c:v>1674.2452845675261</c:v>
                </c:pt>
                <c:pt idx="349">
                  <c:v>1159.133925414422</c:v>
                </c:pt>
                <c:pt idx="350">
                  <c:v>1787.9939544233957</c:v>
                </c:pt>
                <c:pt idx="351">
                  <c:v>4970.4912694859368</c:v>
                </c:pt>
                <c:pt idx="352">
                  <c:v>3043.8909268142515</c:v>
                </c:pt>
                <c:pt idx="353">
                  <c:v>3092.2517875981707</c:v>
                </c:pt>
                <c:pt idx="354">
                  <c:v>2507.4592609593756</c:v>
                </c:pt>
                <c:pt idx="355">
                  <c:v>4117.2880942210295</c:v>
                </c:pt>
                <c:pt idx="356">
                  <c:v>1053.0103737529162</c:v>
                </c:pt>
                <c:pt idx="357">
                  <c:v>996.92610719828087</c:v>
                </c:pt>
                <c:pt idx="358">
                  <c:v>2993.0795847750865</c:v>
                </c:pt>
                <c:pt idx="359">
                  <c:v>2646.7355462739069</c:v>
                </c:pt>
                <c:pt idx="360">
                  <c:v>2094.6587281042366</c:v>
                </c:pt>
                <c:pt idx="361">
                  <c:v>1828.2012858316818</c:v>
                </c:pt>
                <c:pt idx="362">
                  <c:v>2506.4447881664796</c:v>
                </c:pt>
                <c:pt idx="363">
                  <c:v>1443.0346169149832</c:v>
                </c:pt>
                <c:pt idx="364">
                  <c:v>5843.7769061513445</c:v>
                </c:pt>
                <c:pt idx="365">
                  <c:v>2172.315995951973</c:v>
                </c:pt>
                <c:pt idx="366">
                  <c:v>1157.7379293571621</c:v>
                </c:pt>
                <c:pt idx="367">
                  <c:v>1975.842140886135</c:v>
                </c:pt>
                <c:pt idx="368">
                  <c:v>8565.5265180630286</c:v>
                </c:pt>
                <c:pt idx="369">
                  <c:v>1343.7507019369721</c:v>
                </c:pt>
                <c:pt idx="370">
                  <c:v>2390.1256188327211</c:v>
                </c:pt>
                <c:pt idx="371">
                  <c:v>3130.415680148405</c:v>
                </c:pt>
                <c:pt idx="372">
                  <c:v>4393.2411674347159</c:v>
                </c:pt>
                <c:pt idx="373">
                  <c:v>1011.5889343013541</c:v>
                </c:pt>
                <c:pt idx="374">
                  <c:v>2807.3716406092321</c:v>
                </c:pt>
                <c:pt idx="375">
                  <c:v>2777.0653965927818</c:v>
                </c:pt>
                <c:pt idx="376">
                  <c:v>4665.0215093207044</c:v>
                </c:pt>
                <c:pt idx="377">
                  <c:v>2523.6814690990136</c:v>
                </c:pt>
                <c:pt idx="378">
                  <c:v>2675.9828228427709</c:v>
                </c:pt>
                <c:pt idx="380">
                  <c:v>2798.4942947888485</c:v>
                </c:pt>
                <c:pt idx="381">
                  <c:v>1810.6572517477614</c:v>
                </c:pt>
                <c:pt idx="382">
                  <c:v>4626.7804641338171</c:v>
                </c:pt>
                <c:pt idx="383">
                  <c:v>2181.3809687392645</c:v>
                </c:pt>
                <c:pt idx="384">
                  <c:v>3764.120427967156</c:v>
                </c:pt>
                <c:pt idx="386">
                  <c:v>2908.9478145053877</c:v>
                </c:pt>
                <c:pt idx="387">
                  <c:v>2694.1557901737465</c:v>
                </c:pt>
                <c:pt idx="389">
                  <c:v>3043.1518656508929</c:v>
                </c:pt>
                <c:pt idx="391">
                  <c:v>2629.7065462753953</c:v>
                </c:pt>
                <c:pt idx="392">
                  <c:v>1029.1968179422056</c:v>
                </c:pt>
                <c:pt idx="393">
                  <c:v>3342.3913043478256</c:v>
                </c:pt>
                <c:pt idx="394">
                  <c:v>4257.3071394345952</c:v>
                </c:pt>
                <c:pt idx="395">
                  <c:v>2445.6040169341345</c:v>
                </c:pt>
                <c:pt idx="396">
                  <c:v>2678.3897097732729</c:v>
                </c:pt>
                <c:pt idx="397">
                  <c:v>2345.2152048513526</c:v>
                </c:pt>
                <c:pt idx="398">
                  <c:v>1877.3530805096368</c:v>
                </c:pt>
                <c:pt idx="399">
                  <c:v>3169.6593123058283</c:v>
                </c:pt>
                <c:pt idx="400">
                  <c:v>2747.2930520339978</c:v>
                </c:pt>
                <c:pt idx="401">
                  <c:v>2337.8698447310044</c:v>
                </c:pt>
                <c:pt idx="402">
                  <c:v>1254.2350833417097</c:v>
                </c:pt>
                <c:pt idx="404">
                  <c:v>1693.1240724917927</c:v>
                </c:pt>
                <c:pt idx="405">
                  <c:v>1850.4332537988194</c:v>
                </c:pt>
                <c:pt idx="406">
                  <c:v>1894.3353351728617</c:v>
                </c:pt>
                <c:pt idx="407">
                  <c:v>3532.1821036106749</c:v>
                </c:pt>
                <c:pt idx="408">
                  <c:v>1798.9270146417794</c:v>
                </c:pt>
                <c:pt idx="409">
                  <c:v>2343.262226847035</c:v>
                </c:pt>
                <c:pt idx="410">
                  <c:v>2157.0180933780443</c:v>
                </c:pt>
                <c:pt idx="411">
                  <c:v>1947.6875735360663</c:v>
                </c:pt>
                <c:pt idx="413">
                  <c:v>2969.4382022471923</c:v>
                </c:pt>
                <c:pt idx="414">
                  <c:v>2384.223984296304</c:v>
                </c:pt>
                <c:pt idx="415">
                  <c:v>1607.0628081884745</c:v>
                </c:pt>
                <c:pt idx="416">
                  <c:v>1692.067835438608</c:v>
                </c:pt>
                <c:pt idx="417">
                  <c:v>2358.081246342299</c:v>
                </c:pt>
                <c:pt idx="418">
                  <c:v>2222.3218555714966</c:v>
                </c:pt>
                <c:pt idx="419">
                  <c:v>3062.2030425875073</c:v>
                </c:pt>
                <c:pt idx="420">
                  <c:v>5404.7040636042384</c:v>
                </c:pt>
                <c:pt idx="421">
                  <c:v>3422.9357555913493</c:v>
                </c:pt>
                <c:pt idx="422">
                  <c:v>619.79345542838439</c:v>
                </c:pt>
                <c:pt idx="423">
                  <c:v>2608.3756706709082</c:v>
                </c:pt>
                <c:pt idx="424">
                  <c:v>3088.1045751633987</c:v>
                </c:pt>
                <c:pt idx="425">
                  <c:v>635.62119294644685</c:v>
                </c:pt>
                <c:pt idx="426">
                  <c:v>3051.6745771776191</c:v>
                </c:pt>
                <c:pt idx="428">
                  <c:v>1460.1204261232049</c:v>
                </c:pt>
                <c:pt idx="429">
                  <c:v>580.96884354315102</c:v>
                </c:pt>
                <c:pt idx="430">
                  <c:v>155.2799535209501</c:v>
                </c:pt>
                <c:pt idx="431">
                  <c:v>1075.2711722415993</c:v>
                </c:pt>
                <c:pt idx="432">
                  <c:v>3119.234069942072</c:v>
                </c:pt>
                <c:pt idx="433">
                  <c:v>3365.5123549729874</c:v>
                </c:pt>
                <c:pt idx="434">
                  <c:v>1879.6284124271501</c:v>
                </c:pt>
                <c:pt idx="435">
                  <c:v>1889.6120276474437</c:v>
                </c:pt>
                <c:pt idx="436">
                  <c:v>1683.9254220206601</c:v>
                </c:pt>
                <c:pt idx="437">
                  <c:v>2466.3489037178265</c:v>
                </c:pt>
                <c:pt idx="439">
                  <c:v>2499.1130708022906</c:v>
                </c:pt>
                <c:pt idx="441">
                  <c:v>2387.522235237971</c:v>
                </c:pt>
                <c:pt idx="442">
                  <c:v>1684.7099133528809</c:v>
                </c:pt>
                <c:pt idx="443">
                  <c:v>1727.7926976772794</c:v>
                </c:pt>
                <c:pt idx="444">
                  <c:v>2859.5151112587178</c:v>
                </c:pt>
                <c:pt idx="445">
                  <c:v>7758.0638024866139</c:v>
                </c:pt>
                <c:pt idx="446">
                  <c:v>2858.6828191571276</c:v>
                </c:pt>
                <c:pt idx="447">
                  <c:v>1935.4786545924967</c:v>
                </c:pt>
                <c:pt idx="449">
                  <c:v>2623.4407266255898</c:v>
                </c:pt>
                <c:pt idx="450">
                  <c:v>2313.3900161702572</c:v>
                </c:pt>
                <c:pt idx="451">
                  <c:v>2245.8726696702911</c:v>
                </c:pt>
                <c:pt idx="454">
                  <c:v>3093.3583959899747</c:v>
                </c:pt>
                <c:pt idx="455">
                  <c:v>2720.8339720987278</c:v>
                </c:pt>
                <c:pt idx="456">
                  <c:v>1794.2566071164915</c:v>
                </c:pt>
                <c:pt idx="457">
                  <c:v>2888.0755476084046</c:v>
                </c:pt>
                <c:pt idx="458">
                  <c:v>2662.2881817192206</c:v>
                </c:pt>
                <c:pt idx="459">
                  <c:v>2185.4928394725493</c:v>
                </c:pt>
                <c:pt idx="460">
                  <c:v>2023.7065859633947</c:v>
                </c:pt>
                <c:pt idx="461">
                  <c:v>5708.6472909939002</c:v>
                </c:pt>
                <c:pt idx="462">
                  <c:v>2892.3741073273786</c:v>
                </c:pt>
                <c:pt idx="464">
                  <c:v>4110.1530621665052</c:v>
                </c:pt>
                <c:pt idx="465">
                  <c:v>3063.4468563769951</c:v>
                </c:pt>
                <c:pt idx="466">
                  <c:v>2348.4366098059586</c:v>
                </c:pt>
                <c:pt idx="467">
                  <c:v>4066.1771211182868</c:v>
                </c:pt>
                <c:pt idx="469">
                  <c:v>2763.9284583729027</c:v>
                </c:pt>
                <c:pt idx="470">
                  <c:v>2228.801251256843</c:v>
                </c:pt>
                <c:pt idx="471">
                  <c:v>1787.4798749881616</c:v>
                </c:pt>
                <c:pt idx="472">
                  <c:v>1829.1837193174379</c:v>
                </c:pt>
                <c:pt idx="475">
                  <c:v>949.96161101053087</c:v>
                </c:pt>
                <c:pt idx="476">
                  <c:v>3529.9915516755837</c:v>
                </c:pt>
                <c:pt idx="477">
                  <c:v>1728.7874410093425</c:v>
                </c:pt>
                <c:pt idx="478">
                  <c:v>2480.0961225337724</c:v>
                </c:pt>
                <c:pt idx="479">
                  <c:v>3068.0173661360345</c:v>
                </c:pt>
                <c:pt idx="480">
                  <c:v>4820.6606724003132</c:v>
                </c:pt>
                <c:pt idx="481">
                  <c:v>2492.0341575325006</c:v>
                </c:pt>
                <c:pt idx="482">
                  <c:v>1576.4443400657585</c:v>
                </c:pt>
                <c:pt idx="483">
                  <c:v>3256.977535738597</c:v>
                </c:pt>
                <c:pt idx="484">
                  <c:v>3177.7686227051531</c:v>
                </c:pt>
                <c:pt idx="485">
                  <c:v>1105.2970281361761</c:v>
                </c:pt>
                <c:pt idx="487">
                  <c:v>2421.8098737225605</c:v>
                </c:pt>
                <c:pt idx="488">
                  <c:v>1985.8169125930303</c:v>
                </c:pt>
                <c:pt idx="489">
                  <c:v>767.47763337970662</c:v>
                </c:pt>
                <c:pt idx="490">
                  <c:v>1684.8133929133362</c:v>
                </c:pt>
                <c:pt idx="491">
                  <c:v>1440.5448967919722</c:v>
                </c:pt>
                <c:pt idx="492">
                  <c:v>2032.2222479239429</c:v>
                </c:pt>
                <c:pt idx="493">
                  <c:v>1534.6079133012986</c:v>
                </c:pt>
                <c:pt idx="494">
                  <c:v>2245.8113649677803</c:v>
                </c:pt>
                <c:pt idx="495">
                  <c:v>2412.2122746801715</c:v>
                </c:pt>
                <c:pt idx="496">
                  <c:v>5052.4658971668414</c:v>
                </c:pt>
                <c:pt idx="497">
                  <c:v>2659.7306760708316</c:v>
                </c:pt>
                <c:pt idx="499">
                  <c:v>2867.1867475681397</c:v>
                </c:pt>
                <c:pt idx="500">
                  <c:v>3570.326482750108</c:v>
                </c:pt>
                <c:pt idx="501">
                  <c:v>2665.9140391903884</c:v>
                </c:pt>
                <c:pt idx="502">
                  <c:v>3312.1821700193514</c:v>
                </c:pt>
                <c:pt idx="506">
                  <c:v>2281.1100636342203</c:v>
                </c:pt>
                <c:pt idx="507">
                  <c:v>250.96171459974354</c:v>
                </c:pt>
                <c:pt idx="508">
                  <c:v>2358.2953349701861</c:v>
                </c:pt>
                <c:pt idx="510">
                  <c:v>2171.2490015554722</c:v>
                </c:pt>
                <c:pt idx="511">
                  <c:v>2990.586718246293</c:v>
                </c:pt>
                <c:pt idx="512">
                  <c:v>1154.4608963970963</c:v>
                </c:pt>
                <c:pt idx="513">
                  <c:v>262.91020894773175</c:v>
                </c:pt>
                <c:pt idx="514">
                  <c:v>1278.7287656949206</c:v>
                </c:pt>
                <c:pt idx="515">
                  <c:v>3466.6666666666661</c:v>
                </c:pt>
                <c:pt idx="516">
                  <c:v>2567.7731206057333</c:v>
                </c:pt>
                <c:pt idx="518">
                  <c:v>3718.2034117901098</c:v>
                </c:pt>
                <c:pt idx="519">
                  <c:v>434.22786214548222</c:v>
                </c:pt>
                <c:pt idx="521">
                  <c:v>2261.8880737660238</c:v>
                </c:pt>
                <c:pt idx="522">
                  <c:v>2581.5111011688382</c:v>
                </c:pt>
                <c:pt idx="523">
                  <c:v>3532.8551509289377</c:v>
                </c:pt>
                <c:pt idx="524">
                  <c:v>2248.353136735825</c:v>
                </c:pt>
                <c:pt idx="525">
                  <c:v>3291.7870261402945</c:v>
                </c:pt>
                <c:pt idx="526">
                  <c:v>4585.4883253828775</c:v>
                </c:pt>
                <c:pt idx="527">
                  <c:v>2059.2660132208803</c:v>
                </c:pt>
                <c:pt idx="528">
                  <c:v>4508.3746898263034</c:v>
                </c:pt>
                <c:pt idx="529">
                  <c:v>2337.7095855741854</c:v>
                </c:pt>
                <c:pt idx="530">
                  <c:v>4081.0495140366238</c:v>
                </c:pt>
                <c:pt idx="532">
                  <c:v>768.31373838691104</c:v>
                </c:pt>
                <c:pt idx="533">
                  <c:v>2102.0852444651337</c:v>
                </c:pt>
                <c:pt idx="535">
                  <c:v>4166.4405860010856</c:v>
                </c:pt>
                <c:pt idx="536">
                  <c:v>3358.6878001104833</c:v>
                </c:pt>
                <c:pt idx="537">
                  <c:v>1508.1787109374998</c:v>
                </c:pt>
                <c:pt idx="538">
                  <c:v>1418.7287076180203</c:v>
                </c:pt>
                <c:pt idx="540">
                  <c:v>782.73117080393024</c:v>
                </c:pt>
                <c:pt idx="541">
                  <c:v>2640.607909734616</c:v>
                </c:pt>
                <c:pt idx="542">
                  <c:v>147.27787888757933</c:v>
                </c:pt>
                <c:pt idx="545">
                  <c:v>1847.658508383118</c:v>
                </c:pt>
                <c:pt idx="546">
                  <c:v>887.01572378019091</c:v>
                </c:pt>
                <c:pt idx="547">
                  <c:v>5015.5363135435218</c:v>
                </c:pt>
                <c:pt idx="550">
                  <c:v>3258.2991588589211</c:v>
                </c:pt>
                <c:pt idx="551">
                  <c:v>2651.2210702176799</c:v>
                </c:pt>
                <c:pt idx="552">
                  <c:v>1274.6399415942124</c:v>
                </c:pt>
                <c:pt idx="553">
                  <c:v>1661.8781188567973</c:v>
                </c:pt>
                <c:pt idx="555">
                  <c:v>3479.1046274299865</c:v>
                </c:pt>
                <c:pt idx="556">
                  <c:v>3379.7881659632076</c:v>
                </c:pt>
                <c:pt idx="557">
                  <c:v>7587.4170495150593</c:v>
                </c:pt>
                <c:pt idx="558">
                  <c:v>5219.4180999839236</c:v>
                </c:pt>
                <c:pt idx="559">
                  <c:v>1202.5225521084553</c:v>
                </c:pt>
                <c:pt idx="561">
                  <c:v>941.27572702274836</c:v>
                </c:pt>
                <c:pt idx="562">
                  <c:v>2629.6554543050174</c:v>
                </c:pt>
                <c:pt idx="564">
                  <c:v>2135.4682582473388</c:v>
                </c:pt>
                <c:pt idx="566">
                  <c:v>3705.279861511829</c:v>
                </c:pt>
                <c:pt idx="568">
                  <c:v>2248.7197777044366</c:v>
                </c:pt>
                <c:pt idx="571">
                  <c:v>1327.5336971926547</c:v>
                </c:pt>
                <c:pt idx="573">
                  <c:v>3353.2230567202696</c:v>
                </c:pt>
                <c:pt idx="574">
                  <c:v>1880.4190090606439</c:v>
                </c:pt>
                <c:pt idx="575">
                  <c:v>2100.2122634458428</c:v>
                </c:pt>
                <c:pt idx="576">
                  <c:v>2769.2982456140344</c:v>
                </c:pt>
                <c:pt idx="577">
                  <c:v>777.63750447513701</c:v>
                </c:pt>
                <c:pt idx="578">
                  <c:v>2203.4770673681801</c:v>
                </c:pt>
                <c:pt idx="579">
                  <c:v>2556.17387652247</c:v>
                </c:pt>
                <c:pt idx="580">
                  <c:v>2583.4046193327631</c:v>
                </c:pt>
                <c:pt idx="583">
                  <c:v>1209.7697039050206</c:v>
                </c:pt>
                <c:pt idx="584">
                  <c:v>1738.0416636423024</c:v>
                </c:pt>
                <c:pt idx="585">
                  <c:v>1431.9752020233175</c:v>
                </c:pt>
                <c:pt idx="586">
                  <c:v>1593.3093090590958</c:v>
                </c:pt>
                <c:pt idx="587">
                  <c:v>1085.8101158852544</c:v>
                </c:pt>
                <c:pt idx="588">
                  <c:v>2068.7265068913121</c:v>
                </c:pt>
                <c:pt idx="589">
                  <c:v>1755.1361198259285</c:v>
                </c:pt>
                <c:pt idx="590">
                  <c:v>1562.0683524568869</c:v>
                </c:pt>
                <c:pt idx="592">
                  <c:v>2041.7154952352403</c:v>
                </c:pt>
                <c:pt idx="593">
                  <c:v>693.15713805022779</c:v>
                </c:pt>
                <c:pt idx="594">
                  <c:v>1539.1158928554162</c:v>
                </c:pt>
                <c:pt idx="595">
                  <c:v>4804.6441191317508</c:v>
                </c:pt>
                <c:pt idx="596">
                  <c:v>2737.934362934363</c:v>
                </c:pt>
                <c:pt idx="598">
                  <c:v>2576.4162009245842</c:v>
                </c:pt>
                <c:pt idx="599">
                  <c:v>3175.456823320907</c:v>
                </c:pt>
                <c:pt idx="600">
                  <c:v>808.18004369239509</c:v>
                </c:pt>
                <c:pt idx="602">
                  <c:v>1817.8319188653468</c:v>
                </c:pt>
                <c:pt idx="603">
                  <c:v>3387.5771885216132</c:v>
                </c:pt>
                <c:pt idx="604">
                  <c:v>2697.8983638728523</c:v>
                </c:pt>
                <c:pt idx="605">
                  <c:v>1071.920929037082</c:v>
                </c:pt>
                <c:pt idx="607">
                  <c:v>1993.9567062397832</c:v>
                </c:pt>
                <c:pt idx="608">
                  <c:v>2826.697070689353</c:v>
                </c:pt>
                <c:pt idx="611">
                  <c:v>5375.3026634382568</c:v>
                </c:pt>
                <c:pt idx="612">
                  <c:v>3731.0086674540116</c:v>
                </c:pt>
                <c:pt idx="613">
                  <c:v>2061.9169291104645</c:v>
                </c:pt>
                <c:pt idx="614">
                  <c:v>382.68640839610322</c:v>
                </c:pt>
                <c:pt idx="615">
                  <c:v>766.06805293005664</c:v>
                </c:pt>
                <c:pt idx="617">
                  <c:v>2025.536171339472</c:v>
                </c:pt>
                <c:pt idx="618">
                  <c:v>4949.6555378908324</c:v>
                </c:pt>
                <c:pt idx="620">
                  <c:v>1861.9521490578022</c:v>
                </c:pt>
                <c:pt idx="623">
                  <c:v>2389.3879256319196</c:v>
                </c:pt>
                <c:pt idx="625">
                  <c:v>4114.6187757034222</c:v>
                </c:pt>
                <c:pt idx="628">
                  <c:v>1957.2583090532753</c:v>
                </c:pt>
                <c:pt idx="629">
                  <c:v>3288.9885040850263</c:v>
                </c:pt>
                <c:pt idx="630">
                  <c:v>1756.0436425871787</c:v>
                </c:pt>
                <c:pt idx="631">
                  <c:v>1155.9052033688058</c:v>
                </c:pt>
                <c:pt idx="632">
                  <c:v>6194.1251596424017</c:v>
                </c:pt>
                <c:pt idx="633">
                  <c:v>2750.0547165681774</c:v>
                </c:pt>
                <c:pt idx="635">
                  <c:v>1608.1962801050358</c:v>
                </c:pt>
                <c:pt idx="636">
                  <c:v>2211.6238362211116</c:v>
                </c:pt>
                <c:pt idx="638">
                  <c:v>3611.4062669413429</c:v>
                </c:pt>
                <c:pt idx="639">
                  <c:v>3546.8035256052667</c:v>
                </c:pt>
                <c:pt idx="641">
                  <c:v>955.38744842896847</c:v>
                </c:pt>
                <c:pt idx="642">
                  <c:v>1572.1141326587551</c:v>
                </c:pt>
                <c:pt idx="643">
                  <c:v>1605.1757424337063</c:v>
                </c:pt>
                <c:pt idx="644">
                  <c:v>2363.5810670209526</c:v>
                </c:pt>
                <c:pt idx="647">
                  <c:v>2662.1046646144187</c:v>
                </c:pt>
                <c:pt idx="648">
                  <c:v>1015.6980003737618</c:v>
                </c:pt>
                <c:pt idx="649">
                  <c:v>408.2522854217263</c:v>
                </c:pt>
                <c:pt idx="650">
                  <c:v>120.82775540864868</c:v>
                </c:pt>
                <c:pt idx="652">
                  <c:v>2556.5872569249045</c:v>
                </c:pt>
                <c:pt idx="653">
                  <c:v>1515.3909618043856</c:v>
                </c:pt>
                <c:pt idx="654">
                  <c:v>2284.5290902759898</c:v>
                </c:pt>
                <c:pt idx="655">
                  <c:v>2789.1856748117252</c:v>
                </c:pt>
                <c:pt idx="658">
                  <c:v>2799.5336988903759</c:v>
                </c:pt>
                <c:pt idx="659">
                  <c:v>2713.2601699810202</c:v>
                </c:pt>
                <c:pt idx="660">
                  <c:v>2356.6747154191098</c:v>
                </c:pt>
                <c:pt idx="662">
                  <c:v>1183.2299016690749</c:v>
                </c:pt>
                <c:pt idx="664">
                  <c:v>1384.5699494466933</c:v>
                </c:pt>
                <c:pt idx="665">
                  <c:v>1840.7073071065047</c:v>
                </c:pt>
                <c:pt idx="666">
                  <c:v>3454.8425827107785</c:v>
                </c:pt>
                <c:pt idx="667">
                  <c:v>2928.8323792538044</c:v>
                </c:pt>
                <c:pt idx="668">
                  <c:v>2148.3414973135141</c:v>
                </c:pt>
                <c:pt idx="669">
                  <c:v>488.21580780803578</c:v>
                </c:pt>
                <c:pt idx="670">
                  <c:v>1800.4770774107114</c:v>
                </c:pt>
                <c:pt idx="671">
                  <c:v>777.79772130909362</c:v>
                </c:pt>
                <c:pt idx="672">
                  <c:v>2110.8848048503219</c:v>
                </c:pt>
                <c:pt idx="673">
                  <c:v>2366.2839997390915</c:v>
                </c:pt>
                <c:pt idx="674">
                  <c:v>2449.8865227022548</c:v>
                </c:pt>
                <c:pt idx="676">
                  <c:v>2642.4544099798741</c:v>
                </c:pt>
                <c:pt idx="677">
                  <c:v>2914.6851131286935</c:v>
                </c:pt>
                <c:pt idx="678">
                  <c:v>1728.0292462359907</c:v>
                </c:pt>
                <c:pt idx="680">
                  <c:v>3778.2376774419213</c:v>
                </c:pt>
                <c:pt idx="681">
                  <c:v>2044.7291098568924</c:v>
                </c:pt>
                <c:pt idx="682">
                  <c:v>197.56943183148277</c:v>
                </c:pt>
                <c:pt idx="685">
                  <c:v>1629.430342730144</c:v>
                </c:pt>
                <c:pt idx="686">
                  <c:v>3669.2832545505107</c:v>
                </c:pt>
                <c:pt idx="687">
                  <c:v>2867.5216027299248</c:v>
                </c:pt>
                <c:pt idx="688">
                  <c:v>4734.1755916116199</c:v>
                </c:pt>
                <c:pt idx="689">
                  <c:v>642.25918071213312</c:v>
                </c:pt>
                <c:pt idx="692">
                  <c:v>533.4178125588644</c:v>
                </c:pt>
                <c:pt idx="694">
                  <c:v>2291.8631094347998</c:v>
                </c:pt>
                <c:pt idx="695">
                  <c:v>4526.910369817756</c:v>
                </c:pt>
                <c:pt idx="696">
                  <c:v>1162.2442779015598</c:v>
                </c:pt>
                <c:pt idx="698">
                  <c:v>3451.460065751306</c:v>
                </c:pt>
                <c:pt idx="699">
                  <c:v>3285.2577370800286</c:v>
                </c:pt>
                <c:pt idx="700">
                  <c:v>2091.8752386110405</c:v>
                </c:pt>
                <c:pt idx="701">
                  <c:v>2151.6480809497193</c:v>
                </c:pt>
                <c:pt idx="704">
                  <c:v>2484.7311684410774</c:v>
                </c:pt>
                <c:pt idx="706">
                  <c:v>1944.2948538439998</c:v>
                </c:pt>
                <c:pt idx="708">
                  <c:v>775.15315612947722</c:v>
                </c:pt>
                <c:pt idx="709">
                  <c:v>1927.9742456275221</c:v>
                </c:pt>
                <c:pt idx="710">
                  <c:v>1765.4118241536128</c:v>
                </c:pt>
                <c:pt idx="711">
                  <c:v>2707.9402042263891</c:v>
                </c:pt>
                <c:pt idx="712">
                  <c:v>1538.2733704651516</c:v>
                </c:pt>
                <c:pt idx="714">
                  <c:v>604.38898105149565</c:v>
                </c:pt>
                <c:pt idx="715">
                  <c:v>639.66861434320663</c:v>
                </c:pt>
                <c:pt idx="716">
                  <c:v>971.91716660355166</c:v>
                </c:pt>
                <c:pt idx="717">
                  <c:v>1644.950759082084</c:v>
                </c:pt>
                <c:pt idx="718">
                  <c:v>2421.3396390309822</c:v>
                </c:pt>
                <c:pt idx="720">
                  <c:v>2802.8766365480365</c:v>
                </c:pt>
                <c:pt idx="723">
                  <c:v>1826.0409315455186</c:v>
                </c:pt>
                <c:pt idx="724">
                  <c:v>923.04935617013894</c:v>
                </c:pt>
                <c:pt idx="728">
                  <c:v>791.00897635980834</c:v>
                </c:pt>
                <c:pt idx="729">
                  <c:v>1620.4705246078961</c:v>
                </c:pt>
                <c:pt idx="730">
                  <c:v>3900.8728419271729</c:v>
                </c:pt>
                <c:pt idx="731">
                  <c:v>1147.7244721925574</c:v>
                </c:pt>
                <c:pt idx="732">
                  <c:v>3417.6196447622078</c:v>
                </c:pt>
                <c:pt idx="734">
                  <c:v>1555.8131915215365</c:v>
                </c:pt>
                <c:pt idx="736">
                  <c:v>937.55537257272704</c:v>
                </c:pt>
                <c:pt idx="737">
                  <c:v>1625.8046194623248</c:v>
                </c:pt>
                <c:pt idx="738">
                  <c:v>41.525220411933624</c:v>
                </c:pt>
                <c:pt idx="739">
                  <c:v>2230.8063737324965</c:v>
                </c:pt>
                <c:pt idx="740">
                  <c:v>1471.7093347030359</c:v>
                </c:pt>
                <c:pt idx="741">
                  <c:v>1952.2030480934593</c:v>
                </c:pt>
                <c:pt idx="742">
                  <c:v>1374.9812933371027</c:v>
                </c:pt>
                <c:pt idx="743">
                  <c:v>872.93755880395611</c:v>
                </c:pt>
                <c:pt idx="744">
                  <c:v>128.39950939348543</c:v>
                </c:pt>
                <c:pt idx="745">
                  <c:v>2087.867717746587</c:v>
                </c:pt>
                <c:pt idx="747">
                  <c:v>1778.0506343916275</c:v>
                </c:pt>
                <c:pt idx="749">
                  <c:v>1444.9560141412483</c:v>
                </c:pt>
                <c:pt idx="752">
                  <c:v>2369.3568336425483</c:v>
                </c:pt>
                <c:pt idx="753">
                  <c:v>966.71388101983018</c:v>
                </c:pt>
                <c:pt idx="755">
                  <c:v>2013.368835635436</c:v>
                </c:pt>
                <c:pt idx="756">
                  <c:v>3154.6186278267528</c:v>
                </c:pt>
                <c:pt idx="758">
                  <c:v>1797.0172811526163</c:v>
                </c:pt>
                <c:pt idx="759">
                  <c:v>1391.886039676031</c:v>
                </c:pt>
                <c:pt idx="760">
                  <c:v>940.50037500807127</c:v>
                </c:pt>
                <c:pt idx="761">
                  <c:v>1564.4541691012844</c:v>
                </c:pt>
                <c:pt idx="762">
                  <c:v>4310.939863842661</c:v>
                </c:pt>
                <c:pt idx="763">
                  <c:v>1130.9326436324247</c:v>
                </c:pt>
                <c:pt idx="764">
                  <c:v>591.88185355500525</c:v>
                </c:pt>
                <c:pt idx="765">
                  <c:v>144.30956959102096</c:v>
                </c:pt>
                <c:pt idx="766">
                  <c:v>306.19230074444516</c:v>
                </c:pt>
                <c:pt idx="767">
                  <c:v>1844.8718345134657</c:v>
                </c:pt>
                <c:pt idx="769">
                  <c:v>1437.109218644325</c:v>
                </c:pt>
                <c:pt idx="770">
                  <c:v>1671.1874623267029</c:v>
                </c:pt>
                <c:pt idx="772">
                  <c:v>118.41371049569409</c:v>
                </c:pt>
                <c:pt idx="773">
                  <c:v>1703.4317443942105</c:v>
                </c:pt>
                <c:pt idx="774">
                  <c:v>2342.1087329143406</c:v>
                </c:pt>
                <c:pt idx="775">
                  <c:v>2120.6063029333718</c:v>
                </c:pt>
                <c:pt idx="777">
                  <c:v>2675.4999001625924</c:v>
                </c:pt>
                <c:pt idx="778">
                  <c:v>1270.1393381830808</c:v>
                </c:pt>
                <c:pt idx="779">
                  <c:v>1997.4640743871512</c:v>
                </c:pt>
                <c:pt idx="780">
                  <c:v>2787.8429932798053</c:v>
                </c:pt>
                <c:pt idx="782">
                  <c:v>2454.3477823189519</c:v>
                </c:pt>
                <c:pt idx="783">
                  <c:v>2450.2056233804747</c:v>
                </c:pt>
                <c:pt idx="784">
                  <c:v>2308.5066162570888</c:v>
                </c:pt>
                <c:pt idx="786">
                  <c:v>7271.2265843680452</c:v>
                </c:pt>
                <c:pt idx="787">
                  <c:v>1670.1524315565352</c:v>
                </c:pt>
                <c:pt idx="789">
                  <c:v>2262.0982094495257</c:v>
                </c:pt>
                <c:pt idx="791">
                  <c:v>1716.0626102647966</c:v>
                </c:pt>
                <c:pt idx="794">
                  <c:v>1105.5400043064999</c:v>
                </c:pt>
                <c:pt idx="796">
                  <c:v>1074.951611826737</c:v>
                </c:pt>
                <c:pt idx="797">
                  <c:v>1238.2522194268527</c:v>
                </c:pt>
                <c:pt idx="798">
                  <c:v>2579.9166087560798</c:v>
                </c:pt>
                <c:pt idx="799">
                  <c:v>1698.5212121212121</c:v>
                </c:pt>
                <c:pt idx="801">
                  <c:v>4111.6702886118419</c:v>
                </c:pt>
                <c:pt idx="802">
                  <c:v>1559.4909862142101</c:v>
                </c:pt>
                <c:pt idx="808">
                  <c:v>1261.3683647387504</c:v>
                </c:pt>
                <c:pt idx="809">
                  <c:v>1507.1626683441511</c:v>
                </c:pt>
                <c:pt idx="810">
                  <c:v>2062.3202301054657</c:v>
                </c:pt>
                <c:pt idx="811">
                  <c:v>3709.5657335047981</c:v>
                </c:pt>
                <c:pt idx="812">
                  <c:v>2505.0662509742788</c:v>
                </c:pt>
                <c:pt idx="814">
                  <c:v>2028.0616633976808</c:v>
                </c:pt>
                <c:pt idx="815">
                  <c:v>315.22420967864645</c:v>
                </c:pt>
                <c:pt idx="816">
                  <c:v>20.920087146151445</c:v>
                </c:pt>
                <c:pt idx="817">
                  <c:v>4248.3253413375305</c:v>
                </c:pt>
                <c:pt idx="818">
                  <c:v>1474.7932085328691</c:v>
                </c:pt>
                <c:pt idx="819">
                  <c:v>174.93700215645711</c:v>
                </c:pt>
                <c:pt idx="820">
                  <c:v>1109.3529487234312</c:v>
                </c:pt>
                <c:pt idx="821">
                  <c:v>902.96006414957287</c:v>
                </c:pt>
                <c:pt idx="822">
                  <c:v>2244.928464659406</c:v>
                </c:pt>
                <c:pt idx="823">
                  <c:v>3390.784786855108</c:v>
                </c:pt>
                <c:pt idx="824">
                  <c:v>3132.7400048294171</c:v>
                </c:pt>
                <c:pt idx="825">
                  <c:v>1914.1401590457256</c:v>
                </c:pt>
                <c:pt idx="826">
                  <c:v>1467.5161444112166</c:v>
                </c:pt>
                <c:pt idx="827">
                  <c:v>2164.2907426962333</c:v>
                </c:pt>
                <c:pt idx="828">
                  <c:v>2548.1297386856845</c:v>
                </c:pt>
                <c:pt idx="830">
                  <c:v>3273.3457330049091</c:v>
                </c:pt>
                <c:pt idx="831">
                  <c:v>971.54392133880299</c:v>
                </c:pt>
                <c:pt idx="835">
                  <c:v>1358.3148271921691</c:v>
                </c:pt>
                <c:pt idx="836">
                  <c:v>1256.5351101998974</c:v>
                </c:pt>
                <c:pt idx="837">
                  <c:v>2381.9642668358183</c:v>
                </c:pt>
                <c:pt idx="839">
                  <c:v>626.05150188896164</c:v>
                </c:pt>
                <c:pt idx="842">
                  <c:v>1443.0616918415026</c:v>
                </c:pt>
                <c:pt idx="843">
                  <c:v>2202.8226825894913</c:v>
                </c:pt>
                <c:pt idx="844">
                  <c:v>1153.8109302378825</c:v>
                </c:pt>
                <c:pt idx="845">
                  <c:v>173.99315609370888</c:v>
                </c:pt>
                <c:pt idx="846">
                  <c:v>2520.6064373158933</c:v>
                </c:pt>
                <c:pt idx="847">
                  <c:v>8091.0714285714275</c:v>
                </c:pt>
                <c:pt idx="848">
                  <c:v>3139.4103565578935</c:v>
                </c:pt>
                <c:pt idx="849">
                  <c:v>2341.5528462737198</c:v>
                </c:pt>
                <c:pt idx="850">
                  <c:v>293.40135799227221</c:v>
                </c:pt>
                <c:pt idx="852">
                  <c:v>2148.2892563213436</c:v>
                </c:pt>
                <c:pt idx="853">
                  <c:v>4127.0069494368563</c:v>
                </c:pt>
                <c:pt idx="854">
                  <c:v>1504.3538650568939</c:v>
                </c:pt>
                <c:pt idx="857">
                  <c:v>1568.9837604085199</c:v>
                </c:pt>
                <c:pt idx="859">
                  <c:v>1530.2253279676897</c:v>
                </c:pt>
                <c:pt idx="860">
                  <c:v>1547.7111540941328</c:v>
                </c:pt>
                <c:pt idx="861">
                  <c:v>1730.6613226452903</c:v>
                </c:pt>
                <c:pt idx="862">
                  <c:v>59.495745611851085</c:v>
                </c:pt>
                <c:pt idx="863">
                  <c:v>2342.6187782805428</c:v>
                </c:pt>
                <c:pt idx="864">
                  <c:v>2145.9649467810523</c:v>
                </c:pt>
                <c:pt idx="865">
                  <c:v>1816.0391169409147</c:v>
                </c:pt>
                <c:pt idx="866">
                  <c:v>1651.2793458190449</c:v>
                </c:pt>
                <c:pt idx="867">
                  <c:v>221.44229235277791</c:v>
                </c:pt>
                <c:pt idx="868">
                  <c:v>1828.8073133313305</c:v>
                </c:pt>
                <c:pt idx="871">
                  <c:v>4042.6641725272952</c:v>
                </c:pt>
                <c:pt idx="873">
                  <c:v>1290.9074675659158</c:v>
                </c:pt>
                <c:pt idx="874">
                  <c:v>1900.5478297513694</c:v>
                </c:pt>
                <c:pt idx="875">
                  <c:v>286.59391235561412</c:v>
                </c:pt>
                <c:pt idx="876">
                  <c:v>1024.7699740665744</c:v>
                </c:pt>
                <c:pt idx="877">
                  <c:v>1679.54773150136</c:v>
                </c:pt>
                <c:pt idx="878">
                  <c:v>884.62528972443977</c:v>
                </c:pt>
                <c:pt idx="879">
                  <c:v>711.18155324914369</c:v>
                </c:pt>
                <c:pt idx="880">
                  <c:v>2214.775323686215</c:v>
                </c:pt>
                <c:pt idx="881">
                  <c:v>147.17643633608461</c:v>
                </c:pt>
                <c:pt idx="882">
                  <c:v>4022.0874163944636</c:v>
                </c:pt>
                <c:pt idx="885">
                  <c:v>916.20087525456063</c:v>
                </c:pt>
                <c:pt idx="886">
                  <c:v>418.26707887039544</c:v>
                </c:pt>
                <c:pt idx="887">
                  <c:v>430.52204839953254</c:v>
                </c:pt>
                <c:pt idx="888">
                  <c:v>230.43396659228824</c:v>
                </c:pt>
                <c:pt idx="890">
                  <c:v>1779.0886167146973</c:v>
                </c:pt>
                <c:pt idx="891">
                  <c:v>1988.3430885875878</c:v>
                </c:pt>
                <c:pt idx="892">
                  <c:v>795.1000221088575</c:v>
                </c:pt>
                <c:pt idx="893">
                  <c:v>276.0024192098337</c:v>
                </c:pt>
                <c:pt idx="894">
                  <c:v>2080.4954471233759</c:v>
                </c:pt>
                <c:pt idx="895">
                  <c:v>651.83777219620004</c:v>
                </c:pt>
                <c:pt idx="896">
                  <c:v>1943.7588152327223</c:v>
                </c:pt>
                <c:pt idx="897">
                  <c:v>452.99858977213682</c:v>
                </c:pt>
                <c:pt idx="900">
                  <c:v>1725.6908334571383</c:v>
                </c:pt>
                <c:pt idx="901">
                  <c:v>1083.2895047754071</c:v>
                </c:pt>
                <c:pt idx="902">
                  <c:v>919.8400133322225</c:v>
                </c:pt>
                <c:pt idx="906">
                  <c:v>1804.3141189346952</c:v>
                </c:pt>
                <c:pt idx="907">
                  <c:v>2455.3080308030799</c:v>
                </c:pt>
                <c:pt idx="908">
                  <c:v>2390.0631789952208</c:v>
                </c:pt>
                <c:pt idx="909">
                  <c:v>2279.7939220625954</c:v>
                </c:pt>
                <c:pt idx="912">
                  <c:v>1499.6448111267589</c:v>
                </c:pt>
                <c:pt idx="913">
                  <c:v>1470.6335748419915</c:v>
                </c:pt>
                <c:pt idx="916">
                  <c:v>1300.8352731754073</c:v>
                </c:pt>
                <c:pt idx="917">
                  <c:v>2035.7729743395275</c:v>
                </c:pt>
                <c:pt idx="920">
                  <c:v>3574.0072202166066</c:v>
                </c:pt>
                <c:pt idx="921">
                  <c:v>50.600646708315089</c:v>
                </c:pt>
                <c:pt idx="923">
                  <c:v>1699.5807650225861</c:v>
                </c:pt>
                <c:pt idx="925">
                  <c:v>656.31889411904911</c:v>
                </c:pt>
                <c:pt idx="926">
                  <c:v>2767.0561235134569</c:v>
                </c:pt>
                <c:pt idx="928">
                  <c:v>1753.6686934992738</c:v>
                </c:pt>
                <c:pt idx="930">
                  <c:v>2226.232180088266</c:v>
                </c:pt>
                <c:pt idx="933">
                  <c:v>2131.5299664970844</c:v>
                </c:pt>
                <c:pt idx="935">
                  <c:v>176.27420258069802</c:v>
                </c:pt>
                <c:pt idx="937">
                  <c:v>74.515845679893133</c:v>
                </c:pt>
                <c:pt idx="939">
                  <c:v>1828.8993314512195</c:v>
                </c:pt>
                <c:pt idx="940">
                  <c:v>139.29607692056911</c:v>
                </c:pt>
                <c:pt idx="941">
                  <c:v>2415.0443379879725</c:v>
                </c:pt>
                <c:pt idx="942">
                  <c:v>1620.206839843886</c:v>
                </c:pt>
                <c:pt idx="943">
                  <c:v>2437.0658002483028</c:v>
                </c:pt>
                <c:pt idx="944">
                  <c:v>1409.6812278630459</c:v>
                </c:pt>
                <c:pt idx="945">
                  <c:v>2417.7280424059481</c:v>
                </c:pt>
                <c:pt idx="948">
                  <c:v>886.1991051597339</c:v>
                </c:pt>
                <c:pt idx="949">
                  <c:v>3769.4231112698699</c:v>
                </c:pt>
                <c:pt idx="950">
                  <c:v>1892.391095758971</c:v>
                </c:pt>
                <c:pt idx="951">
                  <c:v>3292.1338394985437</c:v>
                </c:pt>
                <c:pt idx="952">
                  <c:v>3196.6387380525316</c:v>
                </c:pt>
                <c:pt idx="954">
                  <c:v>1322.7750043036667</c:v>
                </c:pt>
                <c:pt idx="956">
                  <c:v>1499.55716532935</c:v>
                </c:pt>
                <c:pt idx="957">
                  <c:v>2625.3699908925314</c:v>
                </c:pt>
                <c:pt idx="959">
                  <c:v>894.74075865533086</c:v>
                </c:pt>
                <c:pt idx="960">
                  <c:v>2672.6775276706871</c:v>
                </c:pt>
                <c:pt idx="962">
                  <c:v>753.16851783070376</c:v>
                </c:pt>
                <c:pt idx="963">
                  <c:v>999.2046358368367</c:v>
                </c:pt>
                <c:pt idx="965">
                  <c:v>2016.229894418429</c:v>
                </c:pt>
                <c:pt idx="967">
                  <c:v>437.27473411968026</c:v>
                </c:pt>
                <c:pt idx="968">
                  <c:v>4198.9607348044065</c:v>
                </c:pt>
                <c:pt idx="969">
                  <c:v>1183.5188145597642</c:v>
                </c:pt>
                <c:pt idx="972">
                  <c:v>1857.3418117827418</c:v>
                </c:pt>
                <c:pt idx="973">
                  <c:v>1255.8840531835826</c:v>
                </c:pt>
                <c:pt idx="975">
                  <c:v>2158.859721588597</c:v>
                </c:pt>
                <c:pt idx="976">
                  <c:v>4632.4568356480686</c:v>
                </c:pt>
                <c:pt idx="978">
                  <c:v>7813.0430805817223</c:v>
                </c:pt>
                <c:pt idx="979">
                  <c:v>345.59017692104572</c:v>
                </c:pt>
                <c:pt idx="980">
                  <c:v>1751.3719875924605</c:v>
                </c:pt>
                <c:pt idx="983">
                  <c:v>1639.7276291354285</c:v>
                </c:pt>
                <c:pt idx="985">
                  <c:v>2655.5954518252538</c:v>
                </c:pt>
                <c:pt idx="986">
                  <c:v>2124.6394688628079</c:v>
                </c:pt>
                <c:pt idx="987">
                  <c:v>2735.9484006844805</c:v>
                </c:pt>
                <c:pt idx="988">
                  <c:v>3309.3067627729488</c:v>
                </c:pt>
                <c:pt idx="996">
                  <c:v>1690.9177539950151</c:v>
                </c:pt>
                <c:pt idx="997">
                  <c:v>294.81630538968494</c:v>
                </c:pt>
                <c:pt idx="998">
                  <c:v>841.00915872953647</c:v>
                </c:pt>
                <c:pt idx="999">
                  <c:v>2945.9861248761154</c:v>
                </c:pt>
                <c:pt idx="1002">
                  <c:v>1149.152391941067</c:v>
                </c:pt>
                <c:pt idx="1003">
                  <c:v>980.24060090770354</c:v>
                </c:pt>
                <c:pt idx="1005">
                  <c:v>1329.8912264015642</c:v>
                </c:pt>
                <c:pt idx="1007">
                  <c:v>1566.1118514453933</c:v>
                </c:pt>
                <c:pt idx="1008">
                  <c:v>2676.8430143224055</c:v>
                </c:pt>
                <c:pt idx="1010">
                  <c:v>820.64613462895534</c:v>
                </c:pt>
                <c:pt idx="1013">
                  <c:v>731.93721154914283</c:v>
                </c:pt>
                <c:pt idx="1014">
                  <c:v>3995.5020432791207</c:v>
                </c:pt>
                <c:pt idx="1015">
                  <c:v>179.49040465751452</c:v>
                </c:pt>
                <c:pt idx="1019">
                  <c:v>2068.7988060579946</c:v>
                </c:pt>
                <c:pt idx="1021">
                  <c:v>1376.9567172109371</c:v>
                </c:pt>
                <c:pt idx="1023">
                  <c:v>2268.8230442741337</c:v>
                </c:pt>
                <c:pt idx="1024">
                  <c:v>172.02100416814233</c:v>
                </c:pt>
                <c:pt idx="1028">
                  <c:v>994.14090944736324</c:v>
                </c:pt>
                <c:pt idx="1030">
                  <c:v>1666.9251046673901</c:v>
                </c:pt>
                <c:pt idx="1031">
                  <c:v>1651.5569570358691</c:v>
                </c:pt>
                <c:pt idx="1032">
                  <c:v>1676.4117640629954</c:v>
                </c:pt>
                <c:pt idx="1033">
                  <c:v>287.25860186068371</c:v>
                </c:pt>
                <c:pt idx="1035">
                  <c:v>2090.4420127858175</c:v>
                </c:pt>
                <c:pt idx="1037">
                  <c:v>1863.5210942903252</c:v>
                </c:pt>
                <c:pt idx="1038">
                  <c:v>1470.290522880754</c:v>
                </c:pt>
                <c:pt idx="1040">
                  <c:v>1944.4136079685927</c:v>
                </c:pt>
                <c:pt idx="1041">
                  <c:v>1786.5806945863126</c:v>
                </c:pt>
                <c:pt idx="1044">
                  <c:v>1881.1405184847326</c:v>
                </c:pt>
                <c:pt idx="1047">
                  <c:v>1275.51061975021</c:v>
                </c:pt>
                <c:pt idx="1049">
                  <c:v>3419.7517879680277</c:v>
                </c:pt>
                <c:pt idx="1053">
                  <c:v>1279.7574245715143</c:v>
                </c:pt>
                <c:pt idx="1056">
                  <c:v>1540.5754930488199</c:v>
                </c:pt>
                <c:pt idx="1058">
                  <c:v>1847.6649074413638</c:v>
                </c:pt>
                <c:pt idx="1059">
                  <c:v>434.46252617011083</c:v>
                </c:pt>
                <c:pt idx="1061">
                  <c:v>1627.0642439302169</c:v>
                </c:pt>
                <c:pt idx="1062">
                  <c:v>3217.7982431992787</c:v>
                </c:pt>
                <c:pt idx="1064">
                  <c:v>243.94665506437775</c:v>
                </c:pt>
                <c:pt idx="1065">
                  <c:v>2753.1073001887976</c:v>
                </c:pt>
                <c:pt idx="1066">
                  <c:v>501.07352982182186</c:v>
                </c:pt>
                <c:pt idx="1067">
                  <c:v>2023.7362385649456</c:v>
                </c:pt>
                <c:pt idx="1069">
                  <c:v>1069.1303063549667</c:v>
                </c:pt>
                <c:pt idx="1070">
                  <c:v>3153.6673961600072</c:v>
                </c:pt>
                <c:pt idx="1072">
                  <c:v>2078.7284241897428</c:v>
                </c:pt>
                <c:pt idx="1075">
                  <c:v>967.63725403428043</c:v>
                </c:pt>
                <c:pt idx="1076">
                  <c:v>1890.6350224502887</c:v>
                </c:pt>
                <c:pt idx="1077">
                  <c:v>834.56537659071762</c:v>
                </c:pt>
                <c:pt idx="1082">
                  <c:v>344.54273975848031</c:v>
                </c:pt>
                <c:pt idx="1083">
                  <c:v>779.18102914276994</c:v>
                </c:pt>
                <c:pt idx="1084">
                  <c:v>2441.2649378099345</c:v>
                </c:pt>
                <c:pt idx="1086">
                  <c:v>3102.1018526210855</c:v>
                </c:pt>
                <c:pt idx="1087">
                  <c:v>1345.7083780296318</c:v>
                </c:pt>
                <c:pt idx="1088">
                  <c:v>1202.0270937508415</c:v>
                </c:pt>
                <c:pt idx="1089">
                  <c:v>1424.9572980115377</c:v>
                </c:pt>
                <c:pt idx="1090">
                  <c:v>2274.3420340084481</c:v>
                </c:pt>
                <c:pt idx="1091">
                  <c:v>3934.9112426035499</c:v>
                </c:pt>
                <c:pt idx="1092">
                  <c:v>2116.4499179762729</c:v>
                </c:pt>
                <c:pt idx="1093">
                  <c:v>113.18249559680262</c:v>
                </c:pt>
                <c:pt idx="1095">
                  <c:v>2494.1626794258373</c:v>
                </c:pt>
                <c:pt idx="1101">
                  <c:v>1338.4338965322356</c:v>
                </c:pt>
                <c:pt idx="1102">
                  <c:v>3213.6192899551684</c:v>
                </c:pt>
                <c:pt idx="1103">
                  <c:v>1625.0709018718096</c:v>
                </c:pt>
                <c:pt idx="1104">
                  <c:v>2128.5157222268313</c:v>
                </c:pt>
                <c:pt idx="1105">
                  <c:v>1362.8006428240678</c:v>
                </c:pt>
                <c:pt idx="1106">
                  <c:v>1600.878042481761</c:v>
                </c:pt>
                <c:pt idx="1108">
                  <c:v>1846.3938973647712</c:v>
                </c:pt>
                <c:pt idx="1110">
                  <c:v>3388.1181775620339</c:v>
                </c:pt>
                <c:pt idx="1111">
                  <c:v>97.89707404011925</c:v>
                </c:pt>
                <c:pt idx="1113">
                  <c:v>889.38676521538264</c:v>
                </c:pt>
                <c:pt idx="1114">
                  <c:v>1493.4322770866809</c:v>
                </c:pt>
                <c:pt idx="1115">
                  <c:v>1969.3036903284053</c:v>
                </c:pt>
                <c:pt idx="1117">
                  <c:v>2661.7190566239697</c:v>
                </c:pt>
                <c:pt idx="1118">
                  <c:v>3040.0328137817878</c:v>
                </c:pt>
                <c:pt idx="1120">
                  <c:v>2260.6843296498464</c:v>
                </c:pt>
                <c:pt idx="1121">
                  <c:v>876.93094912113293</c:v>
                </c:pt>
                <c:pt idx="1123">
                  <c:v>467.77803683842387</c:v>
                </c:pt>
                <c:pt idx="1124">
                  <c:v>2756.0185590475357</c:v>
                </c:pt>
                <c:pt idx="1125">
                  <c:v>824.14076556509144</c:v>
                </c:pt>
                <c:pt idx="1126">
                  <c:v>1546.3067889152155</c:v>
                </c:pt>
                <c:pt idx="1127">
                  <c:v>2968.6668861926591</c:v>
                </c:pt>
                <c:pt idx="1128">
                  <c:v>1670.5805721729887</c:v>
                </c:pt>
                <c:pt idx="1129">
                  <c:v>858.94268417782814</c:v>
                </c:pt>
                <c:pt idx="1132">
                  <c:v>3585.3634625753634</c:v>
                </c:pt>
                <c:pt idx="1133">
                  <c:v>894.07955596669751</c:v>
                </c:pt>
                <c:pt idx="1134">
                  <c:v>2070.593352608551</c:v>
                </c:pt>
                <c:pt idx="1135">
                  <c:v>1213.7819978899438</c:v>
                </c:pt>
                <c:pt idx="1136">
                  <c:v>4297.5569746323754</c:v>
                </c:pt>
                <c:pt idx="1137">
                  <c:v>1090.3292003016334</c:v>
                </c:pt>
                <c:pt idx="1138">
                  <c:v>1573.7621348464031</c:v>
                </c:pt>
                <c:pt idx="1139">
                  <c:v>2140.7712737192505</c:v>
                </c:pt>
                <c:pt idx="1140">
                  <c:v>1265.0999574649086</c:v>
                </c:pt>
                <c:pt idx="1141">
                  <c:v>1384.4000611320691</c:v>
                </c:pt>
                <c:pt idx="1142">
                  <c:v>1069.3582874657518</c:v>
                </c:pt>
                <c:pt idx="1143">
                  <c:v>3198.3562193043999</c:v>
                </c:pt>
                <c:pt idx="1144">
                  <c:v>964.50198985530994</c:v>
                </c:pt>
                <c:pt idx="1145">
                  <c:v>1731.5818218402367</c:v>
                </c:pt>
                <c:pt idx="1148">
                  <c:v>2235.4897218863362</c:v>
                </c:pt>
                <c:pt idx="1149">
                  <c:v>1487.1881789186605</c:v>
                </c:pt>
                <c:pt idx="1150">
                  <c:v>2609.985556466409</c:v>
                </c:pt>
                <c:pt idx="1151">
                  <c:v>1168.1371939853361</c:v>
                </c:pt>
                <c:pt idx="1153">
                  <c:v>3290.6827750320335</c:v>
                </c:pt>
                <c:pt idx="1154">
                  <c:v>2782.9289706417694</c:v>
                </c:pt>
                <c:pt idx="1157">
                  <c:v>1277.5400855691948</c:v>
                </c:pt>
                <c:pt idx="1160">
                  <c:v>1633.9141782451834</c:v>
                </c:pt>
                <c:pt idx="1161">
                  <c:v>921.40150096619072</c:v>
                </c:pt>
                <c:pt idx="1162">
                  <c:v>2019.8451867629487</c:v>
                </c:pt>
                <c:pt idx="1165">
                  <c:v>2102.3988213085318</c:v>
                </c:pt>
                <c:pt idx="1170">
                  <c:v>1964.3002321568911</c:v>
                </c:pt>
                <c:pt idx="1171">
                  <c:v>751.70602983660297</c:v>
                </c:pt>
                <c:pt idx="1172">
                  <c:v>440.84462810948634</c:v>
                </c:pt>
                <c:pt idx="1174">
                  <c:v>1626.6628454061283</c:v>
                </c:pt>
                <c:pt idx="1176">
                  <c:v>2303.8083012409074</c:v>
                </c:pt>
                <c:pt idx="1180">
                  <c:v>2771.6454657365612</c:v>
                </c:pt>
                <c:pt idx="1181">
                  <c:v>453.06248076331173</c:v>
                </c:pt>
                <c:pt idx="1183">
                  <c:v>945.14069116240955</c:v>
                </c:pt>
                <c:pt idx="1184">
                  <c:v>2304.7754918155883</c:v>
                </c:pt>
                <c:pt idx="1185">
                  <c:v>1442.2397172236501</c:v>
                </c:pt>
                <c:pt idx="1186">
                  <c:v>1300.8364580328814</c:v>
                </c:pt>
                <c:pt idx="1188">
                  <c:v>1363.560434315714</c:v>
                </c:pt>
                <c:pt idx="1189">
                  <c:v>1237.6975582540776</c:v>
                </c:pt>
                <c:pt idx="1191">
                  <c:v>1711.789336840355</c:v>
                </c:pt>
                <c:pt idx="1192">
                  <c:v>1447.1885914656873</c:v>
                </c:pt>
                <c:pt idx="1194">
                  <c:v>1143.1993996074357</c:v>
                </c:pt>
                <c:pt idx="1195">
                  <c:v>390.76590116628591</c:v>
                </c:pt>
                <c:pt idx="1196">
                  <c:v>545.7888648813813</c:v>
                </c:pt>
                <c:pt idx="1198">
                  <c:v>345.48810133580486</c:v>
                </c:pt>
                <c:pt idx="1200">
                  <c:v>865.05647680845925</c:v>
                </c:pt>
                <c:pt idx="1204">
                  <c:v>1763.7606173515342</c:v>
                </c:pt>
                <c:pt idx="1208">
                  <c:v>1364.1101278269421</c:v>
                </c:pt>
                <c:pt idx="1209">
                  <c:v>3182.1961359745655</c:v>
                </c:pt>
                <c:pt idx="1211">
                  <c:v>1544.534960040153</c:v>
                </c:pt>
                <c:pt idx="1212">
                  <c:v>1568.5186024380296</c:v>
                </c:pt>
                <c:pt idx="1213">
                  <c:v>1679.9511064707531</c:v>
                </c:pt>
                <c:pt idx="1214">
                  <c:v>1706.4636996227009</c:v>
                </c:pt>
                <c:pt idx="1216">
                  <c:v>2043.3094642394963</c:v>
                </c:pt>
                <c:pt idx="1219">
                  <c:v>2111.2801799011618</c:v>
                </c:pt>
                <c:pt idx="1221">
                  <c:v>1634.3743870278752</c:v>
                </c:pt>
                <c:pt idx="1224">
                  <c:v>1101.4880718053698</c:v>
                </c:pt>
                <c:pt idx="1225">
                  <c:v>2195.2465451416897</c:v>
                </c:pt>
                <c:pt idx="1230">
                  <c:v>1938.5065558757174</c:v>
                </c:pt>
                <c:pt idx="1231">
                  <c:v>1843.7483323549818</c:v>
                </c:pt>
                <c:pt idx="1233">
                  <c:v>1652.7699706451817</c:v>
                </c:pt>
                <c:pt idx="1235">
                  <c:v>1379.9794961921498</c:v>
                </c:pt>
                <c:pt idx="1237">
                  <c:v>203.98324423350937</c:v>
                </c:pt>
                <c:pt idx="1238">
                  <c:v>1427.2508425613867</c:v>
                </c:pt>
                <c:pt idx="1239">
                  <c:v>2462.2626197045938</c:v>
                </c:pt>
                <c:pt idx="1242">
                  <c:v>1939.8868458274396</c:v>
                </c:pt>
                <c:pt idx="1243">
                  <c:v>1158.6370336117454</c:v>
                </c:pt>
                <c:pt idx="1245">
                  <c:v>2954.0401978131654</c:v>
                </c:pt>
                <c:pt idx="1247">
                  <c:v>46.578214807941414</c:v>
                </c:pt>
                <c:pt idx="1248">
                  <c:v>1960.022493737539</c:v>
                </c:pt>
                <c:pt idx="1249">
                  <c:v>919.51507724626879</c:v>
                </c:pt>
                <c:pt idx="1250">
                  <c:v>1881.5539135436482</c:v>
                </c:pt>
                <c:pt idx="1253">
                  <c:v>1603.3885627875968</c:v>
                </c:pt>
                <c:pt idx="1254">
                  <c:v>1691.0391032661214</c:v>
                </c:pt>
                <c:pt idx="1255">
                  <c:v>2400.9341858417247</c:v>
                </c:pt>
                <c:pt idx="1256">
                  <c:v>3316.4270715554844</c:v>
                </c:pt>
                <c:pt idx="1257">
                  <c:v>330.28450263213983</c:v>
                </c:pt>
                <c:pt idx="1258">
                  <c:v>2685.5357250165248</c:v>
                </c:pt>
                <c:pt idx="1261">
                  <c:v>1819.5934263316042</c:v>
                </c:pt>
                <c:pt idx="1262">
                  <c:v>1627.22411278561</c:v>
                </c:pt>
                <c:pt idx="1264">
                  <c:v>1115.3476020513822</c:v>
                </c:pt>
                <c:pt idx="1266">
                  <c:v>1006.6695664781788</c:v>
                </c:pt>
                <c:pt idx="1267">
                  <c:v>929.48676335025516</c:v>
                </c:pt>
                <c:pt idx="1269">
                  <c:v>29.956631630495856</c:v>
                </c:pt>
                <c:pt idx="1270">
                  <c:v>2327.735700840386</c:v>
                </c:pt>
                <c:pt idx="1271">
                  <c:v>769.5234258730851</c:v>
                </c:pt>
                <c:pt idx="1273">
                  <c:v>1422.5780425743189</c:v>
                </c:pt>
                <c:pt idx="1274">
                  <c:v>451.02928647648054</c:v>
                </c:pt>
                <c:pt idx="1276">
                  <c:v>740.81366913329293</c:v>
                </c:pt>
                <c:pt idx="1277">
                  <c:v>227.80543205103422</c:v>
                </c:pt>
                <c:pt idx="1278">
                  <c:v>1505.9617996287107</c:v>
                </c:pt>
                <c:pt idx="1279">
                  <c:v>538.01406637794332</c:v>
                </c:pt>
                <c:pt idx="1284">
                  <c:v>565.83203972081662</c:v>
                </c:pt>
                <c:pt idx="1288">
                  <c:v>540.62672116415922</c:v>
                </c:pt>
                <c:pt idx="1290">
                  <c:v>127.55412710935555</c:v>
                </c:pt>
                <c:pt idx="1291">
                  <c:v>873.38512964134088</c:v>
                </c:pt>
                <c:pt idx="1293">
                  <c:v>2155.6802244039272</c:v>
                </c:pt>
                <c:pt idx="1296">
                  <c:v>1986.4800127747912</c:v>
                </c:pt>
                <c:pt idx="1297">
                  <c:v>2063.2876618247997</c:v>
                </c:pt>
                <c:pt idx="1300">
                  <c:v>1447.9133482000636</c:v>
                </c:pt>
                <c:pt idx="1301">
                  <c:v>139.31229490747992</c:v>
                </c:pt>
                <c:pt idx="1306">
                  <c:v>1587.6802716702125</c:v>
                </c:pt>
                <c:pt idx="1307">
                  <c:v>355.69745661076638</c:v>
                </c:pt>
                <c:pt idx="1308">
                  <c:v>857.00012318136407</c:v>
                </c:pt>
                <c:pt idx="1309">
                  <c:v>1443.3825088606829</c:v>
                </c:pt>
                <c:pt idx="1310">
                  <c:v>851.83961784734231</c:v>
                </c:pt>
                <c:pt idx="1311">
                  <c:v>1512.1681215178844</c:v>
                </c:pt>
                <c:pt idx="1314">
                  <c:v>1383.7112254833776</c:v>
                </c:pt>
                <c:pt idx="1315">
                  <c:v>1803.1734826485265</c:v>
                </c:pt>
                <c:pt idx="1318">
                  <c:v>2310.7840444142435</c:v>
                </c:pt>
                <c:pt idx="1321">
                  <c:v>1694.9800622712621</c:v>
                </c:pt>
                <c:pt idx="1323">
                  <c:v>1602.2138153285694</c:v>
                </c:pt>
                <c:pt idx="1324">
                  <c:v>1545.8273004903333</c:v>
                </c:pt>
                <c:pt idx="1326">
                  <c:v>629.28724544480167</c:v>
                </c:pt>
                <c:pt idx="1328">
                  <c:v>361.42688952366257</c:v>
                </c:pt>
                <c:pt idx="1329">
                  <c:v>2395.1056932840247</c:v>
                </c:pt>
                <c:pt idx="1330">
                  <c:v>179.1707387981719</c:v>
                </c:pt>
                <c:pt idx="1331">
                  <c:v>324.89610880241781</c:v>
                </c:pt>
                <c:pt idx="1332">
                  <c:v>993.87062458842024</c:v>
                </c:pt>
                <c:pt idx="1333">
                  <c:v>1742.6209448771899</c:v>
                </c:pt>
                <c:pt idx="1334">
                  <c:v>2728.9964699949569</c:v>
                </c:pt>
                <c:pt idx="1335">
                  <c:v>707.93915275669133</c:v>
                </c:pt>
                <c:pt idx="1336">
                  <c:v>1699.2905937992646</c:v>
                </c:pt>
                <c:pt idx="1337">
                  <c:v>965.94879613747526</c:v>
                </c:pt>
                <c:pt idx="1338">
                  <c:v>1011.6863704307652</c:v>
                </c:pt>
                <c:pt idx="1342">
                  <c:v>2987.1810303322104</c:v>
                </c:pt>
                <c:pt idx="1344">
                  <c:v>886.81326256290083</c:v>
                </c:pt>
                <c:pt idx="1345">
                  <c:v>1979.3346473152958</c:v>
                </c:pt>
                <c:pt idx="1351">
                  <c:v>1031.1538356798565</c:v>
                </c:pt>
                <c:pt idx="1353">
                  <c:v>1294.1303099885188</c:v>
                </c:pt>
                <c:pt idx="1354">
                  <c:v>554.67453047845845</c:v>
                </c:pt>
                <c:pt idx="1356">
                  <c:v>670.89910775566227</c:v>
                </c:pt>
                <c:pt idx="1359">
                  <c:v>1474.8604713509296</c:v>
                </c:pt>
                <c:pt idx="1360">
                  <c:v>141.85699955830935</c:v>
                </c:pt>
                <c:pt idx="1361">
                  <c:v>2115.2980515722461</c:v>
                </c:pt>
                <c:pt idx="1365">
                  <c:v>536.93451881675333</c:v>
                </c:pt>
                <c:pt idx="1366">
                  <c:v>1690.4683542492451</c:v>
                </c:pt>
                <c:pt idx="1367">
                  <c:v>1540.2879610986588</c:v>
                </c:pt>
                <c:pt idx="1369">
                  <c:v>2281.0255994157978</c:v>
                </c:pt>
                <c:pt idx="1370">
                  <c:v>2082.7111084562848</c:v>
                </c:pt>
                <c:pt idx="1372">
                  <c:v>1097.413005377713</c:v>
                </c:pt>
                <c:pt idx="1376">
                  <c:v>620.57405265981743</c:v>
                </c:pt>
                <c:pt idx="1380">
                  <c:v>585.49991014197576</c:v>
                </c:pt>
                <c:pt idx="1381">
                  <c:v>859.35183456516245</c:v>
                </c:pt>
                <c:pt idx="1383">
                  <c:v>282.29564655166797</c:v>
                </c:pt>
                <c:pt idx="1384">
                  <c:v>591.24033954946128</c:v>
                </c:pt>
                <c:pt idx="1385">
                  <c:v>1334.7955303492402</c:v>
                </c:pt>
                <c:pt idx="1386">
                  <c:v>50.131302033425712</c:v>
                </c:pt>
                <c:pt idx="1387">
                  <c:v>296.39904566387395</c:v>
                </c:pt>
                <c:pt idx="1395">
                  <c:v>3638.3827581952037</c:v>
                </c:pt>
                <c:pt idx="1397">
                  <c:v>67.186428341475022</c:v>
                </c:pt>
                <c:pt idx="1398">
                  <c:v>213.25708407827392</c:v>
                </c:pt>
                <c:pt idx="1400">
                  <c:v>530.70839188556192</c:v>
                </c:pt>
                <c:pt idx="1401">
                  <c:v>1384.4568287655545</c:v>
                </c:pt>
                <c:pt idx="1404">
                  <c:v>1081.4457356706716</c:v>
                </c:pt>
                <c:pt idx="1406">
                  <c:v>1123.8594495685072</c:v>
                </c:pt>
                <c:pt idx="1407">
                  <c:v>854.63577627629843</c:v>
                </c:pt>
                <c:pt idx="1410">
                  <c:v>1252.0468117896362</c:v>
                </c:pt>
                <c:pt idx="1412">
                  <c:v>960.04624057769047</c:v>
                </c:pt>
                <c:pt idx="1414">
                  <c:v>768.0914092255606</c:v>
                </c:pt>
                <c:pt idx="1416">
                  <c:v>1042.4423592256194</c:v>
                </c:pt>
                <c:pt idx="1419">
                  <c:v>1291.1587631931025</c:v>
                </c:pt>
                <c:pt idx="1431">
                  <c:v>239.96907749806735</c:v>
                </c:pt>
                <c:pt idx="1432">
                  <c:v>2331.5300173328428</c:v>
                </c:pt>
                <c:pt idx="1433">
                  <c:v>1088.0840051544742</c:v>
                </c:pt>
                <c:pt idx="1435">
                  <c:v>877.47414334335656</c:v>
                </c:pt>
                <c:pt idx="1436">
                  <c:v>1106.7691625742182</c:v>
                </c:pt>
                <c:pt idx="1438">
                  <c:v>882.30418927642961</c:v>
                </c:pt>
                <c:pt idx="1440">
                  <c:v>914.71460486262629</c:v>
                </c:pt>
                <c:pt idx="1441">
                  <c:v>220.03212590267998</c:v>
                </c:pt>
                <c:pt idx="1444">
                  <c:v>1921.8017098945454</c:v>
                </c:pt>
                <c:pt idx="1445">
                  <c:v>1482.5518529440676</c:v>
                </c:pt>
                <c:pt idx="1446">
                  <c:v>384.67961921727988</c:v>
                </c:pt>
                <c:pt idx="1447">
                  <c:v>2160.8495043821886</c:v>
                </c:pt>
                <c:pt idx="1448">
                  <c:v>2319.1153768709305</c:v>
                </c:pt>
                <c:pt idx="1449">
                  <c:v>1717.4877479437323</c:v>
                </c:pt>
                <c:pt idx="1451">
                  <c:v>1316.7715827338131</c:v>
                </c:pt>
                <c:pt idx="1452">
                  <c:v>1880.7306675557879</c:v>
                </c:pt>
                <c:pt idx="1453">
                  <c:v>43.008415909258211</c:v>
                </c:pt>
                <c:pt idx="1457">
                  <c:v>667.31206017053273</c:v>
                </c:pt>
                <c:pt idx="1461">
                  <c:v>1636.2919443239614</c:v>
                </c:pt>
                <c:pt idx="1463">
                  <c:v>1077.6460536152942</c:v>
                </c:pt>
                <c:pt idx="1464">
                  <c:v>487.77980813156694</c:v>
                </c:pt>
                <c:pt idx="1465">
                  <c:v>1934.0933343194329</c:v>
                </c:pt>
                <c:pt idx="1466">
                  <c:v>1197.5981431022303</c:v>
                </c:pt>
                <c:pt idx="1467">
                  <c:v>1295.8003651856361</c:v>
                </c:pt>
                <c:pt idx="1468">
                  <c:v>1313.4117322481636</c:v>
                </c:pt>
                <c:pt idx="1469">
                  <c:v>1889.4855202166229</c:v>
                </c:pt>
                <c:pt idx="1470">
                  <c:v>1217.0608603791304</c:v>
                </c:pt>
                <c:pt idx="1472">
                  <c:v>42.822800576659802</c:v>
                </c:pt>
                <c:pt idx="1475">
                  <c:v>2767.404733809954</c:v>
                </c:pt>
                <c:pt idx="1476">
                  <c:v>2417.874301785087</c:v>
                </c:pt>
                <c:pt idx="1478">
                  <c:v>862.18738636822741</c:v>
                </c:pt>
                <c:pt idx="1479">
                  <c:v>2801.3155349197136</c:v>
                </c:pt>
                <c:pt idx="1481">
                  <c:v>53.583730958638483</c:v>
                </c:pt>
                <c:pt idx="1482">
                  <c:v>356.16956850870559</c:v>
                </c:pt>
                <c:pt idx="1484">
                  <c:v>1821.9899809984454</c:v>
                </c:pt>
                <c:pt idx="1485">
                  <c:v>165.81117627749842</c:v>
                </c:pt>
                <c:pt idx="1486">
                  <c:v>1802.4103284918526</c:v>
                </c:pt>
                <c:pt idx="1487">
                  <c:v>1130.0257296566779</c:v>
                </c:pt>
                <c:pt idx="1490">
                  <c:v>432.45819986545547</c:v>
                </c:pt>
                <c:pt idx="1491">
                  <c:v>310.5473102114986</c:v>
                </c:pt>
                <c:pt idx="1494">
                  <c:v>2493.7840680883619</c:v>
                </c:pt>
                <c:pt idx="1496">
                  <c:v>653.13936306564472</c:v>
                </c:pt>
                <c:pt idx="1497">
                  <c:v>1986.2209974219929</c:v>
                </c:pt>
                <c:pt idx="1498">
                  <c:v>912.64949927342479</c:v>
                </c:pt>
                <c:pt idx="1499">
                  <c:v>599.2463648370358</c:v>
                </c:pt>
                <c:pt idx="1500">
                  <c:v>732.89066682529267</c:v>
                </c:pt>
                <c:pt idx="1506">
                  <c:v>491.34571708623201</c:v>
                </c:pt>
                <c:pt idx="1507">
                  <c:v>1209.1346920549868</c:v>
                </c:pt>
                <c:pt idx="1508">
                  <c:v>868.49164431263443</c:v>
                </c:pt>
                <c:pt idx="1509">
                  <c:v>5134.909886446505</c:v>
                </c:pt>
                <c:pt idx="1511">
                  <c:v>1693.1176069300177</c:v>
                </c:pt>
                <c:pt idx="1512">
                  <c:v>1243.19046496751</c:v>
                </c:pt>
                <c:pt idx="1513">
                  <c:v>67.337259602856093</c:v>
                </c:pt>
                <c:pt idx="1519">
                  <c:v>1299.4250850639446</c:v>
                </c:pt>
                <c:pt idx="1523">
                  <c:v>6.1488282067923059</c:v>
                </c:pt>
                <c:pt idx="1524">
                  <c:v>1362.0746336966822</c:v>
                </c:pt>
                <c:pt idx="1525">
                  <c:v>105.535601669488</c:v>
                </c:pt>
                <c:pt idx="1526">
                  <c:v>1411.5387570100638</c:v>
                </c:pt>
                <c:pt idx="1528">
                  <c:v>875.08935175046793</c:v>
                </c:pt>
                <c:pt idx="1529">
                  <c:v>1676.3039837049384</c:v>
                </c:pt>
                <c:pt idx="1530">
                  <c:v>517.2196529606714</c:v>
                </c:pt>
                <c:pt idx="1531">
                  <c:v>1359.0183873506476</c:v>
                </c:pt>
                <c:pt idx="1533">
                  <c:v>662.86725908362314</c:v>
                </c:pt>
                <c:pt idx="1535">
                  <c:v>654.57912378987839</c:v>
                </c:pt>
                <c:pt idx="1537">
                  <c:v>1954.3138586956516</c:v>
                </c:pt>
                <c:pt idx="1539">
                  <c:v>544.08270253056025</c:v>
                </c:pt>
                <c:pt idx="1541">
                  <c:v>2271.9435736677115</c:v>
                </c:pt>
                <c:pt idx="1544">
                  <c:v>53.171114934940135</c:v>
                </c:pt>
                <c:pt idx="1547">
                  <c:v>1530.5203353426177</c:v>
                </c:pt>
                <c:pt idx="1548">
                  <c:v>997.7565635674008</c:v>
                </c:pt>
                <c:pt idx="1549">
                  <c:v>1998.2274741506649</c:v>
                </c:pt>
                <c:pt idx="1551">
                  <c:v>1444.6679471861339</c:v>
                </c:pt>
                <c:pt idx="1553">
                  <c:v>283.88508228128734</c:v>
                </c:pt>
                <c:pt idx="1554">
                  <c:v>667.62349527186382</c:v>
                </c:pt>
                <c:pt idx="1557">
                  <c:v>66.828386319120085</c:v>
                </c:pt>
                <c:pt idx="1560">
                  <c:v>2360.2571129602861</c:v>
                </c:pt>
                <c:pt idx="1561">
                  <c:v>328.04529746643243</c:v>
                </c:pt>
                <c:pt idx="1562">
                  <c:v>777.69286967913138</c:v>
                </c:pt>
                <c:pt idx="1563">
                  <c:v>606.91526866843162</c:v>
                </c:pt>
                <c:pt idx="1569">
                  <c:v>125.80343283665729</c:v>
                </c:pt>
                <c:pt idx="1571">
                  <c:v>42.342240816652343</c:v>
                </c:pt>
                <c:pt idx="1572">
                  <c:v>920.89143263286837</c:v>
                </c:pt>
                <c:pt idx="1574">
                  <c:v>4142.4607893097782</c:v>
                </c:pt>
                <c:pt idx="1576">
                  <c:v>712.56038647342984</c:v>
                </c:pt>
                <c:pt idx="1580">
                  <c:v>42.016403805966242</c:v>
                </c:pt>
                <c:pt idx="1581">
                  <c:v>273.87268413657546</c:v>
                </c:pt>
                <c:pt idx="1583">
                  <c:v>1708.7906233351093</c:v>
                </c:pt>
                <c:pt idx="1586">
                  <c:v>28.35173892404238</c:v>
                </c:pt>
                <c:pt idx="1587">
                  <c:v>2523.5655737704919</c:v>
                </c:pt>
                <c:pt idx="1588">
                  <c:v>1129.5941278709802</c:v>
                </c:pt>
                <c:pt idx="1589">
                  <c:v>1524.5819741984774</c:v>
                </c:pt>
                <c:pt idx="1590">
                  <c:v>6.013452223610301</c:v>
                </c:pt>
                <c:pt idx="1593">
                  <c:v>459.35277979956328</c:v>
                </c:pt>
                <c:pt idx="1594">
                  <c:v>1700.7384376214534</c:v>
                </c:pt>
                <c:pt idx="1596">
                  <c:v>2796.5705742185683</c:v>
                </c:pt>
                <c:pt idx="1598">
                  <c:v>2490.1251854793204</c:v>
                </c:pt>
                <c:pt idx="1601">
                  <c:v>538.52570366309976</c:v>
                </c:pt>
                <c:pt idx="1611">
                  <c:v>2433.5248989468473</c:v>
                </c:pt>
                <c:pt idx="1612">
                  <c:v>96.811693939340344</c:v>
                </c:pt>
                <c:pt idx="1615">
                  <c:v>2292.8660826032547</c:v>
                </c:pt>
                <c:pt idx="1616">
                  <c:v>1299.9079763707068</c:v>
                </c:pt>
                <c:pt idx="1618">
                  <c:v>416.6406274411774</c:v>
                </c:pt>
                <c:pt idx="1619">
                  <c:v>1622.3227237818928</c:v>
                </c:pt>
                <c:pt idx="1620">
                  <c:v>1348.5940879596251</c:v>
                </c:pt>
                <c:pt idx="1624">
                  <c:v>61.50956429819302</c:v>
                </c:pt>
                <c:pt idx="1625">
                  <c:v>348.456281415256</c:v>
                </c:pt>
                <c:pt idx="1629">
                  <c:v>780.13074413397055</c:v>
                </c:pt>
                <c:pt idx="1630">
                  <c:v>174.01344657811362</c:v>
                </c:pt>
                <c:pt idx="1634">
                  <c:v>1619.1112190383681</c:v>
                </c:pt>
                <c:pt idx="1636">
                  <c:v>365.73558982367695</c:v>
                </c:pt>
                <c:pt idx="1641">
                  <c:v>425.2374931499719</c:v>
                </c:pt>
                <c:pt idx="1642">
                  <c:v>1330.285428420555</c:v>
                </c:pt>
                <c:pt idx="1643">
                  <c:v>1912.5299198667915</c:v>
                </c:pt>
                <c:pt idx="1649">
                  <c:v>1726.9289036263281</c:v>
                </c:pt>
                <c:pt idx="1654">
                  <c:v>3647.1945766623398</c:v>
                </c:pt>
                <c:pt idx="1655">
                  <c:v>670.74351077870654</c:v>
                </c:pt>
                <c:pt idx="1657">
                  <c:v>153.30422594771568</c:v>
                </c:pt>
                <c:pt idx="1662">
                  <c:v>352.76623751998022</c:v>
                </c:pt>
                <c:pt idx="1663">
                  <c:v>1239.1156131294442</c:v>
                </c:pt>
                <c:pt idx="1666">
                  <c:v>1221.9787026228648</c:v>
                </c:pt>
                <c:pt idx="1669">
                  <c:v>1167.8382843629529</c:v>
                </c:pt>
                <c:pt idx="1670">
                  <c:v>956.9790644975817</c:v>
                </c:pt>
                <c:pt idx="1674">
                  <c:v>3221.9147280117618</c:v>
                </c:pt>
                <c:pt idx="1676">
                  <c:v>1069.3765350037179</c:v>
                </c:pt>
                <c:pt idx="1678">
                  <c:v>1657.6125569753081</c:v>
                </c:pt>
                <c:pt idx="1681">
                  <c:v>44.549860294237853</c:v>
                </c:pt>
                <c:pt idx="1683">
                  <c:v>320.17258703233051</c:v>
                </c:pt>
                <c:pt idx="1689">
                  <c:v>75.883378697825833</c:v>
                </c:pt>
                <c:pt idx="1693">
                  <c:v>983.71453387376948</c:v>
                </c:pt>
                <c:pt idx="1695">
                  <c:v>1113.9309592031655</c:v>
                </c:pt>
                <c:pt idx="1696">
                  <c:v>1481.5541876410953</c:v>
                </c:pt>
                <c:pt idx="1697">
                  <c:v>348.91769934994306</c:v>
                </c:pt>
                <c:pt idx="1698">
                  <c:v>158.04318557526798</c:v>
                </c:pt>
                <c:pt idx="1700">
                  <c:v>1201.5626137383836</c:v>
                </c:pt>
                <c:pt idx="1705">
                  <c:v>185.83942673514562</c:v>
                </c:pt>
                <c:pt idx="1709">
                  <c:v>2044.663382594417</c:v>
                </c:pt>
                <c:pt idx="1714">
                  <c:v>1152.8751158037664</c:v>
                </c:pt>
                <c:pt idx="1715">
                  <c:v>2188.4714080070098</c:v>
                </c:pt>
                <c:pt idx="1717">
                  <c:v>408.92616089044043</c:v>
                </c:pt>
                <c:pt idx="1718">
                  <c:v>281.14755790236114</c:v>
                </c:pt>
                <c:pt idx="1719">
                  <c:v>2289.0894906943054</c:v>
                </c:pt>
                <c:pt idx="1722">
                  <c:v>502.18607637508796</c:v>
                </c:pt>
                <c:pt idx="1724">
                  <c:v>494.57922946166423</c:v>
                </c:pt>
                <c:pt idx="1726">
                  <c:v>1726.5922199042825</c:v>
                </c:pt>
                <c:pt idx="1729">
                  <c:v>650.25732062234886</c:v>
                </c:pt>
                <c:pt idx="1731">
                  <c:v>738.20515001858166</c:v>
                </c:pt>
                <c:pt idx="1734">
                  <c:v>298.83589776330632</c:v>
                </c:pt>
                <c:pt idx="1736">
                  <c:v>100.90148423077073</c:v>
                </c:pt>
                <c:pt idx="1741">
                  <c:v>1129.5977561037801</c:v>
                </c:pt>
                <c:pt idx="1743">
                  <c:v>22.655214767355744</c:v>
                </c:pt>
                <c:pt idx="1746">
                  <c:v>28.654693814146054</c:v>
                </c:pt>
                <c:pt idx="1747">
                  <c:v>1594.6512926545831</c:v>
                </c:pt>
                <c:pt idx="1748">
                  <c:v>2526.9372693726941</c:v>
                </c:pt>
                <c:pt idx="1750">
                  <c:v>883.39280903077497</c:v>
                </c:pt>
                <c:pt idx="1755">
                  <c:v>1747.7790375590223</c:v>
                </c:pt>
                <c:pt idx="1757">
                  <c:v>815.1513550636588</c:v>
                </c:pt>
                <c:pt idx="1761">
                  <c:v>378.55333520968202</c:v>
                </c:pt>
                <c:pt idx="1762">
                  <c:v>2001.5403573629083</c:v>
                </c:pt>
                <c:pt idx="1764">
                  <c:v>911.26386060194625</c:v>
                </c:pt>
                <c:pt idx="1765">
                  <c:v>847.57740674204808</c:v>
                </c:pt>
                <c:pt idx="1766">
                  <c:v>1789.6662094192959</c:v>
                </c:pt>
                <c:pt idx="1767">
                  <c:v>38.358866823477463</c:v>
                </c:pt>
                <c:pt idx="1768">
                  <c:v>295.65461275701756</c:v>
                </c:pt>
                <c:pt idx="1773">
                  <c:v>255.00448996953702</c:v>
                </c:pt>
                <c:pt idx="1774">
                  <c:v>1366.9482812569845</c:v>
                </c:pt>
                <c:pt idx="1775">
                  <c:v>1711.1344537815128</c:v>
                </c:pt>
                <c:pt idx="1778">
                  <c:v>323.63412960454696</c:v>
                </c:pt>
                <c:pt idx="1781">
                  <c:v>17.249401578452932</c:v>
                </c:pt>
                <c:pt idx="1784">
                  <c:v>2176.0265774238464</c:v>
                </c:pt>
                <c:pt idx="1787">
                  <c:v>3055.7441817396139</c:v>
                </c:pt>
                <c:pt idx="1788">
                  <c:v>2651.5032268219738</c:v>
                </c:pt>
                <c:pt idx="1791">
                  <c:v>2216.9240084771423</c:v>
                </c:pt>
                <c:pt idx="1797">
                  <c:v>38.038165897929105</c:v>
                </c:pt>
                <c:pt idx="1801">
                  <c:v>2602.0969981328103</c:v>
                </c:pt>
                <c:pt idx="1805">
                  <c:v>17.233604664694653</c:v>
                </c:pt>
                <c:pt idx="1807">
                  <c:v>2431.2671737183286</c:v>
                </c:pt>
                <c:pt idx="1809">
                  <c:v>303.63568580413005</c:v>
                </c:pt>
                <c:pt idx="1811">
                  <c:v>704.45284925187627</c:v>
                </c:pt>
                <c:pt idx="1814">
                  <c:v>99.890105087339336</c:v>
                </c:pt>
                <c:pt idx="1817">
                  <c:v>1522.2807101826238</c:v>
                </c:pt>
                <c:pt idx="1819">
                  <c:v>54.049892788484598</c:v>
                </c:pt>
                <c:pt idx="1822">
                  <c:v>1429.3762842182011</c:v>
                </c:pt>
                <c:pt idx="1824">
                  <c:v>213.95064410489138</c:v>
                </c:pt>
                <c:pt idx="1825">
                  <c:v>3874.9207690682447</c:v>
                </c:pt>
                <c:pt idx="1832">
                  <c:v>1642.8686890457459</c:v>
                </c:pt>
                <c:pt idx="1833">
                  <c:v>576.41823725381721</c:v>
                </c:pt>
                <c:pt idx="1837">
                  <c:v>1338.3255846967388</c:v>
                </c:pt>
                <c:pt idx="1839">
                  <c:v>764.04421885753618</c:v>
                </c:pt>
                <c:pt idx="1840">
                  <c:v>1397.0758550983021</c:v>
                </c:pt>
                <c:pt idx="1849">
                  <c:v>64.373498967045649</c:v>
                </c:pt>
                <c:pt idx="1850">
                  <c:v>2.0281044920506299</c:v>
                </c:pt>
                <c:pt idx="1853">
                  <c:v>70.118546516622274</c:v>
                </c:pt>
                <c:pt idx="1854">
                  <c:v>244.35722646836049</c:v>
                </c:pt>
                <c:pt idx="1859">
                  <c:v>984.56790123456778</c:v>
                </c:pt>
                <c:pt idx="1860">
                  <c:v>507.79967472722137</c:v>
                </c:pt>
                <c:pt idx="1864">
                  <c:v>669.59431200334598</c:v>
                </c:pt>
                <c:pt idx="1866">
                  <c:v>941.81112603680253</c:v>
                </c:pt>
                <c:pt idx="1873">
                  <c:v>1403.7347070186734</c:v>
                </c:pt>
                <c:pt idx="1875">
                  <c:v>128.18035130343023</c:v>
                </c:pt>
                <c:pt idx="1877">
                  <c:v>48.36265690462556</c:v>
                </c:pt>
                <c:pt idx="1878">
                  <c:v>23.018583415712218</c:v>
                </c:pt>
                <c:pt idx="1880">
                  <c:v>112.07588127035061</c:v>
                </c:pt>
                <c:pt idx="1882">
                  <c:v>21.049498119421024</c:v>
                </c:pt>
                <c:pt idx="1883">
                  <c:v>241.41320766277809</c:v>
                </c:pt>
                <c:pt idx="1886">
                  <c:v>210.91278728396409</c:v>
                </c:pt>
                <c:pt idx="1888">
                  <c:v>1559.0334293226495</c:v>
                </c:pt>
                <c:pt idx="1893">
                  <c:v>759.58224725784169</c:v>
                </c:pt>
                <c:pt idx="1896">
                  <c:v>96.380616961730738</c:v>
                </c:pt>
                <c:pt idx="1903">
                  <c:v>990.77392605085902</c:v>
                </c:pt>
                <c:pt idx="1905">
                  <c:v>942.82238442822404</c:v>
                </c:pt>
                <c:pt idx="1910">
                  <c:v>9.0188772354705797</c:v>
                </c:pt>
                <c:pt idx="1912">
                  <c:v>1333.7243773680621</c:v>
                </c:pt>
                <c:pt idx="1916">
                  <c:v>17.440240823168416</c:v>
                </c:pt>
                <c:pt idx="1920">
                  <c:v>1670.9997636492553</c:v>
                </c:pt>
                <c:pt idx="1921">
                  <c:v>1313.6291760589443</c:v>
                </c:pt>
                <c:pt idx="1926">
                  <c:v>1042.1556963246408</c:v>
                </c:pt>
                <c:pt idx="1929">
                  <c:v>203.45235560798383</c:v>
                </c:pt>
                <c:pt idx="1930">
                  <c:v>141.80837981193244</c:v>
                </c:pt>
                <c:pt idx="1932">
                  <c:v>149.62410044334069</c:v>
                </c:pt>
                <c:pt idx="1936">
                  <c:v>363.2009086195402</c:v>
                </c:pt>
                <c:pt idx="1938">
                  <c:v>945.86229575848233</c:v>
                </c:pt>
                <c:pt idx="1940">
                  <c:v>947.58209384206373</c:v>
                </c:pt>
                <c:pt idx="1942">
                  <c:v>2500.6571453605538</c:v>
                </c:pt>
                <c:pt idx="1944">
                  <c:v>773.37272467359219</c:v>
                </c:pt>
                <c:pt idx="1948">
                  <c:v>1442.7485790918961</c:v>
                </c:pt>
                <c:pt idx="1953">
                  <c:v>2035.0258283986393</c:v>
                </c:pt>
                <c:pt idx="1958">
                  <c:v>22.995081895290788</c:v>
                </c:pt>
                <c:pt idx="1959">
                  <c:v>941.35254669826259</c:v>
                </c:pt>
                <c:pt idx="1962">
                  <c:v>659.67315116047462</c:v>
                </c:pt>
                <c:pt idx="1964">
                  <c:v>19.344801187578717</c:v>
                </c:pt>
                <c:pt idx="1965">
                  <c:v>728.19680533014434</c:v>
                </c:pt>
                <c:pt idx="1970">
                  <c:v>1686.2757369046874</c:v>
                </c:pt>
                <c:pt idx="1973">
                  <c:v>9.8308312632546091</c:v>
                </c:pt>
                <c:pt idx="1987">
                  <c:v>635.52829468145796</c:v>
                </c:pt>
                <c:pt idx="1991">
                  <c:v>65.553764393998748</c:v>
                </c:pt>
                <c:pt idx="1992">
                  <c:v>1572.940635066728</c:v>
                </c:pt>
                <c:pt idx="1997">
                  <c:v>96.77902301308923</c:v>
                </c:pt>
                <c:pt idx="2001">
                  <c:v>24.272722668769575</c:v>
                </c:pt>
                <c:pt idx="2003">
                  <c:v>188.03216226213181</c:v>
                </c:pt>
                <c:pt idx="2005">
                  <c:v>241.45248079026078</c:v>
                </c:pt>
                <c:pt idx="2017">
                  <c:v>155.56843291708327</c:v>
                </c:pt>
                <c:pt idx="2026">
                  <c:v>696.18961447143727</c:v>
                </c:pt>
                <c:pt idx="2033">
                  <c:v>1268.1484434698827</c:v>
                </c:pt>
                <c:pt idx="2034">
                  <c:v>99.114814323483301</c:v>
                </c:pt>
                <c:pt idx="2043">
                  <c:v>653.45571009834657</c:v>
                </c:pt>
                <c:pt idx="2044">
                  <c:v>14.575713686351454</c:v>
                </c:pt>
                <c:pt idx="2046">
                  <c:v>308.30041752829999</c:v>
                </c:pt>
                <c:pt idx="2048">
                  <c:v>104.98211094925455</c:v>
                </c:pt>
                <c:pt idx="2050">
                  <c:v>26.986356806308404</c:v>
                </c:pt>
                <c:pt idx="2052">
                  <c:v>1500.954218484575</c:v>
                </c:pt>
                <c:pt idx="2054">
                  <c:v>577.60955840665213</c:v>
                </c:pt>
                <c:pt idx="2055">
                  <c:v>1904.9053661302896</c:v>
                </c:pt>
                <c:pt idx="2057">
                  <c:v>35.837999757030516</c:v>
                </c:pt>
                <c:pt idx="2064">
                  <c:v>799.68361490254927</c:v>
                </c:pt>
                <c:pt idx="2079">
                  <c:v>1009.8755905019136</c:v>
                </c:pt>
                <c:pt idx="2080">
                  <c:v>1098.641849795365</c:v>
                </c:pt>
                <c:pt idx="2088">
                  <c:v>84.924141532456275</c:v>
                </c:pt>
                <c:pt idx="2090">
                  <c:v>2049.0459641990692</c:v>
                </c:pt>
                <c:pt idx="2093">
                  <c:v>1705.9778361155084</c:v>
                </c:pt>
                <c:pt idx="2096">
                  <c:v>235.00862380169269</c:v>
                </c:pt>
                <c:pt idx="2098">
                  <c:v>207.71522943370371</c:v>
                </c:pt>
                <c:pt idx="2101">
                  <c:v>12.696893019589444</c:v>
                </c:pt>
                <c:pt idx="2109">
                  <c:v>176.61437794668296</c:v>
                </c:pt>
                <c:pt idx="2111">
                  <c:v>43.057484331939818</c:v>
                </c:pt>
                <c:pt idx="2116">
                  <c:v>244.82413833666629</c:v>
                </c:pt>
                <c:pt idx="2119">
                  <c:v>290.26882539038047</c:v>
                </c:pt>
                <c:pt idx="2120">
                  <c:v>2164.6436352318706</c:v>
                </c:pt>
                <c:pt idx="2121">
                  <c:v>1325.9020240539749</c:v>
                </c:pt>
                <c:pt idx="2123">
                  <c:v>712.21109114628212</c:v>
                </c:pt>
                <c:pt idx="2124">
                  <c:v>24.987305820908841</c:v>
                </c:pt>
                <c:pt idx="2125">
                  <c:v>134.86949248806391</c:v>
                </c:pt>
                <c:pt idx="2130">
                  <c:v>212.34612418241736</c:v>
                </c:pt>
                <c:pt idx="2138">
                  <c:v>491.6592343011925</c:v>
                </c:pt>
                <c:pt idx="2150">
                  <c:v>70.868995261978171</c:v>
                </c:pt>
                <c:pt idx="2153">
                  <c:v>47.356409281095466</c:v>
                </c:pt>
                <c:pt idx="2160">
                  <c:v>30.35613694686111</c:v>
                </c:pt>
                <c:pt idx="2167">
                  <c:v>2.6771559956414062</c:v>
                </c:pt>
                <c:pt idx="2171">
                  <c:v>708.00605710675097</c:v>
                </c:pt>
                <c:pt idx="2174">
                  <c:v>17.325034484361186</c:v>
                </c:pt>
                <c:pt idx="2176">
                  <c:v>81.513574091067824</c:v>
                </c:pt>
                <c:pt idx="2177">
                  <c:v>22.118237836249406</c:v>
                </c:pt>
                <c:pt idx="2180">
                  <c:v>326.81419133428142</c:v>
                </c:pt>
                <c:pt idx="2190">
                  <c:v>7.8233928109390902</c:v>
                </c:pt>
                <c:pt idx="2201">
                  <c:v>1453.9725410758497</c:v>
                </c:pt>
                <c:pt idx="2202">
                  <c:v>393.9728702086116</c:v>
                </c:pt>
                <c:pt idx="2219">
                  <c:v>1361.42664042306</c:v>
                </c:pt>
                <c:pt idx="2222">
                  <c:v>77.100358403832445</c:v>
                </c:pt>
                <c:pt idx="2229">
                  <c:v>94.617239547145132</c:v>
                </c:pt>
                <c:pt idx="2231">
                  <c:v>53.401127530434799</c:v>
                </c:pt>
                <c:pt idx="2236">
                  <c:v>22.087454974013806</c:v>
                </c:pt>
                <c:pt idx="2240">
                  <c:v>86.831936342989707</c:v>
                </c:pt>
                <c:pt idx="2241">
                  <c:v>115.88855968805755</c:v>
                </c:pt>
                <c:pt idx="2243">
                  <c:v>76.906987214863321</c:v>
                </c:pt>
                <c:pt idx="2245">
                  <c:v>239.65611335323169</c:v>
                </c:pt>
                <c:pt idx="2248">
                  <c:v>87.589732995920031</c:v>
                </c:pt>
                <c:pt idx="2275">
                  <c:v>27.613983692726471</c:v>
                </c:pt>
                <c:pt idx="2278">
                  <c:v>7.7803178887768203</c:v>
                </c:pt>
                <c:pt idx="2279">
                  <c:v>1.3156432247776448</c:v>
                </c:pt>
                <c:pt idx="2281">
                  <c:v>229.33416325189759</c:v>
                </c:pt>
                <c:pt idx="2282">
                  <c:v>9.2722756007627734</c:v>
                </c:pt>
                <c:pt idx="2284">
                  <c:v>92.060248686695545</c:v>
                </c:pt>
                <c:pt idx="2285">
                  <c:v>30.023602520030913</c:v>
                </c:pt>
                <c:pt idx="2286">
                  <c:v>212.6338288531156</c:v>
                </c:pt>
                <c:pt idx="2288">
                  <c:v>163.8313002570975</c:v>
                </c:pt>
                <c:pt idx="2298">
                  <c:v>42.409818599438225</c:v>
                </c:pt>
                <c:pt idx="2300">
                  <c:v>13.170414141919974</c:v>
                </c:pt>
                <c:pt idx="2305">
                  <c:v>58.547840767151293</c:v>
                </c:pt>
                <c:pt idx="2307">
                  <c:v>18.947208283295335</c:v>
                </c:pt>
                <c:pt idx="2308">
                  <c:v>69.48944860449285</c:v>
                </c:pt>
                <c:pt idx="2311">
                  <c:v>38.53998015836428</c:v>
                </c:pt>
              </c:numCache>
            </c:numRef>
          </c:xVal>
          <c:yVal>
            <c:numRef>
              <c:f>'Pasted values for chart'!$D$3:$D$2315</c:f>
              <c:numCache>
                <c:formatCode>General</c:formatCode>
                <c:ptCount val="2313"/>
                <c:pt idx="0">
                  <c:v>0.32662040087724692</c:v>
                </c:pt>
                <c:pt idx="1">
                  <c:v>0.34393186498138811</c:v>
                </c:pt>
                <c:pt idx="2">
                  <c:v>0.36144274410513511</c:v>
                </c:pt>
                <c:pt idx="3">
                  <c:v>0.36837786280677709</c:v>
                </c:pt>
                <c:pt idx="4">
                  <c:v>0.36920658469592421</c:v>
                </c:pt>
                <c:pt idx="5">
                  <c:v>0.37805620640848536</c:v>
                </c:pt>
                <c:pt idx="6">
                  <c:v>0.38374123520772752</c:v>
                </c:pt>
                <c:pt idx="7">
                  <c:v>0.38419725659342624</c:v>
                </c:pt>
                <c:pt idx="8">
                  <c:v>0.38686518712738399</c:v>
                </c:pt>
                <c:pt idx="9">
                  <c:v>0.3901035430937761</c:v>
                </c:pt>
                <c:pt idx="10">
                  <c:v>0.39030253110841417</c:v>
                </c:pt>
                <c:pt idx="11">
                  <c:v>0.39165075516065845</c:v>
                </c:pt>
                <c:pt idx="12">
                  <c:v>0.39373326249241997</c:v>
                </c:pt>
                <c:pt idx="13">
                  <c:v>0.39494604218135604</c:v>
                </c:pt>
                <c:pt idx="14">
                  <c:v>0.39551287263587986</c:v>
                </c:pt>
                <c:pt idx="15">
                  <c:v>0.40057528073331367</c:v>
                </c:pt>
                <c:pt idx="16">
                  <c:v>0.40062471779783743</c:v>
                </c:pt>
                <c:pt idx="17">
                  <c:v>0.40424357517048415</c:v>
                </c:pt>
                <c:pt idx="18">
                  <c:v>0.40617039907168989</c:v>
                </c:pt>
                <c:pt idx="19">
                  <c:v>0.40781838242900093</c:v>
                </c:pt>
                <c:pt idx="20">
                  <c:v>0.40815762160981139</c:v>
                </c:pt>
                <c:pt idx="21">
                  <c:v>0.40818520487322124</c:v>
                </c:pt>
                <c:pt idx="22">
                  <c:v>0.40839763452392436</c:v>
                </c:pt>
                <c:pt idx="23">
                  <c:v>0.41044576819457307</c:v>
                </c:pt>
                <c:pt idx="24">
                  <c:v>0.41053824284705298</c:v>
                </c:pt>
                <c:pt idx="25">
                  <c:v>0.4109166895001804</c:v>
                </c:pt>
                <c:pt idx="26">
                  <c:v>0.41110650082257399</c:v>
                </c:pt>
                <c:pt idx="27">
                  <c:v>0.41239381783860357</c:v>
                </c:pt>
                <c:pt idx="28">
                  <c:v>0.41252128402982036</c:v>
                </c:pt>
                <c:pt idx="29">
                  <c:v>0.41528666177976792</c:v>
                </c:pt>
                <c:pt idx="30">
                  <c:v>0.41744217752208418</c:v>
                </c:pt>
                <c:pt idx="31">
                  <c:v>0.41778324832756847</c:v>
                </c:pt>
                <c:pt idx="32">
                  <c:v>0.41803273727616275</c:v>
                </c:pt>
                <c:pt idx="33">
                  <c:v>0.41820389424779625</c:v>
                </c:pt>
                <c:pt idx="34">
                  <c:v>0.41900774955892139</c:v>
                </c:pt>
                <c:pt idx="35">
                  <c:v>0.41978123193629491</c:v>
                </c:pt>
                <c:pt idx="36">
                  <c:v>0.41987419931905962</c:v>
                </c:pt>
                <c:pt idx="37">
                  <c:v>0.42082708677914482</c:v>
                </c:pt>
                <c:pt idx="38">
                  <c:v>0.42134593826642941</c:v>
                </c:pt>
                <c:pt idx="39">
                  <c:v>0.42329838177236956</c:v>
                </c:pt>
                <c:pt idx="40">
                  <c:v>0.42481888030878062</c:v>
                </c:pt>
                <c:pt idx="41">
                  <c:v>0.42486149997376704</c:v>
                </c:pt>
                <c:pt idx="42">
                  <c:v>0.42637238814632811</c:v>
                </c:pt>
                <c:pt idx="43">
                  <c:v>0.43029835681877321</c:v>
                </c:pt>
                <c:pt idx="44">
                  <c:v>0.4330903264310717</c:v>
                </c:pt>
                <c:pt idx="45">
                  <c:v>0.43384313656896295</c:v>
                </c:pt>
                <c:pt idx="46">
                  <c:v>0.43470093928019593</c:v>
                </c:pt>
                <c:pt idx="47">
                  <c:v>0.43530458235691161</c:v>
                </c:pt>
                <c:pt idx="48">
                  <c:v>0.43587324003856254</c:v>
                </c:pt>
                <c:pt idx="49">
                  <c:v>0.43601515618646797</c:v>
                </c:pt>
                <c:pt idx="50">
                  <c:v>0.43745522973903128</c:v>
                </c:pt>
                <c:pt idx="51">
                  <c:v>0.43748535397119059</c:v>
                </c:pt>
                <c:pt idx="52">
                  <c:v>0.43758686190164442</c:v>
                </c:pt>
                <c:pt idx="53">
                  <c:v>0.43764692463771582</c:v>
                </c:pt>
                <c:pt idx="54">
                  <c:v>0.43826269597442979</c:v>
                </c:pt>
                <c:pt idx="55">
                  <c:v>0.43905172589959884</c:v>
                </c:pt>
                <c:pt idx="56">
                  <c:v>0.43919505326062935</c:v>
                </c:pt>
                <c:pt idx="57">
                  <c:v>0.4392022521633886</c:v>
                </c:pt>
                <c:pt idx="58">
                  <c:v>0.43974016212107037</c:v>
                </c:pt>
                <c:pt idx="59">
                  <c:v>0.43997162517260907</c:v>
                </c:pt>
                <c:pt idx="60">
                  <c:v>0.44020592139305315</c:v>
                </c:pt>
                <c:pt idx="61">
                  <c:v>0.44220159527891195</c:v>
                </c:pt>
                <c:pt idx="62">
                  <c:v>0.44319300879982143</c:v>
                </c:pt>
                <c:pt idx="63">
                  <c:v>0.4434550525872929</c:v>
                </c:pt>
                <c:pt idx="64">
                  <c:v>0.44384971089359465</c:v>
                </c:pt>
                <c:pt idx="65">
                  <c:v>0.44481419027323144</c:v>
                </c:pt>
                <c:pt idx="66">
                  <c:v>0.44578916148336639</c:v>
                </c:pt>
                <c:pt idx="67">
                  <c:v>0.44584736930041585</c:v>
                </c:pt>
                <c:pt idx="68">
                  <c:v>0.44604154697050447</c:v>
                </c:pt>
                <c:pt idx="69">
                  <c:v>0.44660658099474421</c:v>
                </c:pt>
                <c:pt idx="70">
                  <c:v>0.44805347885483615</c:v>
                </c:pt>
                <c:pt idx="71">
                  <c:v>0.44920290278227504</c:v>
                </c:pt>
                <c:pt idx="72">
                  <c:v>0.44989775051124781</c:v>
                </c:pt>
                <c:pt idx="73">
                  <c:v>0.4502310586542751</c:v>
                </c:pt>
                <c:pt idx="74">
                  <c:v>0.4510666907907625</c:v>
                </c:pt>
                <c:pt idx="75">
                  <c:v>0.45200638887252897</c:v>
                </c:pt>
                <c:pt idx="76">
                  <c:v>0.45299283451903599</c:v>
                </c:pt>
                <c:pt idx="77">
                  <c:v>0.45317662085448113</c:v>
                </c:pt>
                <c:pt idx="78">
                  <c:v>0.45325241131273358</c:v>
                </c:pt>
                <c:pt idx="79">
                  <c:v>0.45381772247071572</c:v>
                </c:pt>
                <c:pt idx="80">
                  <c:v>0.45394639473780141</c:v>
                </c:pt>
                <c:pt idx="81">
                  <c:v>0.4542488130747403</c:v>
                </c:pt>
                <c:pt idx="82">
                  <c:v>0.45441592093753896</c:v>
                </c:pt>
                <c:pt idx="83">
                  <c:v>0.45486475071512233</c:v>
                </c:pt>
                <c:pt idx="84">
                  <c:v>0.4551239191808592</c:v>
                </c:pt>
                <c:pt idx="85">
                  <c:v>0.45584328732817303</c:v>
                </c:pt>
                <c:pt idx="86">
                  <c:v>0.45635937837517537</c:v>
                </c:pt>
                <c:pt idx="87">
                  <c:v>0.45706378686641658</c:v>
                </c:pt>
                <c:pt idx="88">
                  <c:v>0.45737839498408567</c:v>
                </c:pt>
                <c:pt idx="89">
                  <c:v>0.45768131183620248</c:v>
                </c:pt>
                <c:pt idx="90">
                  <c:v>0.45844958536774416</c:v>
                </c:pt>
                <c:pt idx="91">
                  <c:v>0.45862631137959758</c:v>
                </c:pt>
                <c:pt idx="92">
                  <c:v>0.45908556778121862</c:v>
                </c:pt>
                <c:pt idx="93">
                  <c:v>0.46009983670631061</c:v>
                </c:pt>
                <c:pt idx="94">
                  <c:v>0.4602028664487362</c:v>
                </c:pt>
                <c:pt idx="95">
                  <c:v>0.46073103331541104</c:v>
                </c:pt>
                <c:pt idx="96">
                  <c:v>0.46128162818591933</c:v>
                </c:pt>
                <c:pt idx="97">
                  <c:v>0.46152235641918826</c:v>
                </c:pt>
                <c:pt idx="98">
                  <c:v>0.46316240859978364</c:v>
                </c:pt>
                <c:pt idx="99">
                  <c:v>0.46435923607151014</c:v>
                </c:pt>
                <c:pt idx="100">
                  <c:v>0.46447624865981507</c:v>
                </c:pt>
                <c:pt idx="101">
                  <c:v>0.46455979193454244</c:v>
                </c:pt>
                <c:pt idx="102">
                  <c:v>0.4645949611392215</c:v>
                </c:pt>
                <c:pt idx="103">
                  <c:v>0.46481602250450926</c:v>
                </c:pt>
                <c:pt idx="104">
                  <c:v>0.46486605182257423</c:v>
                </c:pt>
                <c:pt idx="105">
                  <c:v>0.46495515267067816</c:v>
                </c:pt>
                <c:pt idx="106">
                  <c:v>0.46547840880797126</c:v>
                </c:pt>
                <c:pt idx="107">
                  <c:v>0.46559609295780524</c:v>
                </c:pt>
                <c:pt idx="108">
                  <c:v>0.46651504400379823</c:v>
                </c:pt>
                <c:pt idx="109">
                  <c:v>0.46717973275995639</c:v>
                </c:pt>
                <c:pt idx="110">
                  <c:v>0.46718441995408633</c:v>
                </c:pt>
                <c:pt idx="111">
                  <c:v>0.4673622964132601</c:v>
                </c:pt>
                <c:pt idx="112">
                  <c:v>0.46877429785908653</c:v>
                </c:pt>
                <c:pt idx="113">
                  <c:v>0.46881605655491027</c:v>
                </c:pt>
                <c:pt idx="114">
                  <c:v>0.46884039456922405</c:v>
                </c:pt>
                <c:pt idx="115">
                  <c:v>0.46924889954667903</c:v>
                </c:pt>
                <c:pt idx="116">
                  <c:v>0.46942500463627251</c:v>
                </c:pt>
                <c:pt idx="117">
                  <c:v>0.46960177060360142</c:v>
                </c:pt>
                <c:pt idx="118">
                  <c:v>0.47003819167893157</c:v>
                </c:pt>
                <c:pt idx="119">
                  <c:v>0.47023152796587836</c:v>
                </c:pt>
                <c:pt idx="120">
                  <c:v>0.47024539734885279</c:v>
                </c:pt>
                <c:pt idx="121">
                  <c:v>0.47129017230794068</c:v>
                </c:pt>
                <c:pt idx="122">
                  <c:v>0.47129670433308846</c:v>
                </c:pt>
                <c:pt idx="123">
                  <c:v>0.47189008262635812</c:v>
                </c:pt>
                <c:pt idx="124">
                  <c:v>0.47206094185634245</c:v>
                </c:pt>
                <c:pt idx="125">
                  <c:v>0.47206333780894166</c:v>
                </c:pt>
                <c:pt idx="126">
                  <c:v>0.47237104538716934</c:v>
                </c:pt>
                <c:pt idx="127">
                  <c:v>0.47253090537345521</c:v>
                </c:pt>
                <c:pt idx="128">
                  <c:v>0.47300657683270853</c:v>
                </c:pt>
                <c:pt idx="129">
                  <c:v>0.47388673482114313</c:v>
                </c:pt>
                <c:pt idx="130">
                  <c:v>0.47434621614022415</c:v>
                </c:pt>
                <c:pt idx="131">
                  <c:v>0.47443312516084879</c:v>
                </c:pt>
                <c:pt idx="132">
                  <c:v>0.47445686830143269</c:v>
                </c:pt>
                <c:pt idx="133">
                  <c:v>0.47502542322186947</c:v>
                </c:pt>
                <c:pt idx="134">
                  <c:v>0.47560635425788123</c:v>
                </c:pt>
                <c:pt idx="135">
                  <c:v>0.47562914298510345</c:v>
                </c:pt>
                <c:pt idx="136">
                  <c:v>0.47609810767705463</c:v>
                </c:pt>
                <c:pt idx="137">
                  <c:v>0.4761409355159324</c:v>
                </c:pt>
                <c:pt idx="138">
                  <c:v>0.47653916562289239</c:v>
                </c:pt>
                <c:pt idx="139">
                  <c:v>0.476691917343677</c:v>
                </c:pt>
                <c:pt idx="140">
                  <c:v>0.47696956637208437</c:v>
                </c:pt>
                <c:pt idx="141">
                  <c:v>0.47717315919132697</c:v>
                </c:pt>
                <c:pt idx="142">
                  <c:v>0.47737581634523851</c:v>
                </c:pt>
                <c:pt idx="143">
                  <c:v>0.47761634431814937</c:v>
                </c:pt>
                <c:pt idx="144">
                  <c:v>0.47769639591950619</c:v>
                </c:pt>
                <c:pt idx="145">
                  <c:v>0.47772858876607266</c:v>
                </c:pt>
                <c:pt idx="146">
                  <c:v>0.47796859643979611</c:v>
                </c:pt>
                <c:pt idx="147">
                  <c:v>0.47807333397658897</c:v>
                </c:pt>
                <c:pt idx="148">
                  <c:v>0.47824816556358296</c:v>
                </c:pt>
                <c:pt idx="149">
                  <c:v>0.47833162304211652</c:v>
                </c:pt>
                <c:pt idx="150">
                  <c:v>0.4784018492967031</c:v>
                </c:pt>
                <c:pt idx="151">
                  <c:v>0.4791392952886</c:v>
                </c:pt>
                <c:pt idx="152">
                  <c:v>0.48093578947443094</c:v>
                </c:pt>
                <c:pt idx="153">
                  <c:v>0.48148730481441898</c:v>
                </c:pt>
                <c:pt idx="154">
                  <c:v>0.48148813631172405</c:v>
                </c:pt>
                <c:pt idx="155">
                  <c:v>0.48179046543121351</c:v>
                </c:pt>
                <c:pt idx="156">
                  <c:v>0.48212659210206182</c:v>
                </c:pt>
                <c:pt idx="157">
                  <c:v>0.48263811679885638</c:v>
                </c:pt>
                <c:pt idx="158">
                  <c:v>0.48302048372885154</c:v>
                </c:pt>
                <c:pt idx="159">
                  <c:v>0.48319520492007062</c:v>
                </c:pt>
                <c:pt idx="160">
                  <c:v>0.4838102356243234</c:v>
                </c:pt>
                <c:pt idx="161">
                  <c:v>0.48469971028110559</c:v>
                </c:pt>
                <c:pt idx="162">
                  <c:v>0.48490760761147289</c:v>
                </c:pt>
                <c:pt idx="163">
                  <c:v>0.48492057142266171</c:v>
                </c:pt>
                <c:pt idx="164">
                  <c:v>0.48599638208245427</c:v>
                </c:pt>
                <c:pt idx="165">
                  <c:v>0.48658428085909011</c:v>
                </c:pt>
                <c:pt idx="166">
                  <c:v>0.48662253003517014</c:v>
                </c:pt>
                <c:pt idx="167">
                  <c:v>0.48676529569843108</c:v>
                </c:pt>
                <c:pt idx="168">
                  <c:v>0.48692018181850072</c:v>
                </c:pt>
                <c:pt idx="169">
                  <c:v>0.48741989985782519</c:v>
                </c:pt>
                <c:pt idx="170">
                  <c:v>0.48755711602461782</c:v>
                </c:pt>
                <c:pt idx="171">
                  <c:v>0.48812554899349608</c:v>
                </c:pt>
                <c:pt idx="172">
                  <c:v>0.4892865417194342</c:v>
                </c:pt>
                <c:pt idx="173">
                  <c:v>0.48932574731087936</c:v>
                </c:pt>
                <c:pt idx="174">
                  <c:v>0.48940829376806788</c:v>
                </c:pt>
                <c:pt idx="175">
                  <c:v>0.48954909906419281</c:v>
                </c:pt>
                <c:pt idx="176">
                  <c:v>0.49036809410520676</c:v>
                </c:pt>
                <c:pt idx="177">
                  <c:v>0.49039091642302618</c:v>
                </c:pt>
                <c:pt idx="178">
                  <c:v>0.49056530525308434</c:v>
                </c:pt>
                <c:pt idx="179">
                  <c:v>0.49071970140278015</c:v>
                </c:pt>
                <c:pt idx="180">
                  <c:v>0.49083352428649007</c:v>
                </c:pt>
                <c:pt idx="181">
                  <c:v>0.49093160140413949</c:v>
                </c:pt>
                <c:pt idx="182">
                  <c:v>0.49126613087472498</c:v>
                </c:pt>
                <c:pt idx="183">
                  <c:v>0.49129238023315586</c:v>
                </c:pt>
                <c:pt idx="184">
                  <c:v>0.49137002561718618</c:v>
                </c:pt>
                <c:pt idx="185">
                  <c:v>0.49207886956070757</c:v>
                </c:pt>
                <c:pt idx="186">
                  <c:v>0.49225456139525464</c:v>
                </c:pt>
                <c:pt idx="187">
                  <c:v>0.49225467883912727</c:v>
                </c:pt>
                <c:pt idx="188">
                  <c:v>0.49260776857645361</c:v>
                </c:pt>
                <c:pt idx="189">
                  <c:v>0.49305517864978615</c:v>
                </c:pt>
                <c:pt idx="190">
                  <c:v>0.49337770468626624</c:v>
                </c:pt>
                <c:pt idx="191">
                  <c:v>0.49373727593153061</c:v>
                </c:pt>
                <c:pt idx="192">
                  <c:v>0.49448683160415025</c:v>
                </c:pt>
                <c:pt idx="193">
                  <c:v>0.49461727705607839</c:v>
                </c:pt>
                <c:pt idx="194">
                  <c:v>0.49494428262091317</c:v>
                </c:pt>
                <c:pt idx="195">
                  <c:v>0.49502475342518326</c:v>
                </c:pt>
                <c:pt idx="196">
                  <c:v>0.49616337814772438</c:v>
                </c:pt>
                <c:pt idx="197">
                  <c:v>0.49637166752699263</c:v>
                </c:pt>
                <c:pt idx="198">
                  <c:v>0.49661362150988642</c:v>
                </c:pt>
                <c:pt idx="199">
                  <c:v>0.49691658915422227</c:v>
                </c:pt>
                <c:pt idx="200">
                  <c:v>0.49788181785648439</c:v>
                </c:pt>
                <c:pt idx="201">
                  <c:v>0.49803354836818897</c:v>
                </c:pt>
                <c:pt idx="202">
                  <c:v>0.49807179273463986</c:v>
                </c:pt>
                <c:pt idx="203">
                  <c:v>0.49905468925496776</c:v>
                </c:pt>
                <c:pt idx="204">
                  <c:v>0.49911466042750979</c:v>
                </c:pt>
                <c:pt idx="205">
                  <c:v>0.49915553558879289</c:v>
                </c:pt>
                <c:pt idx="206">
                  <c:v>0.49929322032562806</c:v>
                </c:pt>
                <c:pt idx="207">
                  <c:v>0.49968961441454968</c:v>
                </c:pt>
                <c:pt idx="208">
                  <c:v>0.49986611890171473</c:v>
                </c:pt>
                <c:pt idx="209">
                  <c:v>0.50012293821494458</c:v>
                </c:pt>
                <c:pt idx="210">
                  <c:v>0.5007489752284775</c:v>
                </c:pt>
                <c:pt idx="211">
                  <c:v>0.5010299359000423</c:v>
                </c:pt>
                <c:pt idx="212">
                  <c:v>0.50184275184275184</c:v>
                </c:pt>
                <c:pt idx="213">
                  <c:v>0.50190890572175284</c:v>
                </c:pt>
                <c:pt idx="214">
                  <c:v>0.50252600028889138</c:v>
                </c:pt>
                <c:pt idx="215">
                  <c:v>0.50344497946188227</c:v>
                </c:pt>
                <c:pt idx="216">
                  <c:v>0.50355457172357931</c:v>
                </c:pt>
                <c:pt idx="217">
                  <c:v>0.50378411350081376</c:v>
                </c:pt>
                <c:pt idx="218">
                  <c:v>0.50406782871995814</c:v>
                </c:pt>
                <c:pt idx="219">
                  <c:v>0.50440213062093842</c:v>
                </c:pt>
                <c:pt idx="220">
                  <c:v>0.50577048322110085</c:v>
                </c:pt>
                <c:pt idx="221">
                  <c:v>0.50672805007170352</c:v>
                </c:pt>
                <c:pt idx="222">
                  <c:v>0.50718492665103287</c:v>
                </c:pt>
                <c:pt idx="223">
                  <c:v>0.50727705385606647</c:v>
                </c:pt>
                <c:pt idx="224">
                  <c:v>0.50851753577342662</c:v>
                </c:pt>
                <c:pt idx="225">
                  <c:v>0.50856609596966806</c:v>
                </c:pt>
                <c:pt idx="226">
                  <c:v>0.5087228439763003</c:v>
                </c:pt>
                <c:pt idx="227">
                  <c:v>0.50882822884917478</c:v>
                </c:pt>
                <c:pt idx="228">
                  <c:v>0.50886523424607366</c:v>
                </c:pt>
                <c:pt idx="229">
                  <c:v>0.5090891572456312</c:v>
                </c:pt>
                <c:pt idx="230">
                  <c:v>0.50970055061262132</c:v>
                </c:pt>
                <c:pt idx="231">
                  <c:v>0.5099331593122709</c:v>
                </c:pt>
                <c:pt idx="232">
                  <c:v>0.51013349600175983</c:v>
                </c:pt>
                <c:pt idx="233">
                  <c:v>0.51024853932734138</c:v>
                </c:pt>
                <c:pt idx="234">
                  <c:v>0.51103271452365528</c:v>
                </c:pt>
                <c:pt idx="235">
                  <c:v>0.51163887798951058</c:v>
                </c:pt>
                <c:pt idx="236">
                  <c:v>0.51175468732541829</c:v>
                </c:pt>
                <c:pt idx="237">
                  <c:v>0.51210754069969644</c:v>
                </c:pt>
                <c:pt idx="238">
                  <c:v>0.5122913275115184</c:v>
                </c:pt>
                <c:pt idx="239">
                  <c:v>0.51240346962256522</c:v>
                </c:pt>
                <c:pt idx="240">
                  <c:v>0.51300841442623624</c:v>
                </c:pt>
                <c:pt idx="241">
                  <c:v>0.51300912653109243</c:v>
                </c:pt>
                <c:pt idx="242">
                  <c:v>0.5135627869306244</c:v>
                </c:pt>
                <c:pt idx="243">
                  <c:v>0.51422310737085941</c:v>
                </c:pt>
                <c:pt idx="244">
                  <c:v>0.51422397955464738</c:v>
                </c:pt>
                <c:pt idx="245">
                  <c:v>0.51432662006774998</c:v>
                </c:pt>
                <c:pt idx="246">
                  <c:v>0.51467629084367505</c:v>
                </c:pt>
                <c:pt idx="247">
                  <c:v>0.51473972043929139</c:v>
                </c:pt>
                <c:pt idx="248">
                  <c:v>0.51484997702710789</c:v>
                </c:pt>
                <c:pt idx="249">
                  <c:v>0.51507388593666459</c:v>
                </c:pt>
                <c:pt idx="250">
                  <c:v>0.5152223010974637</c:v>
                </c:pt>
                <c:pt idx="251">
                  <c:v>0.51537655346279854</c:v>
                </c:pt>
                <c:pt idx="252">
                  <c:v>0.51581870550812359</c:v>
                </c:pt>
                <c:pt idx="253">
                  <c:v>0.51629711569019099</c:v>
                </c:pt>
                <c:pt idx="254">
                  <c:v>0.51631150243217627</c:v>
                </c:pt>
                <c:pt idx="255">
                  <c:v>0.51657653760184619</c:v>
                </c:pt>
                <c:pt idx="256">
                  <c:v>0.51717869307837205</c:v>
                </c:pt>
                <c:pt idx="257">
                  <c:v>0.51725732018227255</c:v>
                </c:pt>
                <c:pt idx="258">
                  <c:v>0.51752577388242127</c:v>
                </c:pt>
                <c:pt idx="259">
                  <c:v>0.51766836756209644</c:v>
                </c:pt>
                <c:pt idx="260">
                  <c:v>0.51790521306330661</c:v>
                </c:pt>
                <c:pt idx="261">
                  <c:v>0.51796967686142825</c:v>
                </c:pt>
                <c:pt idx="262">
                  <c:v>0.5181872172395271</c:v>
                </c:pt>
                <c:pt idx="263">
                  <c:v>0.51856311388382581</c:v>
                </c:pt>
                <c:pt idx="264">
                  <c:v>0.51867227266246541</c:v>
                </c:pt>
                <c:pt idx="265">
                  <c:v>0.51902809633027569</c:v>
                </c:pt>
                <c:pt idx="266">
                  <c:v>0.51924966353772029</c:v>
                </c:pt>
                <c:pt idx="267">
                  <c:v>0.51947128600975701</c:v>
                </c:pt>
                <c:pt idx="268">
                  <c:v>0.51948432940900069</c:v>
                </c:pt>
                <c:pt idx="269">
                  <c:v>0.51949030688846753</c:v>
                </c:pt>
                <c:pt idx="270">
                  <c:v>0.52043027935460684</c:v>
                </c:pt>
                <c:pt idx="271">
                  <c:v>0.52077604694381885</c:v>
                </c:pt>
                <c:pt idx="272">
                  <c:v>0.52112985349419394</c:v>
                </c:pt>
                <c:pt idx="273">
                  <c:v>0.5215845606907078</c:v>
                </c:pt>
                <c:pt idx="274">
                  <c:v>0.52195933942206674</c:v>
                </c:pt>
                <c:pt idx="275">
                  <c:v>0.52199035878358802</c:v>
                </c:pt>
                <c:pt idx="276">
                  <c:v>0.52222844129448387</c:v>
                </c:pt>
                <c:pt idx="277">
                  <c:v>0.52306983280080299</c:v>
                </c:pt>
                <c:pt idx="278">
                  <c:v>0.52325443522443893</c:v>
                </c:pt>
                <c:pt idx="279">
                  <c:v>0.52357087488681253</c:v>
                </c:pt>
                <c:pt idx="280">
                  <c:v>0.52386508180661828</c:v>
                </c:pt>
                <c:pt idx="281">
                  <c:v>0.52398640101201743</c:v>
                </c:pt>
                <c:pt idx="282">
                  <c:v>0.52435257004471081</c:v>
                </c:pt>
                <c:pt idx="283">
                  <c:v>0.52487680069817155</c:v>
                </c:pt>
                <c:pt idx="284">
                  <c:v>0.52534419256473608</c:v>
                </c:pt>
                <c:pt idx="285">
                  <c:v>0.52543314646761907</c:v>
                </c:pt>
                <c:pt idx="286">
                  <c:v>0.52617805007185503</c:v>
                </c:pt>
                <c:pt idx="287">
                  <c:v>0.5264795491761759</c:v>
                </c:pt>
                <c:pt idx="288">
                  <c:v>0.52649791471867191</c:v>
                </c:pt>
                <c:pt idx="289">
                  <c:v>0.5271751615931568</c:v>
                </c:pt>
                <c:pt idx="290">
                  <c:v>0.5276350302211531</c:v>
                </c:pt>
                <c:pt idx="291">
                  <c:v>0.52784543587707311</c:v>
                </c:pt>
                <c:pt idx="292">
                  <c:v>0.5279046723573606</c:v>
                </c:pt>
                <c:pt idx="293">
                  <c:v>0.52824680038314242</c:v>
                </c:pt>
                <c:pt idx="294">
                  <c:v>0.52871996390027387</c:v>
                </c:pt>
                <c:pt idx="295">
                  <c:v>0.53083565490526896</c:v>
                </c:pt>
                <c:pt idx="296">
                  <c:v>0.53087302301273176</c:v>
                </c:pt>
                <c:pt idx="297">
                  <c:v>0.53106607734221811</c:v>
                </c:pt>
                <c:pt idx="298">
                  <c:v>0.53128319765424792</c:v>
                </c:pt>
                <c:pt idx="299">
                  <c:v>0.53133997129039068</c:v>
                </c:pt>
                <c:pt idx="300">
                  <c:v>0.53136661480063774</c:v>
                </c:pt>
                <c:pt idx="301">
                  <c:v>0.53147718634821928</c:v>
                </c:pt>
                <c:pt idx="302">
                  <c:v>0.53150913358367113</c:v>
                </c:pt>
                <c:pt idx="303">
                  <c:v>0.53164694281665303</c:v>
                </c:pt>
                <c:pt idx="304">
                  <c:v>0.53176234293988511</c:v>
                </c:pt>
                <c:pt idx="305">
                  <c:v>0.53236657788300368</c:v>
                </c:pt>
                <c:pt idx="306">
                  <c:v>0.53276167290174026</c:v>
                </c:pt>
                <c:pt idx="307">
                  <c:v>0.5330082870382622</c:v>
                </c:pt>
                <c:pt idx="308">
                  <c:v>0.53323958281738382</c:v>
                </c:pt>
                <c:pt idx="309">
                  <c:v>0.53326783540681921</c:v>
                </c:pt>
                <c:pt idx="310">
                  <c:v>0.53333471010986688</c:v>
                </c:pt>
                <c:pt idx="311">
                  <c:v>0.5334996979413541</c:v>
                </c:pt>
                <c:pt idx="312">
                  <c:v>0.53373217373067361</c:v>
                </c:pt>
                <c:pt idx="313">
                  <c:v>0.53379962739417541</c:v>
                </c:pt>
                <c:pt idx="314">
                  <c:v>0.53393984771215031</c:v>
                </c:pt>
                <c:pt idx="315">
                  <c:v>0.5340853658536584</c:v>
                </c:pt>
                <c:pt idx="316">
                  <c:v>0.53420987996367764</c:v>
                </c:pt>
                <c:pt idx="317">
                  <c:v>0.53502552112434643</c:v>
                </c:pt>
                <c:pt idx="318">
                  <c:v>0.53532136259513863</c:v>
                </c:pt>
                <c:pt idx="319">
                  <c:v>0.53543688443119153</c:v>
                </c:pt>
                <c:pt idx="320">
                  <c:v>0.53588593262471595</c:v>
                </c:pt>
                <c:pt idx="321">
                  <c:v>0.5358969886804692</c:v>
                </c:pt>
                <c:pt idx="322">
                  <c:v>0.53594081795868775</c:v>
                </c:pt>
                <c:pt idx="323">
                  <c:v>0.53603935392951541</c:v>
                </c:pt>
                <c:pt idx="324">
                  <c:v>0.5363678224660462</c:v>
                </c:pt>
                <c:pt idx="325">
                  <c:v>0.53658953650032126</c:v>
                </c:pt>
                <c:pt idx="326">
                  <c:v>0.53677252712999435</c:v>
                </c:pt>
                <c:pt idx="327">
                  <c:v>0.53711181187777934</c:v>
                </c:pt>
                <c:pt idx="328">
                  <c:v>0.53732240050894253</c:v>
                </c:pt>
                <c:pt idx="329">
                  <c:v>0.53738418889120698</c:v>
                </c:pt>
                <c:pt idx="330">
                  <c:v>0.53740706319702558</c:v>
                </c:pt>
                <c:pt idx="331">
                  <c:v>0.53743502570223267</c:v>
                </c:pt>
                <c:pt idx="332">
                  <c:v>0.53754506534474944</c:v>
                </c:pt>
                <c:pt idx="333">
                  <c:v>0.53778533444271615</c:v>
                </c:pt>
                <c:pt idx="334">
                  <c:v>0.53785445183686964</c:v>
                </c:pt>
                <c:pt idx="335">
                  <c:v>0.53832403612044233</c:v>
                </c:pt>
                <c:pt idx="336">
                  <c:v>0.53913721936977721</c:v>
                </c:pt>
                <c:pt idx="337">
                  <c:v>0.5391457724841634</c:v>
                </c:pt>
                <c:pt idx="338">
                  <c:v>0.53962019102531922</c:v>
                </c:pt>
                <c:pt idx="339">
                  <c:v>0.54045597940136092</c:v>
                </c:pt>
                <c:pt idx="340">
                  <c:v>0.54055851039297298</c:v>
                </c:pt>
                <c:pt idx="341">
                  <c:v>0.54090218740517393</c:v>
                </c:pt>
                <c:pt idx="342">
                  <c:v>0.54097412656757604</c:v>
                </c:pt>
                <c:pt idx="343">
                  <c:v>0.54100053151574723</c:v>
                </c:pt>
                <c:pt idx="344">
                  <c:v>0.54109353414705896</c:v>
                </c:pt>
                <c:pt idx="345">
                  <c:v>0.54137881645297292</c:v>
                </c:pt>
                <c:pt idx="346">
                  <c:v>0.54207870715659667</c:v>
                </c:pt>
                <c:pt idx="347">
                  <c:v>0.54233432380876023</c:v>
                </c:pt>
                <c:pt idx="348">
                  <c:v>0.54234205429050653</c:v>
                </c:pt>
                <c:pt idx="349">
                  <c:v>0.54250723742211171</c:v>
                </c:pt>
                <c:pt idx="350">
                  <c:v>0.54283143021660196</c:v>
                </c:pt>
                <c:pt idx="351">
                  <c:v>0.5428699391104127</c:v>
                </c:pt>
                <c:pt idx="352">
                  <c:v>0.54333420411006683</c:v>
                </c:pt>
                <c:pt idx="353">
                  <c:v>0.54359521790798826</c:v>
                </c:pt>
                <c:pt idx="354">
                  <c:v>0.54362446032212053</c:v>
                </c:pt>
                <c:pt idx="355">
                  <c:v>0.5437342951777675</c:v>
                </c:pt>
                <c:pt idx="356">
                  <c:v>0.54374440476623087</c:v>
                </c:pt>
                <c:pt idx="357">
                  <c:v>0.5439012256467729</c:v>
                </c:pt>
                <c:pt idx="358">
                  <c:v>0.54421616011248253</c:v>
                </c:pt>
                <c:pt idx="359">
                  <c:v>0.54430967996408164</c:v>
                </c:pt>
                <c:pt idx="360">
                  <c:v>0.54475993862256555</c:v>
                </c:pt>
                <c:pt idx="361">
                  <c:v>0.54477706508814083</c:v>
                </c:pt>
                <c:pt idx="362">
                  <c:v>0.54523566760943443</c:v>
                </c:pt>
                <c:pt idx="363">
                  <c:v>0.54546687935797911</c:v>
                </c:pt>
                <c:pt idx="364">
                  <c:v>0.54580548344646307</c:v>
                </c:pt>
                <c:pt idx="365">
                  <c:v>0.54591661393517532</c:v>
                </c:pt>
                <c:pt idx="366">
                  <c:v>0.54592034849257587</c:v>
                </c:pt>
                <c:pt idx="367">
                  <c:v>0.54647773137945399</c:v>
                </c:pt>
                <c:pt idx="368">
                  <c:v>0.54691043083900148</c:v>
                </c:pt>
                <c:pt idx="369">
                  <c:v>0.5469770010746039</c:v>
                </c:pt>
                <c:pt idx="370">
                  <c:v>0.54697896715613259</c:v>
                </c:pt>
                <c:pt idx="371">
                  <c:v>0.5472763464209548</c:v>
                </c:pt>
                <c:pt idx="372">
                  <c:v>0.5473388733404444</c:v>
                </c:pt>
                <c:pt idx="373">
                  <c:v>0.54743282931965254</c:v>
                </c:pt>
                <c:pt idx="374">
                  <c:v>0.54801242468876232</c:v>
                </c:pt>
                <c:pt idx="375">
                  <c:v>0.54811088383700446</c:v>
                </c:pt>
                <c:pt idx="376">
                  <c:v>0.54813561835541502</c:v>
                </c:pt>
                <c:pt idx="377">
                  <c:v>0.54826621748362547</c:v>
                </c:pt>
                <c:pt idx="378">
                  <c:v>0.54843803277243863</c:v>
                </c:pt>
                <c:pt idx="379">
                  <c:v>0.54853745750054816</c:v>
                </c:pt>
                <c:pt idx="380">
                  <c:v>0.54887444244586203</c:v>
                </c:pt>
                <c:pt idx="381">
                  <c:v>0.54913974841601909</c:v>
                </c:pt>
                <c:pt idx="382">
                  <c:v>0.54918010524155725</c:v>
                </c:pt>
                <c:pt idx="383">
                  <c:v>0.54923657380369972</c:v>
                </c:pt>
                <c:pt idx="384">
                  <c:v>0.54951685783802651</c:v>
                </c:pt>
                <c:pt idx="385">
                  <c:v>0.54961017797105927</c:v>
                </c:pt>
                <c:pt idx="386">
                  <c:v>0.55012305960592667</c:v>
                </c:pt>
                <c:pt idx="387">
                  <c:v>0.55025451696960226</c:v>
                </c:pt>
                <c:pt idx="388">
                  <c:v>0.55070543679739636</c:v>
                </c:pt>
                <c:pt idx="389">
                  <c:v>0.5510860139571373</c:v>
                </c:pt>
                <c:pt idx="390">
                  <c:v>0.55128196333361246</c:v>
                </c:pt>
                <c:pt idx="391">
                  <c:v>0.55218649269330122</c:v>
                </c:pt>
                <c:pt idx="392">
                  <c:v>0.55237401647141537</c:v>
                </c:pt>
                <c:pt idx="393">
                  <c:v>0.55248748008426796</c:v>
                </c:pt>
                <c:pt idx="394">
                  <c:v>0.55252400897630205</c:v>
                </c:pt>
                <c:pt idx="395">
                  <c:v>0.55259720739937268</c:v>
                </c:pt>
                <c:pt idx="396">
                  <c:v>0.55370940434046512</c:v>
                </c:pt>
                <c:pt idx="397">
                  <c:v>0.55374410721392731</c:v>
                </c:pt>
                <c:pt idx="398">
                  <c:v>0.55442960022951548</c:v>
                </c:pt>
                <c:pt idx="399">
                  <c:v>0.55499781430780182</c:v>
                </c:pt>
                <c:pt idx="400">
                  <c:v>0.55516812047818531</c:v>
                </c:pt>
                <c:pt idx="401">
                  <c:v>0.55521695016804518</c:v>
                </c:pt>
                <c:pt idx="402">
                  <c:v>0.55566967781114651</c:v>
                </c:pt>
                <c:pt idx="403">
                  <c:v>0.55582410874443389</c:v>
                </c:pt>
                <c:pt idx="404">
                  <c:v>0.55587361212782194</c:v>
                </c:pt>
                <c:pt idx="405">
                  <c:v>0.55600649666186985</c:v>
                </c:pt>
                <c:pt idx="406">
                  <c:v>0.55601692407414738</c:v>
                </c:pt>
                <c:pt idx="407">
                  <c:v>0.55602288267868594</c:v>
                </c:pt>
                <c:pt idx="408">
                  <c:v>0.55609370836980943</c:v>
                </c:pt>
                <c:pt idx="409">
                  <c:v>0.55617622220395613</c:v>
                </c:pt>
                <c:pt idx="410">
                  <c:v>0.55643440024542434</c:v>
                </c:pt>
                <c:pt idx="411">
                  <c:v>0.55647132725601156</c:v>
                </c:pt>
                <c:pt idx="412">
                  <c:v>0.55726458193696427</c:v>
                </c:pt>
                <c:pt idx="413">
                  <c:v>0.55729717217416808</c:v>
                </c:pt>
                <c:pt idx="414">
                  <c:v>0.5572998773865836</c:v>
                </c:pt>
                <c:pt idx="415">
                  <c:v>0.5574457588036057</c:v>
                </c:pt>
                <c:pt idx="416">
                  <c:v>0.55789905621666136</c:v>
                </c:pt>
                <c:pt idx="417">
                  <c:v>0.5582011074301001</c:v>
                </c:pt>
                <c:pt idx="418">
                  <c:v>0.55821542578502104</c:v>
                </c:pt>
                <c:pt idx="419">
                  <c:v>0.55851885099607779</c:v>
                </c:pt>
                <c:pt idx="420">
                  <c:v>0.55865539652221341</c:v>
                </c:pt>
                <c:pt idx="421">
                  <c:v>0.5589150661241703</c:v>
                </c:pt>
                <c:pt idx="422">
                  <c:v>0.55893199260756465</c:v>
                </c:pt>
                <c:pt idx="423">
                  <c:v>0.55952694066455377</c:v>
                </c:pt>
                <c:pt idx="424">
                  <c:v>0.55953822081229865</c:v>
                </c:pt>
                <c:pt idx="425">
                  <c:v>0.55966310924205376</c:v>
                </c:pt>
                <c:pt idx="426">
                  <c:v>0.55987546176246838</c:v>
                </c:pt>
                <c:pt idx="427">
                  <c:v>0.55989103044167843</c:v>
                </c:pt>
                <c:pt idx="428">
                  <c:v>0.55993963352598752</c:v>
                </c:pt>
                <c:pt idx="429">
                  <c:v>0.56045783813405481</c:v>
                </c:pt>
                <c:pt idx="430">
                  <c:v>0.56081200440413315</c:v>
                </c:pt>
                <c:pt idx="431">
                  <c:v>0.56106667712172342</c:v>
                </c:pt>
                <c:pt idx="432">
                  <c:v>0.56126757977453756</c:v>
                </c:pt>
                <c:pt idx="433">
                  <c:v>0.5614930465218293</c:v>
                </c:pt>
                <c:pt idx="434">
                  <c:v>0.56156173473532722</c:v>
                </c:pt>
                <c:pt idx="435">
                  <c:v>0.56156770075293871</c:v>
                </c:pt>
                <c:pt idx="436">
                  <c:v>0.56184502867348796</c:v>
                </c:pt>
                <c:pt idx="437">
                  <c:v>0.56351439145424875</c:v>
                </c:pt>
                <c:pt idx="438">
                  <c:v>0.56354197243736004</c:v>
                </c:pt>
                <c:pt idx="439">
                  <c:v>0.56369724894612094</c:v>
                </c:pt>
                <c:pt idx="440">
                  <c:v>0.56380749286262877</c:v>
                </c:pt>
                <c:pt idx="441">
                  <c:v>0.56398359633035322</c:v>
                </c:pt>
                <c:pt idx="442">
                  <c:v>0.56417294449585353</c:v>
                </c:pt>
                <c:pt idx="443">
                  <c:v>0.56424376249369479</c:v>
                </c:pt>
                <c:pt idx="444">
                  <c:v>0.56438804033143608</c:v>
                </c:pt>
                <c:pt idx="445">
                  <c:v>0.56450647682417576</c:v>
                </c:pt>
                <c:pt idx="446">
                  <c:v>0.56481571734680547</c:v>
                </c:pt>
                <c:pt idx="447">
                  <c:v>0.56501628976619378</c:v>
                </c:pt>
                <c:pt idx="448">
                  <c:v>0.56507202367397635</c:v>
                </c:pt>
                <c:pt idx="449">
                  <c:v>0.56532393043181384</c:v>
                </c:pt>
                <c:pt idx="450">
                  <c:v>0.56536655024688942</c:v>
                </c:pt>
                <c:pt idx="451">
                  <c:v>0.56537301417385644</c:v>
                </c:pt>
                <c:pt idx="452">
                  <c:v>0.56601275287666675</c:v>
                </c:pt>
                <c:pt idx="453">
                  <c:v>0.56616363853693463</c:v>
                </c:pt>
                <c:pt idx="454">
                  <c:v>0.56619183796549255</c:v>
                </c:pt>
                <c:pt idx="455">
                  <c:v>0.56636415306373689</c:v>
                </c:pt>
                <c:pt idx="456">
                  <c:v>0.56650650803335301</c:v>
                </c:pt>
                <c:pt idx="457">
                  <c:v>0.56653115762537776</c:v>
                </c:pt>
                <c:pt idx="458">
                  <c:v>0.56659459459459394</c:v>
                </c:pt>
                <c:pt idx="459">
                  <c:v>0.56670435807398944</c:v>
                </c:pt>
                <c:pt idx="460">
                  <c:v>0.56698096773462292</c:v>
                </c:pt>
                <c:pt idx="461">
                  <c:v>0.56699524055090034</c:v>
                </c:pt>
                <c:pt idx="462">
                  <c:v>0.56714163261896011</c:v>
                </c:pt>
                <c:pt idx="463">
                  <c:v>0.56717617801680364</c:v>
                </c:pt>
                <c:pt idx="464">
                  <c:v>0.56724467859868755</c:v>
                </c:pt>
                <c:pt idx="465">
                  <c:v>0.5677169584417634</c:v>
                </c:pt>
                <c:pt idx="466">
                  <c:v>0.56821174322287871</c:v>
                </c:pt>
                <c:pt idx="467">
                  <c:v>0.5684328495102019</c:v>
                </c:pt>
                <c:pt idx="468">
                  <c:v>0.56854205037924777</c:v>
                </c:pt>
                <c:pt idx="469">
                  <c:v>0.5685718022131514</c:v>
                </c:pt>
                <c:pt idx="470">
                  <c:v>0.5686048565830466</c:v>
                </c:pt>
                <c:pt idx="471">
                  <c:v>0.56913560825544141</c:v>
                </c:pt>
                <c:pt idx="472">
                  <c:v>0.56914962598033048</c:v>
                </c:pt>
                <c:pt idx="473">
                  <c:v>0.56927565000245506</c:v>
                </c:pt>
                <c:pt idx="474">
                  <c:v>0.56940241500670852</c:v>
                </c:pt>
                <c:pt idx="475">
                  <c:v>0.56952025163945708</c:v>
                </c:pt>
                <c:pt idx="476">
                  <c:v>0.56959931959931831</c:v>
                </c:pt>
                <c:pt idx="477">
                  <c:v>0.56974999629855605</c:v>
                </c:pt>
                <c:pt idx="478">
                  <c:v>0.5700204120228759</c:v>
                </c:pt>
                <c:pt idx="479">
                  <c:v>0.57016156021002851</c:v>
                </c:pt>
                <c:pt idx="480">
                  <c:v>0.57031858190298379</c:v>
                </c:pt>
                <c:pt idx="481">
                  <c:v>0.57044056339332405</c:v>
                </c:pt>
                <c:pt idx="482">
                  <c:v>0.57051416056940885</c:v>
                </c:pt>
                <c:pt idx="483">
                  <c:v>0.57075610251768749</c:v>
                </c:pt>
                <c:pt idx="484">
                  <c:v>0.57078246769064289</c:v>
                </c:pt>
                <c:pt idx="485">
                  <c:v>0.57090087140024415</c:v>
                </c:pt>
                <c:pt idx="486">
                  <c:v>0.57090528519099948</c:v>
                </c:pt>
                <c:pt idx="487">
                  <c:v>0.57090651790169866</c:v>
                </c:pt>
                <c:pt idx="488">
                  <c:v>0.57129864049323831</c:v>
                </c:pt>
                <c:pt idx="489">
                  <c:v>0.57145064990237315</c:v>
                </c:pt>
                <c:pt idx="490">
                  <c:v>0.5715851160131491</c:v>
                </c:pt>
                <c:pt idx="491">
                  <c:v>0.57174016737620581</c:v>
                </c:pt>
                <c:pt idx="492">
                  <c:v>0.57175266224621479</c:v>
                </c:pt>
                <c:pt idx="493">
                  <c:v>0.57183238592240515</c:v>
                </c:pt>
                <c:pt idx="494">
                  <c:v>0.57188050719965711</c:v>
                </c:pt>
                <c:pt idx="495">
                  <c:v>0.57189616057856218</c:v>
                </c:pt>
                <c:pt idx="496">
                  <c:v>0.57200153867259906</c:v>
                </c:pt>
                <c:pt idx="497">
                  <c:v>0.57223035662129673</c:v>
                </c:pt>
                <c:pt idx="498">
                  <c:v>0.57224285657401741</c:v>
                </c:pt>
                <c:pt idx="499">
                  <c:v>0.57240088633369268</c:v>
                </c:pt>
                <c:pt idx="500">
                  <c:v>0.57268758277457443</c:v>
                </c:pt>
                <c:pt idx="501">
                  <c:v>0.57312696263400886</c:v>
                </c:pt>
                <c:pt idx="502">
                  <c:v>0.57347242921013519</c:v>
                </c:pt>
                <c:pt idx="503">
                  <c:v>0.57357865208179615</c:v>
                </c:pt>
                <c:pt idx="504">
                  <c:v>0.57363864646074403</c:v>
                </c:pt>
                <c:pt idx="505">
                  <c:v>0.57364133502648418</c:v>
                </c:pt>
                <c:pt idx="506">
                  <c:v>0.57378587428828021</c:v>
                </c:pt>
                <c:pt idx="507">
                  <c:v>0.57380952380952388</c:v>
                </c:pt>
                <c:pt idx="508">
                  <c:v>0.57406037740135207</c:v>
                </c:pt>
                <c:pt idx="509">
                  <c:v>0.57425689146385739</c:v>
                </c:pt>
                <c:pt idx="510">
                  <c:v>0.57440538413491216</c:v>
                </c:pt>
                <c:pt idx="511">
                  <c:v>0.57462647911966425</c:v>
                </c:pt>
                <c:pt idx="512">
                  <c:v>0.57471387367805038</c:v>
                </c:pt>
                <c:pt idx="513">
                  <c:v>0.5747753113795051</c:v>
                </c:pt>
                <c:pt idx="514">
                  <c:v>0.57526087898616163</c:v>
                </c:pt>
                <c:pt idx="515">
                  <c:v>0.57531578366808345</c:v>
                </c:pt>
                <c:pt idx="516">
                  <c:v>0.57571463902227737</c:v>
                </c:pt>
                <c:pt idx="517">
                  <c:v>0.57590256981041532</c:v>
                </c:pt>
                <c:pt idx="518">
                  <c:v>0.57599715980094635</c:v>
                </c:pt>
                <c:pt idx="519">
                  <c:v>0.57620363338665459</c:v>
                </c:pt>
                <c:pt idx="520">
                  <c:v>0.57624656066398461</c:v>
                </c:pt>
                <c:pt idx="521">
                  <c:v>0.57639528053479672</c:v>
                </c:pt>
                <c:pt idx="522">
                  <c:v>0.57645546953991511</c:v>
                </c:pt>
                <c:pt idx="523">
                  <c:v>0.57649457530297088</c:v>
                </c:pt>
                <c:pt idx="524">
                  <c:v>0.57679894710900248</c:v>
                </c:pt>
                <c:pt idx="525">
                  <c:v>0.57707366431111984</c:v>
                </c:pt>
                <c:pt idx="526">
                  <c:v>0.57736192066900649</c:v>
                </c:pt>
                <c:pt idx="527">
                  <c:v>0.57744361387684429</c:v>
                </c:pt>
                <c:pt idx="528">
                  <c:v>0.57746770393053892</c:v>
                </c:pt>
                <c:pt idx="529">
                  <c:v>0.57762636485707997</c:v>
                </c:pt>
                <c:pt idx="530">
                  <c:v>0.57782511394136715</c:v>
                </c:pt>
                <c:pt idx="531">
                  <c:v>0.57788067664741727</c:v>
                </c:pt>
                <c:pt idx="532">
                  <c:v>0.57792090113681216</c:v>
                </c:pt>
                <c:pt idx="533">
                  <c:v>0.57798961603291843</c:v>
                </c:pt>
                <c:pt idx="534">
                  <c:v>0.57806084851036943</c:v>
                </c:pt>
                <c:pt idx="535">
                  <c:v>0.5782911103574282</c:v>
                </c:pt>
                <c:pt idx="536">
                  <c:v>0.578365171801839</c:v>
                </c:pt>
                <c:pt idx="537">
                  <c:v>0.57858364508893267</c:v>
                </c:pt>
                <c:pt idx="538">
                  <c:v>0.57876740694840767</c:v>
                </c:pt>
                <c:pt idx="539">
                  <c:v>0.57878077169911801</c:v>
                </c:pt>
                <c:pt idx="540">
                  <c:v>0.5788687269289956</c:v>
                </c:pt>
                <c:pt idx="541">
                  <c:v>0.57895014330814976</c:v>
                </c:pt>
                <c:pt idx="542">
                  <c:v>0.57903598243377208</c:v>
                </c:pt>
                <c:pt idx="543">
                  <c:v>0.5803021514052763</c:v>
                </c:pt>
                <c:pt idx="544">
                  <c:v>0.58033670167260121</c:v>
                </c:pt>
                <c:pt idx="545">
                  <c:v>0.58038985031859047</c:v>
                </c:pt>
                <c:pt idx="546">
                  <c:v>0.58044419198713804</c:v>
                </c:pt>
                <c:pt idx="547">
                  <c:v>0.58059232473112565</c:v>
                </c:pt>
                <c:pt idx="548">
                  <c:v>0.58060710609904742</c:v>
                </c:pt>
                <c:pt idx="549">
                  <c:v>0.58079765934281169</c:v>
                </c:pt>
                <c:pt idx="550">
                  <c:v>0.58131907077779676</c:v>
                </c:pt>
                <c:pt idx="551">
                  <c:v>0.58166567763184507</c:v>
                </c:pt>
                <c:pt idx="552">
                  <c:v>0.58177627011291333</c:v>
                </c:pt>
                <c:pt idx="553">
                  <c:v>0.58184506695144989</c:v>
                </c:pt>
                <c:pt idx="554">
                  <c:v>0.58197753496750027</c:v>
                </c:pt>
                <c:pt idx="555">
                  <c:v>0.58207179502134565</c:v>
                </c:pt>
                <c:pt idx="556">
                  <c:v>0.58207436685697589</c:v>
                </c:pt>
                <c:pt idx="557">
                  <c:v>0.58210076642794317</c:v>
                </c:pt>
                <c:pt idx="558">
                  <c:v>0.58214416093127552</c:v>
                </c:pt>
                <c:pt idx="559">
                  <c:v>0.5823931495418011</c:v>
                </c:pt>
                <c:pt idx="560">
                  <c:v>0.58267320502219344</c:v>
                </c:pt>
                <c:pt idx="561">
                  <c:v>0.58270471967456328</c:v>
                </c:pt>
                <c:pt idx="562">
                  <c:v>0.58281536452206695</c:v>
                </c:pt>
                <c:pt idx="563">
                  <c:v>0.58300249514642855</c:v>
                </c:pt>
                <c:pt idx="564">
                  <c:v>0.58311365633790957</c:v>
                </c:pt>
                <c:pt idx="565">
                  <c:v>0.58343299090338763</c:v>
                </c:pt>
                <c:pt idx="566">
                  <c:v>0.58357059973639314</c:v>
                </c:pt>
                <c:pt idx="567">
                  <c:v>0.58363273145975469</c:v>
                </c:pt>
                <c:pt idx="568">
                  <c:v>0.58380971519817726</c:v>
                </c:pt>
                <c:pt idx="569">
                  <c:v>0.58426157356718411</c:v>
                </c:pt>
                <c:pt idx="570">
                  <c:v>0.58428071231227818</c:v>
                </c:pt>
                <c:pt idx="571">
                  <c:v>0.58429350958994197</c:v>
                </c:pt>
                <c:pt idx="572">
                  <c:v>0.58437284100708076</c:v>
                </c:pt>
                <c:pt idx="573">
                  <c:v>0.5845623133713489</c:v>
                </c:pt>
                <c:pt idx="574">
                  <c:v>0.58460543818889565</c:v>
                </c:pt>
                <c:pt idx="575">
                  <c:v>0.58464725218694558</c:v>
                </c:pt>
                <c:pt idx="576">
                  <c:v>0.58486658300121463</c:v>
                </c:pt>
                <c:pt idx="577">
                  <c:v>0.58527131782945807</c:v>
                </c:pt>
                <c:pt idx="578">
                  <c:v>0.58532340739198641</c:v>
                </c:pt>
                <c:pt idx="579">
                  <c:v>0.58542938542938483</c:v>
                </c:pt>
                <c:pt idx="580">
                  <c:v>0.58543861636645211</c:v>
                </c:pt>
                <c:pt idx="581">
                  <c:v>0.58549537425423892</c:v>
                </c:pt>
                <c:pt idx="582">
                  <c:v>0.58552842098568958</c:v>
                </c:pt>
                <c:pt idx="583">
                  <c:v>0.5856241104289307</c:v>
                </c:pt>
                <c:pt idx="584">
                  <c:v>0.5862004147045714</c:v>
                </c:pt>
                <c:pt idx="585">
                  <c:v>0.5862352689310365</c:v>
                </c:pt>
                <c:pt idx="586">
                  <c:v>0.58660702445524848</c:v>
                </c:pt>
                <c:pt idx="587">
                  <c:v>0.58672085362096704</c:v>
                </c:pt>
                <c:pt idx="588">
                  <c:v>0.58682245925631171</c:v>
                </c:pt>
                <c:pt idx="589">
                  <c:v>0.58696639832959652</c:v>
                </c:pt>
                <c:pt idx="590">
                  <c:v>0.58710515775976535</c:v>
                </c:pt>
                <c:pt idx="591">
                  <c:v>0.58721131074804667</c:v>
                </c:pt>
                <c:pt idx="592">
                  <c:v>0.58723545886042672</c:v>
                </c:pt>
                <c:pt idx="593">
                  <c:v>0.58739091705166468</c:v>
                </c:pt>
                <c:pt idx="594">
                  <c:v>0.58761371639786975</c:v>
                </c:pt>
                <c:pt idx="595">
                  <c:v>0.58794425451555388</c:v>
                </c:pt>
                <c:pt idx="596">
                  <c:v>0.58797498229879597</c:v>
                </c:pt>
                <c:pt idx="597">
                  <c:v>0.58832900348826189</c:v>
                </c:pt>
                <c:pt idx="598">
                  <c:v>0.58842612871137223</c:v>
                </c:pt>
                <c:pt idx="599">
                  <c:v>0.58914774443315709</c:v>
                </c:pt>
                <c:pt idx="600">
                  <c:v>0.58958394892712662</c:v>
                </c:pt>
                <c:pt idx="601">
                  <c:v>0.5896889430411506</c:v>
                </c:pt>
                <c:pt idx="602">
                  <c:v>0.58969597896195758</c:v>
                </c:pt>
                <c:pt idx="603">
                  <c:v>0.58985849787734157</c:v>
                </c:pt>
                <c:pt idx="604">
                  <c:v>0.59002274889192974</c:v>
                </c:pt>
                <c:pt idx="605">
                  <c:v>0.59014943389943353</c:v>
                </c:pt>
                <c:pt idx="606">
                  <c:v>0.59021299067065658</c:v>
                </c:pt>
                <c:pt idx="607">
                  <c:v>0.59029130937249985</c:v>
                </c:pt>
                <c:pt idx="608">
                  <c:v>0.59036563207636794</c:v>
                </c:pt>
                <c:pt idx="609">
                  <c:v>0.59048492474769232</c:v>
                </c:pt>
                <c:pt idx="610">
                  <c:v>0.59060418559375938</c:v>
                </c:pt>
                <c:pt idx="611">
                  <c:v>0.5909072548032247</c:v>
                </c:pt>
                <c:pt idx="612">
                  <c:v>0.59117027893982477</c:v>
                </c:pt>
                <c:pt idx="613">
                  <c:v>0.59143721628114532</c:v>
                </c:pt>
                <c:pt idx="614">
                  <c:v>0.59148301775807988</c:v>
                </c:pt>
                <c:pt idx="615">
                  <c:v>0.59163878230629929</c:v>
                </c:pt>
                <c:pt idx="616">
                  <c:v>0.59164472046434258</c:v>
                </c:pt>
                <c:pt idx="617">
                  <c:v>0.59184692134254535</c:v>
                </c:pt>
                <c:pt idx="618">
                  <c:v>0.59192411698158154</c:v>
                </c:pt>
                <c:pt idx="619">
                  <c:v>0.59199498504497738</c:v>
                </c:pt>
                <c:pt idx="620">
                  <c:v>0.59201086424586458</c:v>
                </c:pt>
                <c:pt idx="621">
                  <c:v>0.59205592564228104</c:v>
                </c:pt>
                <c:pt idx="622">
                  <c:v>0.59214064329933336</c:v>
                </c:pt>
                <c:pt idx="623">
                  <c:v>0.59234854551433802</c:v>
                </c:pt>
                <c:pt idx="624">
                  <c:v>0.59248838409912297</c:v>
                </c:pt>
                <c:pt idx="625">
                  <c:v>0.59250438903416724</c:v>
                </c:pt>
                <c:pt idx="626">
                  <c:v>0.59262234810316261</c:v>
                </c:pt>
                <c:pt idx="627">
                  <c:v>0.59268133524090538</c:v>
                </c:pt>
                <c:pt idx="628">
                  <c:v>0.59288410032391148</c:v>
                </c:pt>
                <c:pt idx="629">
                  <c:v>0.59332258149281891</c:v>
                </c:pt>
                <c:pt idx="630">
                  <c:v>0.59332545901991529</c:v>
                </c:pt>
                <c:pt idx="631">
                  <c:v>0.59350402819336523</c:v>
                </c:pt>
                <c:pt idx="632">
                  <c:v>0.59350418970878827</c:v>
                </c:pt>
                <c:pt idx="633">
                  <c:v>0.59362843643450069</c:v>
                </c:pt>
                <c:pt idx="634">
                  <c:v>0.59372416663575889</c:v>
                </c:pt>
                <c:pt idx="635">
                  <c:v>0.59385243324313775</c:v>
                </c:pt>
                <c:pt idx="636">
                  <c:v>0.59401042681626726</c:v>
                </c:pt>
                <c:pt idx="637">
                  <c:v>0.59414369103398679</c:v>
                </c:pt>
                <c:pt idx="638">
                  <c:v>0.5942787474534803</c:v>
                </c:pt>
                <c:pt idx="639">
                  <c:v>0.59446937967366675</c:v>
                </c:pt>
                <c:pt idx="640">
                  <c:v>0.59457361263907627</c:v>
                </c:pt>
                <c:pt idx="641">
                  <c:v>0.59459618181400375</c:v>
                </c:pt>
                <c:pt idx="642">
                  <c:v>0.59513620051983163</c:v>
                </c:pt>
                <c:pt idx="643">
                  <c:v>0.59543467302439756</c:v>
                </c:pt>
                <c:pt idx="644">
                  <c:v>0.59565442494957832</c:v>
                </c:pt>
                <c:pt idx="645">
                  <c:v>0.59576315177117101</c:v>
                </c:pt>
                <c:pt idx="646">
                  <c:v>0.59600767376232766</c:v>
                </c:pt>
                <c:pt idx="647">
                  <c:v>0.59608203550708649</c:v>
                </c:pt>
                <c:pt idx="648">
                  <c:v>0.59643440979611984</c:v>
                </c:pt>
                <c:pt idx="649">
                  <c:v>0.59644357376306778</c:v>
                </c:pt>
                <c:pt idx="650">
                  <c:v>0.59655693144065203</c:v>
                </c:pt>
                <c:pt idx="651">
                  <c:v>0.59676630438628686</c:v>
                </c:pt>
                <c:pt idx="652">
                  <c:v>0.59713712567166966</c:v>
                </c:pt>
                <c:pt idx="653">
                  <c:v>0.59717487860214369</c:v>
                </c:pt>
                <c:pt idx="654">
                  <c:v>0.59755739054868717</c:v>
                </c:pt>
                <c:pt idx="655">
                  <c:v>0.59771033013844466</c:v>
                </c:pt>
                <c:pt idx="656">
                  <c:v>0.59779354665217821</c:v>
                </c:pt>
                <c:pt idx="657">
                  <c:v>0.59786101891365107</c:v>
                </c:pt>
                <c:pt idx="658">
                  <c:v>0.59802415808739673</c:v>
                </c:pt>
                <c:pt idx="659">
                  <c:v>0.59814529818463791</c:v>
                </c:pt>
                <c:pt idx="660">
                  <c:v>0.59820641765801619</c:v>
                </c:pt>
                <c:pt idx="661">
                  <c:v>0.59824059739550106</c:v>
                </c:pt>
                <c:pt idx="662">
                  <c:v>0.59830096670569355</c:v>
                </c:pt>
                <c:pt idx="663">
                  <c:v>0.59840425531914865</c:v>
                </c:pt>
                <c:pt idx="664">
                  <c:v>0.59872598602713811</c:v>
                </c:pt>
                <c:pt idx="665">
                  <c:v>0.59874745513624272</c:v>
                </c:pt>
                <c:pt idx="666">
                  <c:v>0.59878168763897199</c:v>
                </c:pt>
                <c:pt idx="667">
                  <c:v>0.59917604089254972</c:v>
                </c:pt>
                <c:pt idx="668">
                  <c:v>0.5991956520680296</c:v>
                </c:pt>
                <c:pt idx="669">
                  <c:v>0.59926738798419621</c:v>
                </c:pt>
                <c:pt idx="670">
                  <c:v>0.59943112354055794</c:v>
                </c:pt>
                <c:pt idx="671">
                  <c:v>0.59953078623729772</c:v>
                </c:pt>
                <c:pt idx="672">
                  <c:v>0.59966581764559423</c:v>
                </c:pt>
                <c:pt idx="673">
                  <c:v>0.59970496566192855</c:v>
                </c:pt>
                <c:pt idx="674">
                  <c:v>0.600429082268783</c:v>
                </c:pt>
                <c:pt idx="675">
                  <c:v>0.60114228420146554</c:v>
                </c:pt>
                <c:pt idx="676">
                  <c:v>0.60144765984729354</c:v>
                </c:pt>
                <c:pt idx="677">
                  <c:v>0.60147950256217875</c:v>
                </c:pt>
                <c:pt idx="678">
                  <c:v>0.60156224237759548</c:v>
                </c:pt>
                <c:pt idx="679">
                  <c:v>0.60179153600846214</c:v>
                </c:pt>
                <c:pt idx="680">
                  <c:v>0.60192713038241397</c:v>
                </c:pt>
                <c:pt idx="681">
                  <c:v>0.60196158008658018</c:v>
                </c:pt>
                <c:pt idx="682">
                  <c:v>0.60206289462657714</c:v>
                </c:pt>
                <c:pt idx="683">
                  <c:v>0.60209265608505202</c:v>
                </c:pt>
                <c:pt idx="684">
                  <c:v>0.60249686340049569</c:v>
                </c:pt>
                <c:pt idx="685">
                  <c:v>0.60254391652002126</c:v>
                </c:pt>
                <c:pt idx="686">
                  <c:v>0.60268755619471104</c:v>
                </c:pt>
                <c:pt idx="687">
                  <c:v>0.60304004426416691</c:v>
                </c:pt>
                <c:pt idx="688">
                  <c:v>0.60310023193659434</c:v>
                </c:pt>
                <c:pt idx="689">
                  <c:v>0.60372284698666856</c:v>
                </c:pt>
                <c:pt idx="690">
                  <c:v>0.6040203079508093</c:v>
                </c:pt>
                <c:pt idx="691">
                  <c:v>0.60410962941027258</c:v>
                </c:pt>
                <c:pt idx="692">
                  <c:v>0.60411142676767715</c:v>
                </c:pt>
                <c:pt idx="693">
                  <c:v>0.60420713332214171</c:v>
                </c:pt>
                <c:pt idx="694">
                  <c:v>0.60434784324117774</c:v>
                </c:pt>
                <c:pt idx="695">
                  <c:v>0.60450439306006865</c:v>
                </c:pt>
                <c:pt idx="696">
                  <c:v>0.6046163462054609</c:v>
                </c:pt>
                <c:pt idx="697">
                  <c:v>0.6049107142857143</c:v>
                </c:pt>
                <c:pt idx="698">
                  <c:v>0.60502524970657612</c:v>
                </c:pt>
                <c:pt idx="699">
                  <c:v>0.60507721642932089</c:v>
                </c:pt>
                <c:pt idx="700">
                  <c:v>0.60534313929926864</c:v>
                </c:pt>
                <c:pt idx="701">
                  <c:v>0.60550903307431492</c:v>
                </c:pt>
                <c:pt idx="702">
                  <c:v>0.60560986105891135</c:v>
                </c:pt>
                <c:pt idx="703">
                  <c:v>0.60567646056470748</c:v>
                </c:pt>
                <c:pt idx="704">
                  <c:v>0.60568668916624713</c:v>
                </c:pt>
                <c:pt idx="705">
                  <c:v>0.60593230419946498</c:v>
                </c:pt>
                <c:pt idx="706">
                  <c:v>0.60603898899206665</c:v>
                </c:pt>
                <c:pt idx="707">
                  <c:v>0.60616315111271102</c:v>
                </c:pt>
                <c:pt idx="708">
                  <c:v>0.60617580514860459</c:v>
                </c:pt>
                <c:pt idx="709">
                  <c:v>0.60622799787885251</c:v>
                </c:pt>
                <c:pt idx="710">
                  <c:v>0.60624055669594257</c:v>
                </c:pt>
                <c:pt idx="711">
                  <c:v>0.60679862495191994</c:v>
                </c:pt>
                <c:pt idx="712">
                  <c:v>0.60683126782230024</c:v>
                </c:pt>
                <c:pt idx="713">
                  <c:v>0.60717519719305713</c:v>
                </c:pt>
                <c:pt idx="714">
                  <c:v>0.60726695228587058</c:v>
                </c:pt>
                <c:pt idx="715">
                  <c:v>0.60748059706299196</c:v>
                </c:pt>
                <c:pt idx="716">
                  <c:v>0.60753300802146692</c:v>
                </c:pt>
                <c:pt idx="717">
                  <c:v>0.60755495850999786</c:v>
                </c:pt>
                <c:pt idx="718">
                  <c:v>0.60777127852621693</c:v>
                </c:pt>
                <c:pt idx="719">
                  <c:v>0.60778138321562647</c:v>
                </c:pt>
                <c:pt idx="720">
                  <c:v>0.6077821207218439</c:v>
                </c:pt>
                <c:pt idx="721">
                  <c:v>0.60779177778010296</c:v>
                </c:pt>
                <c:pt idx="722">
                  <c:v>0.60786760617399127</c:v>
                </c:pt>
                <c:pt idx="723">
                  <c:v>0.60794439828476998</c:v>
                </c:pt>
                <c:pt idx="724">
                  <c:v>0.60804459509639497</c:v>
                </c:pt>
                <c:pt idx="725">
                  <c:v>0.60811583158696869</c:v>
                </c:pt>
                <c:pt idx="726">
                  <c:v>0.60825308659535826</c:v>
                </c:pt>
                <c:pt idx="727">
                  <c:v>0.6085062996837578</c:v>
                </c:pt>
                <c:pt idx="728">
                  <c:v>0.60860079411698487</c:v>
                </c:pt>
                <c:pt idx="729">
                  <c:v>0.60892089066324495</c:v>
                </c:pt>
                <c:pt idx="730">
                  <c:v>0.60897936089240234</c:v>
                </c:pt>
                <c:pt idx="731">
                  <c:v>0.6089985358039206</c:v>
                </c:pt>
                <c:pt idx="732">
                  <c:v>0.60917842264340605</c:v>
                </c:pt>
                <c:pt idx="733">
                  <c:v>0.60920837366755665</c:v>
                </c:pt>
                <c:pt idx="734">
                  <c:v>0.60952371621736168</c:v>
                </c:pt>
                <c:pt idx="735">
                  <c:v>0.60964302528188963</c:v>
                </c:pt>
                <c:pt idx="736">
                  <c:v>0.60964659446962555</c:v>
                </c:pt>
                <c:pt idx="737">
                  <c:v>0.60966637815721147</c:v>
                </c:pt>
                <c:pt idx="738">
                  <c:v>0.60973804362638906</c:v>
                </c:pt>
                <c:pt idx="739">
                  <c:v>0.60991806815680505</c:v>
                </c:pt>
                <c:pt idx="740">
                  <c:v>0.60991919128327043</c:v>
                </c:pt>
                <c:pt idx="741">
                  <c:v>0.60994280311705329</c:v>
                </c:pt>
                <c:pt idx="742">
                  <c:v>0.60995110266879626</c:v>
                </c:pt>
                <c:pt idx="743">
                  <c:v>0.61007078488456246</c:v>
                </c:pt>
                <c:pt idx="744">
                  <c:v>0.6101012319915059</c:v>
                </c:pt>
                <c:pt idx="745">
                  <c:v>0.61017754146783809</c:v>
                </c:pt>
                <c:pt idx="746">
                  <c:v>0.61047585290850526</c:v>
                </c:pt>
                <c:pt idx="747">
                  <c:v>0.61051352117326463</c:v>
                </c:pt>
                <c:pt idx="748">
                  <c:v>0.61058924492797051</c:v>
                </c:pt>
                <c:pt idx="749">
                  <c:v>0.61069223229898562</c:v>
                </c:pt>
                <c:pt idx="750">
                  <c:v>0.6107086437605741</c:v>
                </c:pt>
                <c:pt idx="751">
                  <c:v>0.6109229865022896</c:v>
                </c:pt>
                <c:pt idx="752">
                  <c:v>0.61103069371264662</c:v>
                </c:pt>
                <c:pt idx="753">
                  <c:v>0.61107438435332673</c:v>
                </c:pt>
                <c:pt idx="754">
                  <c:v>0.61122993581305218</c:v>
                </c:pt>
                <c:pt idx="755">
                  <c:v>0.61126913422358053</c:v>
                </c:pt>
                <c:pt idx="756">
                  <c:v>0.61143743067459855</c:v>
                </c:pt>
                <c:pt idx="757">
                  <c:v>0.61158219463144814</c:v>
                </c:pt>
                <c:pt idx="758">
                  <c:v>0.61167174160705517</c:v>
                </c:pt>
                <c:pt idx="759">
                  <c:v>0.61169007109918283</c:v>
                </c:pt>
                <c:pt idx="760">
                  <c:v>0.61170590368224242</c:v>
                </c:pt>
                <c:pt idx="761">
                  <c:v>0.61174692680456932</c:v>
                </c:pt>
                <c:pt idx="762">
                  <c:v>0.61180122036121787</c:v>
                </c:pt>
                <c:pt idx="763">
                  <c:v>0.61180692351153654</c:v>
                </c:pt>
                <c:pt idx="764">
                  <c:v>0.61192341202413914</c:v>
                </c:pt>
                <c:pt idx="765">
                  <c:v>0.6120317823197976</c:v>
                </c:pt>
                <c:pt idx="766">
                  <c:v>0.61211629562693393</c:v>
                </c:pt>
                <c:pt idx="767">
                  <c:v>0.61218517745808843</c:v>
                </c:pt>
                <c:pt idx="768">
                  <c:v>0.61225503814948123</c:v>
                </c:pt>
                <c:pt idx="769">
                  <c:v>0.61261143639660953</c:v>
                </c:pt>
                <c:pt idx="770">
                  <c:v>0.61265019130512666</c:v>
                </c:pt>
                <c:pt idx="771">
                  <c:v>0.61272565404414403</c:v>
                </c:pt>
                <c:pt idx="772">
                  <c:v>0.61292136383539009</c:v>
                </c:pt>
                <c:pt idx="773">
                  <c:v>0.61294609320467508</c:v>
                </c:pt>
                <c:pt idx="774">
                  <c:v>0.61299620274808464</c:v>
                </c:pt>
                <c:pt idx="775">
                  <c:v>0.61307033365122077</c:v>
                </c:pt>
                <c:pt idx="776">
                  <c:v>0.61321415158200787</c:v>
                </c:pt>
                <c:pt idx="777">
                  <c:v>0.61339336314064907</c:v>
                </c:pt>
                <c:pt idx="778">
                  <c:v>0.61342838837413893</c:v>
                </c:pt>
                <c:pt idx="779">
                  <c:v>0.6134528120890731</c:v>
                </c:pt>
                <c:pt idx="780">
                  <c:v>0.61352769044061195</c:v>
                </c:pt>
                <c:pt idx="781">
                  <c:v>0.61354461882874023</c:v>
                </c:pt>
                <c:pt idx="782">
                  <c:v>0.61361993651793589</c:v>
                </c:pt>
                <c:pt idx="783">
                  <c:v>0.61371066057457635</c:v>
                </c:pt>
                <c:pt idx="784">
                  <c:v>0.61383784712773759</c:v>
                </c:pt>
                <c:pt idx="785">
                  <c:v>0.61390770562068198</c:v>
                </c:pt>
                <c:pt idx="786">
                  <c:v>0.61396433776187176</c:v>
                </c:pt>
                <c:pt idx="787">
                  <c:v>0.61411282372746023</c:v>
                </c:pt>
                <c:pt idx="788">
                  <c:v>0.61439160068997922</c:v>
                </c:pt>
                <c:pt idx="789">
                  <c:v>0.6144993391150162</c:v>
                </c:pt>
                <c:pt idx="790">
                  <c:v>0.61460005047293254</c:v>
                </c:pt>
                <c:pt idx="791">
                  <c:v>0.61475201302583593</c:v>
                </c:pt>
                <c:pt idx="792">
                  <c:v>0.61487170905988064</c:v>
                </c:pt>
                <c:pt idx="793">
                  <c:v>0.61487774945718843</c:v>
                </c:pt>
                <c:pt idx="794">
                  <c:v>0.61492880508769576</c:v>
                </c:pt>
                <c:pt idx="795">
                  <c:v>0.61502743891860634</c:v>
                </c:pt>
                <c:pt idx="796">
                  <c:v>0.61508683431210087</c:v>
                </c:pt>
                <c:pt idx="797">
                  <c:v>0.61513558225616949</c:v>
                </c:pt>
                <c:pt idx="798">
                  <c:v>0.61523146897787728</c:v>
                </c:pt>
                <c:pt idx="799">
                  <c:v>0.61531818416095807</c:v>
                </c:pt>
                <c:pt idx="800">
                  <c:v>0.61538571326625291</c:v>
                </c:pt>
                <c:pt idx="801">
                  <c:v>0.61539693734584333</c:v>
                </c:pt>
                <c:pt idx="802">
                  <c:v>0.61543921403634982</c:v>
                </c:pt>
                <c:pt idx="803">
                  <c:v>0.61556575064700314</c:v>
                </c:pt>
                <c:pt idx="804">
                  <c:v>0.61561995325649699</c:v>
                </c:pt>
                <c:pt idx="805">
                  <c:v>0.61562869918145313</c:v>
                </c:pt>
                <c:pt idx="806">
                  <c:v>0.61587019672180554</c:v>
                </c:pt>
                <c:pt idx="807">
                  <c:v>0.61590398290409298</c:v>
                </c:pt>
                <c:pt idx="808">
                  <c:v>0.61596407728483193</c:v>
                </c:pt>
                <c:pt idx="809">
                  <c:v>0.61608964601483218</c:v>
                </c:pt>
                <c:pt idx="810">
                  <c:v>0.6161251688135323</c:v>
                </c:pt>
                <c:pt idx="811">
                  <c:v>0.61647092323060637</c:v>
                </c:pt>
                <c:pt idx="812">
                  <c:v>0.61651762663824894</c:v>
                </c:pt>
                <c:pt idx="813">
                  <c:v>0.6165373173938008</c:v>
                </c:pt>
                <c:pt idx="814">
                  <c:v>0.61666271731953481</c:v>
                </c:pt>
                <c:pt idx="815">
                  <c:v>0.61687413712671979</c:v>
                </c:pt>
                <c:pt idx="816">
                  <c:v>0.61720182414836144</c:v>
                </c:pt>
                <c:pt idx="817">
                  <c:v>0.61721869836248477</c:v>
                </c:pt>
                <c:pt idx="818">
                  <c:v>0.61731627091262309</c:v>
                </c:pt>
                <c:pt idx="819">
                  <c:v>0.61751543821199495</c:v>
                </c:pt>
                <c:pt idx="820">
                  <c:v>0.61759883605626897</c:v>
                </c:pt>
                <c:pt idx="821">
                  <c:v>0.61766443550124805</c:v>
                </c:pt>
                <c:pt idx="822">
                  <c:v>0.61790795341898253</c:v>
                </c:pt>
                <c:pt idx="823">
                  <c:v>0.61793714426527035</c:v>
                </c:pt>
                <c:pt idx="824">
                  <c:v>0.61803740321911194</c:v>
                </c:pt>
                <c:pt idx="825">
                  <c:v>0.61816637355445159</c:v>
                </c:pt>
                <c:pt idx="826">
                  <c:v>0.61824148715915506</c:v>
                </c:pt>
                <c:pt idx="827">
                  <c:v>0.61833436440834877</c:v>
                </c:pt>
                <c:pt idx="828">
                  <c:v>0.61841880317406761</c:v>
                </c:pt>
                <c:pt idx="829">
                  <c:v>0.61846455213715634</c:v>
                </c:pt>
                <c:pt idx="830">
                  <c:v>0.61852648913766861</c:v>
                </c:pt>
                <c:pt idx="831">
                  <c:v>0.61857309771982427</c:v>
                </c:pt>
                <c:pt idx="832">
                  <c:v>0.61861493554357638</c:v>
                </c:pt>
                <c:pt idx="833">
                  <c:v>0.61876168335849002</c:v>
                </c:pt>
                <c:pt idx="834">
                  <c:v>0.61890433005906642</c:v>
                </c:pt>
                <c:pt idx="835">
                  <c:v>0.61914379456860691</c:v>
                </c:pt>
                <c:pt idx="836">
                  <c:v>0.61920083481890531</c:v>
                </c:pt>
                <c:pt idx="837">
                  <c:v>0.61922973943021131</c:v>
                </c:pt>
                <c:pt idx="838">
                  <c:v>0.61934450121950679</c:v>
                </c:pt>
                <c:pt idx="839">
                  <c:v>0.61941725010233617</c:v>
                </c:pt>
                <c:pt idx="840">
                  <c:v>0.61942545826460516</c:v>
                </c:pt>
                <c:pt idx="841">
                  <c:v>0.61954302382109827</c:v>
                </c:pt>
                <c:pt idx="842">
                  <c:v>0.61959773635524262</c:v>
                </c:pt>
                <c:pt idx="843">
                  <c:v>0.61960855641943058</c:v>
                </c:pt>
                <c:pt idx="844">
                  <c:v>0.61978168309415282</c:v>
                </c:pt>
                <c:pt idx="845">
                  <c:v>0.61982371923802437</c:v>
                </c:pt>
                <c:pt idx="846">
                  <c:v>0.62000345767036469</c:v>
                </c:pt>
                <c:pt idx="847">
                  <c:v>0.62000650882759667</c:v>
                </c:pt>
                <c:pt idx="848">
                  <c:v>0.62001673081691377</c:v>
                </c:pt>
                <c:pt idx="849">
                  <c:v>0.62032479296269738</c:v>
                </c:pt>
                <c:pt idx="850">
                  <c:v>0.62036689394724154</c:v>
                </c:pt>
                <c:pt idx="851">
                  <c:v>0.62039510345192039</c:v>
                </c:pt>
                <c:pt idx="852">
                  <c:v>0.62061544879029307</c:v>
                </c:pt>
                <c:pt idx="853">
                  <c:v>0.62074573381710485</c:v>
                </c:pt>
                <c:pt idx="854">
                  <c:v>0.62076215158406955</c:v>
                </c:pt>
                <c:pt idx="855">
                  <c:v>0.620764673078953</c:v>
                </c:pt>
                <c:pt idx="856">
                  <c:v>0.6210457423851129</c:v>
                </c:pt>
                <c:pt idx="857">
                  <c:v>0.62131701655433658</c:v>
                </c:pt>
                <c:pt idx="858">
                  <c:v>0.62133010628222674</c:v>
                </c:pt>
                <c:pt idx="859">
                  <c:v>0.6213933341055129</c:v>
                </c:pt>
                <c:pt idx="860">
                  <c:v>0.62140844861114553</c:v>
                </c:pt>
                <c:pt idx="861">
                  <c:v>0.62144468565104505</c:v>
                </c:pt>
                <c:pt idx="862">
                  <c:v>0.62183160236871082</c:v>
                </c:pt>
                <c:pt idx="863">
                  <c:v>0.62209164853306009</c:v>
                </c:pt>
                <c:pt idx="864">
                  <c:v>0.62218625751284606</c:v>
                </c:pt>
                <c:pt idx="865">
                  <c:v>0.62219207870176241</c:v>
                </c:pt>
                <c:pt idx="866">
                  <c:v>0.62221524496206615</c:v>
                </c:pt>
                <c:pt idx="867">
                  <c:v>0.62222970264978006</c:v>
                </c:pt>
                <c:pt idx="868">
                  <c:v>0.62226553051780931</c:v>
                </c:pt>
                <c:pt idx="869">
                  <c:v>0.62231679696236886</c:v>
                </c:pt>
                <c:pt idx="870">
                  <c:v>0.62236769315876816</c:v>
                </c:pt>
                <c:pt idx="871">
                  <c:v>0.62243360893628219</c:v>
                </c:pt>
                <c:pt idx="872">
                  <c:v>0.62244943700755551</c:v>
                </c:pt>
                <c:pt idx="873">
                  <c:v>0.62258462378858193</c:v>
                </c:pt>
                <c:pt idx="874">
                  <c:v>0.62266029698692493</c:v>
                </c:pt>
                <c:pt idx="875">
                  <c:v>0.62268373722567694</c:v>
                </c:pt>
                <c:pt idx="876">
                  <c:v>0.62269810666855141</c:v>
                </c:pt>
                <c:pt idx="877">
                  <c:v>0.62271386076380264</c:v>
                </c:pt>
                <c:pt idx="878">
                  <c:v>0.6227201476397205</c:v>
                </c:pt>
                <c:pt idx="879">
                  <c:v>0.62293734899435105</c:v>
                </c:pt>
                <c:pt idx="880">
                  <c:v>0.62294373680970028</c:v>
                </c:pt>
                <c:pt idx="881">
                  <c:v>0.62300311911736783</c:v>
                </c:pt>
                <c:pt idx="882">
                  <c:v>0.62304872023783742</c:v>
                </c:pt>
                <c:pt idx="883">
                  <c:v>0.62325966603927896</c:v>
                </c:pt>
                <c:pt idx="884">
                  <c:v>0.62351287338843331</c:v>
                </c:pt>
                <c:pt idx="885">
                  <c:v>0.62351781714884069</c:v>
                </c:pt>
                <c:pt idx="886">
                  <c:v>0.62367062179467592</c:v>
                </c:pt>
                <c:pt idx="887">
                  <c:v>0.62385396108234215</c:v>
                </c:pt>
                <c:pt idx="888">
                  <c:v>0.6240095512293371</c:v>
                </c:pt>
                <c:pt idx="889">
                  <c:v>0.62416488893841249</c:v>
                </c:pt>
                <c:pt idx="890">
                  <c:v>0.62431388948470534</c:v>
                </c:pt>
                <c:pt idx="891">
                  <c:v>0.62432483837538144</c:v>
                </c:pt>
                <c:pt idx="892">
                  <c:v>0.62452318326039913</c:v>
                </c:pt>
                <c:pt idx="893">
                  <c:v>0.62463676828756187</c:v>
                </c:pt>
                <c:pt idx="894">
                  <c:v>0.62482959923043968</c:v>
                </c:pt>
                <c:pt idx="895">
                  <c:v>0.62483940430305995</c:v>
                </c:pt>
                <c:pt idx="896">
                  <c:v>0.62489696938146888</c:v>
                </c:pt>
                <c:pt idx="897">
                  <c:v>0.6249830287048177</c:v>
                </c:pt>
                <c:pt idx="898">
                  <c:v>0.62498610519295184</c:v>
                </c:pt>
                <c:pt idx="899">
                  <c:v>0.62508465069901697</c:v>
                </c:pt>
                <c:pt idx="900">
                  <c:v>0.62510307063945447</c:v>
                </c:pt>
                <c:pt idx="901">
                  <c:v>0.62511822573408649</c:v>
                </c:pt>
                <c:pt idx="902">
                  <c:v>0.62520682024573559</c:v>
                </c:pt>
                <c:pt idx="903">
                  <c:v>0.62524073795668822</c:v>
                </c:pt>
                <c:pt idx="904">
                  <c:v>0.62534217156730121</c:v>
                </c:pt>
                <c:pt idx="905">
                  <c:v>0.62562816129444576</c:v>
                </c:pt>
                <c:pt idx="906">
                  <c:v>0.62583684895726011</c:v>
                </c:pt>
                <c:pt idx="907">
                  <c:v>0.62591024803630924</c:v>
                </c:pt>
                <c:pt idx="908">
                  <c:v>0.62598335029668395</c:v>
                </c:pt>
                <c:pt idx="909">
                  <c:v>0.62605819331420887</c:v>
                </c:pt>
                <c:pt idx="910">
                  <c:v>0.62606392531551902</c:v>
                </c:pt>
                <c:pt idx="911">
                  <c:v>0.62616319752686789</c:v>
                </c:pt>
                <c:pt idx="912">
                  <c:v>0.62628229728104301</c:v>
                </c:pt>
                <c:pt idx="913">
                  <c:v>0.62629743032447127</c:v>
                </c:pt>
                <c:pt idx="914">
                  <c:v>0.62642197596454907</c:v>
                </c:pt>
                <c:pt idx="915">
                  <c:v>0.62645116475393758</c:v>
                </c:pt>
                <c:pt idx="916">
                  <c:v>0.62661156642594629</c:v>
                </c:pt>
                <c:pt idx="917">
                  <c:v>0.62671232876712302</c:v>
                </c:pt>
                <c:pt idx="918">
                  <c:v>0.62671733713497657</c:v>
                </c:pt>
                <c:pt idx="919">
                  <c:v>0.6268058858877058</c:v>
                </c:pt>
                <c:pt idx="920">
                  <c:v>0.62704590494476098</c:v>
                </c:pt>
                <c:pt idx="921">
                  <c:v>0.62727425389206137</c:v>
                </c:pt>
                <c:pt idx="922">
                  <c:v>0.62729806862680038</c:v>
                </c:pt>
                <c:pt idx="923">
                  <c:v>0.62734798915572343</c:v>
                </c:pt>
                <c:pt idx="924">
                  <c:v>0.62747880834300584</c:v>
                </c:pt>
                <c:pt idx="925">
                  <c:v>0.62748284554754996</c:v>
                </c:pt>
                <c:pt idx="926">
                  <c:v>0.62757008702357409</c:v>
                </c:pt>
                <c:pt idx="927">
                  <c:v>0.62758291577189174</c:v>
                </c:pt>
                <c:pt idx="928">
                  <c:v>0.62759700224694392</c:v>
                </c:pt>
                <c:pt idx="929">
                  <c:v>0.62761552617230121</c:v>
                </c:pt>
                <c:pt idx="930">
                  <c:v>0.62767215653123931</c:v>
                </c:pt>
                <c:pt idx="931">
                  <c:v>0.62796392349372565</c:v>
                </c:pt>
                <c:pt idx="932">
                  <c:v>0.62798194713088307</c:v>
                </c:pt>
                <c:pt idx="933">
                  <c:v>0.62798404217520321</c:v>
                </c:pt>
                <c:pt idx="934">
                  <c:v>0.62802172189207295</c:v>
                </c:pt>
                <c:pt idx="935">
                  <c:v>0.62815490990837575</c:v>
                </c:pt>
                <c:pt idx="936">
                  <c:v>0.62836062346181709</c:v>
                </c:pt>
                <c:pt idx="937">
                  <c:v>0.62854265458159142</c:v>
                </c:pt>
                <c:pt idx="938">
                  <c:v>0.62857944072131866</c:v>
                </c:pt>
                <c:pt idx="939">
                  <c:v>0.6287276251926297</c:v>
                </c:pt>
                <c:pt idx="940">
                  <c:v>0.62900025114145841</c:v>
                </c:pt>
                <c:pt idx="941">
                  <c:v>0.62906592619865775</c:v>
                </c:pt>
                <c:pt idx="942">
                  <c:v>0.62912936696506394</c:v>
                </c:pt>
                <c:pt idx="943">
                  <c:v>0.62933534021720705</c:v>
                </c:pt>
                <c:pt idx="944">
                  <c:v>0.62951889130343452</c:v>
                </c:pt>
                <c:pt idx="945">
                  <c:v>0.62958202802673457</c:v>
                </c:pt>
                <c:pt idx="946">
                  <c:v>0.62963220724777813</c:v>
                </c:pt>
                <c:pt idx="947">
                  <c:v>0.62970349516173485</c:v>
                </c:pt>
                <c:pt idx="948">
                  <c:v>0.62981691368788251</c:v>
                </c:pt>
                <c:pt idx="949">
                  <c:v>0.62994352524079056</c:v>
                </c:pt>
                <c:pt idx="950">
                  <c:v>0.63000428269112141</c:v>
                </c:pt>
                <c:pt idx="951">
                  <c:v>0.63008496342706377</c:v>
                </c:pt>
                <c:pt idx="952">
                  <c:v>0.63016630891248682</c:v>
                </c:pt>
                <c:pt idx="953">
                  <c:v>0.63032454361054735</c:v>
                </c:pt>
                <c:pt idx="954">
                  <c:v>0.63045601015525821</c:v>
                </c:pt>
                <c:pt idx="955">
                  <c:v>0.63045723332424664</c:v>
                </c:pt>
                <c:pt idx="956">
                  <c:v>0.63050707254528859</c:v>
                </c:pt>
                <c:pt idx="957">
                  <c:v>0.63051551882411994</c:v>
                </c:pt>
                <c:pt idx="958">
                  <c:v>0.63059533345036711</c:v>
                </c:pt>
                <c:pt idx="959">
                  <c:v>0.63065144581509458</c:v>
                </c:pt>
                <c:pt idx="960">
                  <c:v>0.63066021492953861</c:v>
                </c:pt>
                <c:pt idx="961">
                  <c:v>0.63080220042063773</c:v>
                </c:pt>
                <c:pt idx="962">
                  <c:v>0.63090662440950684</c:v>
                </c:pt>
                <c:pt idx="963">
                  <c:v>0.63091322055137866</c:v>
                </c:pt>
                <c:pt idx="964">
                  <c:v>0.63143668960689303</c:v>
                </c:pt>
                <c:pt idx="965">
                  <c:v>0.63150206140620369</c:v>
                </c:pt>
                <c:pt idx="966">
                  <c:v>0.63150875604146606</c:v>
                </c:pt>
                <c:pt idx="967">
                  <c:v>0.6316886066027303</c:v>
                </c:pt>
                <c:pt idx="968">
                  <c:v>0.6317078743739597</c:v>
                </c:pt>
                <c:pt idx="969">
                  <c:v>0.63189540294648427</c:v>
                </c:pt>
                <c:pt idx="970">
                  <c:v>0.6319105691056911</c:v>
                </c:pt>
                <c:pt idx="971">
                  <c:v>0.63233641434207855</c:v>
                </c:pt>
                <c:pt idx="972">
                  <c:v>0.63237706565879981</c:v>
                </c:pt>
                <c:pt idx="973">
                  <c:v>0.63281214414966491</c:v>
                </c:pt>
                <c:pt idx="974">
                  <c:v>0.63286234748883652</c:v>
                </c:pt>
                <c:pt idx="975">
                  <c:v>0.6329061868799305</c:v>
                </c:pt>
                <c:pt idx="976">
                  <c:v>0.63292706754608719</c:v>
                </c:pt>
                <c:pt idx="977">
                  <c:v>0.63293082254749056</c:v>
                </c:pt>
                <c:pt idx="978">
                  <c:v>0.63293407956166448</c:v>
                </c:pt>
                <c:pt idx="979">
                  <c:v>0.63293428284253994</c:v>
                </c:pt>
                <c:pt idx="980">
                  <c:v>0.63305588470622598</c:v>
                </c:pt>
                <c:pt idx="981">
                  <c:v>0.63315599027329805</c:v>
                </c:pt>
                <c:pt idx="982">
                  <c:v>0.63315754028545479</c:v>
                </c:pt>
                <c:pt idx="983">
                  <c:v>0.63322355289421073</c:v>
                </c:pt>
                <c:pt idx="984">
                  <c:v>0.6332378197693258</c:v>
                </c:pt>
                <c:pt idx="985">
                  <c:v>0.63351735539629972</c:v>
                </c:pt>
                <c:pt idx="986">
                  <c:v>0.63366680792026309</c:v>
                </c:pt>
                <c:pt idx="987">
                  <c:v>0.6337990168111971</c:v>
                </c:pt>
                <c:pt idx="988">
                  <c:v>0.63382210756828217</c:v>
                </c:pt>
                <c:pt idx="989">
                  <c:v>0.63383733434591982</c:v>
                </c:pt>
                <c:pt idx="990">
                  <c:v>0.6343650377671447</c:v>
                </c:pt>
                <c:pt idx="991">
                  <c:v>0.63445165540016146</c:v>
                </c:pt>
                <c:pt idx="992">
                  <c:v>0.63446109670463113</c:v>
                </c:pt>
                <c:pt idx="993">
                  <c:v>0.63452320840930221</c:v>
                </c:pt>
                <c:pt idx="994">
                  <c:v>0.63487050359045472</c:v>
                </c:pt>
                <c:pt idx="995">
                  <c:v>0.63498451961234581</c:v>
                </c:pt>
                <c:pt idx="996">
                  <c:v>0.63518284690204363</c:v>
                </c:pt>
                <c:pt idx="997">
                  <c:v>0.63525213515426804</c:v>
                </c:pt>
                <c:pt idx="998">
                  <c:v>0.6353454474742255</c:v>
                </c:pt>
                <c:pt idx="999">
                  <c:v>0.63539394397444149</c:v>
                </c:pt>
                <c:pt idx="1000">
                  <c:v>0.63546261255382974</c:v>
                </c:pt>
                <c:pt idx="1001">
                  <c:v>0.63546450774210528</c:v>
                </c:pt>
                <c:pt idx="1002">
                  <c:v>0.63547672619884732</c:v>
                </c:pt>
                <c:pt idx="1003">
                  <c:v>0.6355192169883862</c:v>
                </c:pt>
                <c:pt idx="1004">
                  <c:v>0.63552132401412664</c:v>
                </c:pt>
                <c:pt idx="1005">
                  <c:v>0.63559600534949889</c:v>
                </c:pt>
                <c:pt idx="1006">
                  <c:v>0.63560791513667902</c:v>
                </c:pt>
                <c:pt idx="1007">
                  <c:v>0.6356405268724864</c:v>
                </c:pt>
                <c:pt idx="1008">
                  <c:v>0.63572929581776449</c:v>
                </c:pt>
                <c:pt idx="1009">
                  <c:v>0.63575052795664355</c:v>
                </c:pt>
                <c:pt idx="1010">
                  <c:v>0.63595456502611469</c:v>
                </c:pt>
                <c:pt idx="1011">
                  <c:v>0.63620723420817049</c:v>
                </c:pt>
                <c:pt idx="1012">
                  <c:v>0.63667759562841475</c:v>
                </c:pt>
                <c:pt idx="1013">
                  <c:v>0.63704141923968982</c:v>
                </c:pt>
                <c:pt idx="1014">
                  <c:v>0.63742232046787062</c:v>
                </c:pt>
                <c:pt idx="1015">
                  <c:v>0.63755034938193378</c:v>
                </c:pt>
                <c:pt idx="1016">
                  <c:v>0.63774470641423442</c:v>
                </c:pt>
                <c:pt idx="1017">
                  <c:v>0.63789820621570215</c:v>
                </c:pt>
                <c:pt idx="1018">
                  <c:v>0.6378997479054328</c:v>
                </c:pt>
                <c:pt idx="1019">
                  <c:v>0.63805384335774606</c:v>
                </c:pt>
                <c:pt idx="1020">
                  <c:v>0.63811160868668126</c:v>
                </c:pt>
                <c:pt idx="1021">
                  <c:v>0.63835164835164837</c:v>
                </c:pt>
                <c:pt idx="1022">
                  <c:v>0.6384236644375364</c:v>
                </c:pt>
                <c:pt idx="1023">
                  <c:v>0.63860328316873727</c:v>
                </c:pt>
                <c:pt idx="1024">
                  <c:v>0.63861885353113546</c:v>
                </c:pt>
                <c:pt idx="1025">
                  <c:v>0.63867002420489449</c:v>
                </c:pt>
                <c:pt idx="1026">
                  <c:v>0.63872131791680398</c:v>
                </c:pt>
                <c:pt idx="1027">
                  <c:v>0.63875104619320378</c:v>
                </c:pt>
                <c:pt idx="1028">
                  <c:v>0.63884656055688871</c:v>
                </c:pt>
                <c:pt idx="1029">
                  <c:v>0.63908103195344756</c:v>
                </c:pt>
                <c:pt idx="1030">
                  <c:v>0.63912064329937557</c:v>
                </c:pt>
                <c:pt idx="1031">
                  <c:v>0.6391452276131675</c:v>
                </c:pt>
                <c:pt idx="1032">
                  <c:v>0.63929543504753505</c:v>
                </c:pt>
                <c:pt idx="1033">
                  <c:v>0.63931020317881659</c:v>
                </c:pt>
                <c:pt idx="1034">
                  <c:v>0.63939634440974547</c:v>
                </c:pt>
                <c:pt idx="1035">
                  <c:v>0.63953126542470451</c:v>
                </c:pt>
                <c:pt idx="1036">
                  <c:v>0.63966136495137227</c:v>
                </c:pt>
                <c:pt idx="1037">
                  <c:v>0.63972681800692588</c:v>
                </c:pt>
                <c:pt idx="1038">
                  <c:v>0.63973184331137534</c:v>
                </c:pt>
                <c:pt idx="1039">
                  <c:v>0.63992913814522445</c:v>
                </c:pt>
                <c:pt idx="1040">
                  <c:v>0.64017447685327988</c:v>
                </c:pt>
                <c:pt idx="1041">
                  <c:v>0.64033513920622909</c:v>
                </c:pt>
                <c:pt idx="1042">
                  <c:v>0.64034368879416748</c:v>
                </c:pt>
                <c:pt idx="1043">
                  <c:v>0.64034977997892695</c:v>
                </c:pt>
                <c:pt idx="1044">
                  <c:v>0.64038398312772438</c:v>
                </c:pt>
                <c:pt idx="1045">
                  <c:v>0.64040221704687783</c:v>
                </c:pt>
                <c:pt idx="1046">
                  <c:v>0.64048359538482214</c:v>
                </c:pt>
                <c:pt idx="1047">
                  <c:v>0.64051715890297156</c:v>
                </c:pt>
                <c:pt idx="1048">
                  <c:v>0.64058696883852595</c:v>
                </c:pt>
                <c:pt idx="1049">
                  <c:v>0.64059590906881569</c:v>
                </c:pt>
                <c:pt idx="1050">
                  <c:v>0.64086276461957703</c:v>
                </c:pt>
                <c:pt idx="1051">
                  <c:v>0.64089494473925857</c:v>
                </c:pt>
                <c:pt idx="1052">
                  <c:v>0.64094777098827138</c:v>
                </c:pt>
                <c:pt idx="1053">
                  <c:v>0.64108068514762195</c:v>
                </c:pt>
                <c:pt idx="1054">
                  <c:v>0.64108923250552119</c:v>
                </c:pt>
                <c:pt idx="1055">
                  <c:v>0.64151106972892802</c:v>
                </c:pt>
                <c:pt idx="1056">
                  <c:v>0.64173090955236212</c:v>
                </c:pt>
                <c:pt idx="1057">
                  <c:v>0.64188854489164127</c:v>
                </c:pt>
                <c:pt idx="1058">
                  <c:v>0.64208818923054778</c:v>
                </c:pt>
                <c:pt idx="1059">
                  <c:v>0.64210513818573567</c:v>
                </c:pt>
                <c:pt idx="1060">
                  <c:v>0.64211166507549322</c:v>
                </c:pt>
                <c:pt idx="1061">
                  <c:v>0.64225226451329931</c:v>
                </c:pt>
                <c:pt idx="1062">
                  <c:v>0.64231943212811538</c:v>
                </c:pt>
                <c:pt idx="1063">
                  <c:v>0.64246613135082586</c:v>
                </c:pt>
                <c:pt idx="1064">
                  <c:v>0.64251083484489135</c:v>
                </c:pt>
                <c:pt idx="1065">
                  <c:v>0.64279470107369907</c:v>
                </c:pt>
                <c:pt idx="1066">
                  <c:v>0.64279827191902383</c:v>
                </c:pt>
                <c:pt idx="1067">
                  <c:v>0.64283963763094054</c:v>
                </c:pt>
                <c:pt idx="1068">
                  <c:v>0.64298152150750343</c:v>
                </c:pt>
                <c:pt idx="1069">
                  <c:v>0.64299142488305583</c:v>
                </c:pt>
                <c:pt idx="1070">
                  <c:v>0.6430008364818679</c:v>
                </c:pt>
                <c:pt idx="1071">
                  <c:v>0.64306740170584575</c:v>
                </c:pt>
                <c:pt idx="1072">
                  <c:v>0.64308695313991582</c:v>
                </c:pt>
                <c:pt idx="1073">
                  <c:v>0.64311401648869049</c:v>
                </c:pt>
                <c:pt idx="1074">
                  <c:v>0.64338736555067377</c:v>
                </c:pt>
                <c:pt idx="1075">
                  <c:v>0.64351262123879371</c:v>
                </c:pt>
                <c:pt idx="1076">
                  <c:v>0.64359698681732624</c:v>
                </c:pt>
                <c:pt idx="1077">
                  <c:v>0.64363428695429237</c:v>
                </c:pt>
                <c:pt idx="1078">
                  <c:v>0.64364165184074318</c:v>
                </c:pt>
                <c:pt idx="1079">
                  <c:v>0.64374772010887371</c:v>
                </c:pt>
                <c:pt idx="1080">
                  <c:v>0.64378793083705477</c:v>
                </c:pt>
                <c:pt idx="1081">
                  <c:v>0.64381831717957438</c:v>
                </c:pt>
                <c:pt idx="1082">
                  <c:v>0.64407551477606251</c:v>
                </c:pt>
                <c:pt idx="1083">
                  <c:v>0.64410299003322324</c:v>
                </c:pt>
                <c:pt idx="1084">
                  <c:v>0.64411255130497524</c:v>
                </c:pt>
                <c:pt idx="1085">
                  <c:v>0.64411867112843346</c:v>
                </c:pt>
                <c:pt idx="1086">
                  <c:v>0.64419599099778013</c:v>
                </c:pt>
                <c:pt idx="1087">
                  <c:v>0.64424174418956714</c:v>
                </c:pt>
                <c:pt idx="1088">
                  <c:v>0.64444080579155849</c:v>
                </c:pt>
                <c:pt idx="1089">
                  <c:v>0.64477241098695115</c:v>
                </c:pt>
                <c:pt idx="1090">
                  <c:v>0.64508074152126993</c:v>
                </c:pt>
                <c:pt idx="1091">
                  <c:v>0.64508225411270581</c:v>
                </c:pt>
                <c:pt idx="1092">
                  <c:v>0.64522785415431183</c:v>
                </c:pt>
                <c:pt idx="1093">
                  <c:v>0.64528459413167139</c:v>
                </c:pt>
                <c:pt idx="1094">
                  <c:v>0.64536141015626658</c:v>
                </c:pt>
                <c:pt idx="1095">
                  <c:v>0.6453730961865255</c:v>
                </c:pt>
                <c:pt idx="1096">
                  <c:v>0.64554173982632834</c:v>
                </c:pt>
                <c:pt idx="1097">
                  <c:v>0.64567673491895661</c:v>
                </c:pt>
                <c:pt idx="1098">
                  <c:v>0.64583234670408418</c:v>
                </c:pt>
                <c:pt idx="1099">
                  <c:v>0.64598272112120136</c:v>
                </c:pt>
                <c:pt idx="1100">
                  <c:v>0.64598997493734289</c:v>
                </c:pt>
                <c:pt idx="1101">
                  <c:v>0.6461297140866491</c:v>
                </c:pt>
                <c:pt idx="1102">
                  <c:v>0.64613685456609016</c:v>
                </c:pt>
                <c:pt idx="1103">
                  <c:v>0.64622183799037825</c:v>
                </c:pt>
                <c:pt idx="1104">
                  <c:v>0.64639969779409578</c:v>
                </c:pt>
                <c:pt idx="1105">
                  <c:v>0.64641967263711286</c:v>
                </c:pt>
                <c:pt idx="1106">
                  <c:v>0.6464202858091751</c:v>
                </c:pt>
                <c:pt idx="1107">
                  <c:v>0.64667618946222805</c:v>
                </c:pt>
                <c:pt idx="1108">
                  <c:v>0.64678957871802956</c:v>
                </c:pt>
                <c:pt idx="1109">
                  <c:v>0.64702434449611224</c:v>
                </c:pt>
                <c:pt idx="1110">
                  <c:v>0.64705519446349624</c:v>
                </c:pt>
                <c:pt idx="1111">
                  <c:v>0.64722493052108143</c:v>
                </c:pt>
                <c:pt idx="1112">
                  <c:v>0.64729275289978128</c:v>
                </c:pt>
                <c:pt idx="1113">
                  <c:v>0.64745697694133619</c:v>
                </c:pt>
                <c:pt idx="1114">
                  <c:v>0.64748498813014865</c:v>
                </c:pt>
                <c:pt idx="1115">
                  <c:v>0.64750663502152639</c:v>
                </c:pt>
                <c:pt idx="1116">
                  <c:v>0.64780802644020274</c:v>
                </c:pt>
                <c:pt idx="1117">
                  <c:v>0.64787679795239717</c:v>
                </c:pt>
                <c:pt idx="1118">
                  <c:v>0.64791878511356249</c:v>
                </c:pt>
                <c:pt idx="1119">
                  <c:v>0.64796387876792727</c:v>
                </c:pt>
                <c:pt idx="1120">
                  <c:v>0.6481612114371702</c:v>
                </c:pt>
                <c:pt idx="1121">
                  <c:v>0.64817062999277208</c:v>
                </c:pt>
                <c:pt idx="1122">
                  <c:v>0.64828697114530498</c:v>
                </c:pt>
                <c:pt idx="1123">
                  <c:v>0.64832202058068911</c:v>
                </c:pt>
                <c:pt idx="1124">
                  <c:v>0.64837046175449542</c:v>
                </c:pt>
                <c:pt idx="1125">
                  <c:v>0.64844535535595804</c:v>
                </c:pt>
                <c:pt idx="1126">
                  <c:v>0.64846388160007118</c:v>
                </c:pt>
                <c:pt idx="1127">
                  <c:v>0.64849581841286874</c:v>
                </c:pt>
                <c:pt idx="1128">
                  <c:v>0.64853190511085312</c:v>
                </c:pt>
                <c:pt idx="1129">
                  <c:v>0.64859695937391681</c:v>
                </c:pt>
                <c:pt idx="1130">
                  <c:v>0.64865178595988493</c:v>
                </c:pt>
                <c:pt idx="1131">
                  <c:v>0.64868655196576075</c:v>
                </c:pt>
                <c:pt idx="1132">
                  <c:v>0.64876650412578363</c:v>
                </c:pt>
                <c:pt idx="1133">
                  <c:v>0.6487833178592739</c:v>
                </c:pt>
                <c:pt idx="1134">
                  <c:v>0.64878993602361901</c:v>
                </c:pt>
                <c:pt idx="1135">
                  <c:v>0.64884430011222338</c:v>
                </c:pt>
                <c:pt idx="1136">
                  <c:v>0.64886526382295295</c:v>
                </c:pt>
                <c:pt idx="1137">
                  <c:v>0.64887026247745427</c:v>
                </c:pt>
                <c:pt idx="1138">
                  <c:v>0.64891445012248972</c:v>
                </c:pt>
                <c:pt idx="1139">
                  <c:v>0.64915117088089469</c:v>
                </c:pt>
                <c:pt idx="1140">
                  <c:v>0.64920622791097515</c:v>
                </c:pt>
                <c:pt idx="1141">
                  <c:v>0.64923562446892702</c:v>
                </c:pt>
                <c:pt idx="1142">
                  <c:v>0.64953118466003379</c:v>
                </c:pt>
                <c:pt idx="1143">
                  <c:v>0.64961413990540295</c:v>
                </c:pt>
                <c:pt idx="1144">
                  <c:v>0.64964785444911899</c:v>
                </c:pt>
                <c:pt idx="1145">
                  <c:v>0.64975588609886192</c:v>
                </c:pt>
                <c:pt idx="1146">
                  <c:v>0.64992105933282407</c:v>
                </c:pt>
                <c:pt idx="1147">
                  <c:v>0.65000216690984181</c:v>
                </c:pt>
                <c:pt idx="1148">
                  <c:v>0.65001555312473547</c:v>
                </c:pt>
                <c:pt idx="1149">
                  <c:v>0.65009499580260499</c:v>
                </c:pt>
                <c:pt idx="1150">
                  <c:v>0.65011492539998572</c:v>
                </c:pt>
                <c:pt idx="1151">
                  <c:v>0.65016803146370716</c:v>
                </c:pt>
                <c:pt idx="1152">
                  <c:v>0.65038700418547346</c:v>
                </c:pt>
                <c:pt idx="1153">
                  <c:v>0.65059205413894516</c:v>
                </c:pt>
                <c:pt idx="1154">
                  <c:v>0.65062767462158644</c:v>
                </c:pt>
                <c:pt idx="1155">
                  <c:v>0.65072267173157539</c:v>
                </c:pt>
                <c:pt idx="1156">
                  <c:v>0.65092383347293903</c:v>
                </c:pt>
                <c:pt idx="1157">
                  <c:v>0.6510242883337839</c:v>
                </c:pt>
                <c:pt idx="1158">
                  <c:v>0.65108542329310737</c:v>
                </c:pt>
                <c:pt idx="1159">
                  <c:v>0.65114463176575021</c:v>
                </c:pt>
                <c:pt idx="1160">
                  <c:v>0.65123693453681408</c:v>
                </c:pt>
                <c:pt idx="1161">
                  <c:v>0.65123974155889652</c:v>
                </c:pt>
                <c:pt idx="1162">
                  <c:v>0.65130551568001227</c:v>
                </c:pt>
                <c:pt idx="1163">
                  <c:v>0.65137305083007202</c:v>
                </c:pt>
                <c:pt idx="1164">
                  <c:v>0.65147575874885078</c:v>
                </c:pt>
                <c:pt idx="1165">
                  <c:v>0.65148967509517797</c:v>
                </c:pt>
                <c:pt idx="1166">
                  <c:v>0.65156217844109743</c:v>
                </c:pt>
                <c:pt idx="1167">
                  <c:v>0.65182317616246832</c:v>
                </c:pt>
                <c:pt idx="1168">
                  <c:v>0.65192934350659704</c:v>
                </c:pt>
                <c:pt idx="1169">
                  <c:v>0.65195168863494868</c:v>
                </c:pt>
                <c:pt idx="1170">
                  <c:v>0.65213048916366301</c:v>
                </c:pt>
                <c:pt idx="1171">
                  <c:v>0.65220427100877176</c:v>
                </c:pt>
                <c:pt idx="1172">
                  <c:v>0.65226567422021842</c:v>
                </c:pt>
                <c:pt idx="1173">
                  <c:v>0.65231580297353564</c:v>
                </c:pt>
                <c:pt idx="1174">
                  <c:v>0.65241463902286678</c:v>
                </c:pt>
                <c:pt idx="1175">
                  <c:v>0.65244534944791122</c:v>
                </c:pt>
                <c:pt idx="1176">
                  <c:v>0.65269143017205233</c:v>
                </c:pt>
                <c:pt idx="1177">
                  <c:v>0.65269640821815555</c:v>
                </c:pt>
                <c:pt idx="1178">
                  <c:v>0.65286217708593508</c:v>
                </c:pt>
                <c:pt idx="1179">
                  <c:v>0.65295327091279465</c:v>
                </c:pt>
                <c:pt idx="1180">
                  <c:v>0.65302173732983726</c:v>
                </c:pt>
                <c:pt idx="1181">
                  <c:v>0.65302622612243766</c:v>
                </c:pt>
                <c:pt idx="1182">
                  <c:v>0.65307830067220107</c:v>
                </c:pt>
                <c:pt idx="1183">
                  <c:v>0.65314171811478772</c:v>
                </c:pt>
                <c:pt idx="1184">
                  <c:v>0.6532313958819822</c:v>
                </c:pt>
                <c:pt idx="1185">
                  <c:v>0.65347800253786148</c:v>
                </c:pt>
                <c:pt idx="1186">
                  <c:v>0.65374135090793772</c:v>
                </c:pt>
                <c:pt idx="1187">
                  <c:v>0.65378537004875248</c:v>
                </c:pt>
                <c:pt idx="1188">
                  <c:v>0.653811869227236</c:v>
                </c:pt>
                <c:pt idx="1189">
                  <c:v>0.65395317787648177</c:v>
                </c:pt>
                <c:pt idx="1190">
                  <c:v>0.65400222235450545</c:v>
                </c:pt>
                <c:pt idx="1191">
                  <c:v>0.65405270166220231</c:v>
                </c:pt>
                <c:pt idx="1192">
                  <c:v>0.65433413018576636</c:v>
                </c:pt>
                <c:pt idx="1193">
                  <c:v>0.65435389692815449</c:v>
                </c:pt>
                <c:pt idx="1194">
                  <c:v>0.65440291384501148</c:v>
                </c:pt>
                <c:pt idx="1195">
                  <c:v>0.65447778262948808</c:v>
                </c:pt>
                <c:pt idx="1196">
                  <c:v>0.65448477562250085</c:v>
                </c:pt>
                <c:pt idx="1197">
                  <c:v>0.65452256570538969</c:v>
                </c:pt>
                <c:pt idx="1198">
                  <c:v>0.65458087350078342</c:v>
                </c:pt>
                <c:pt idx="1199">
                  <c:v>0.65474733596408563</c:v>
                </c:pt>
                <c:pt idx="1200">
                  <c:v>0.65487031290277475</c:v>
                </c:pt>
                <c:pt idx="1201">
                  <c:v>0.6550419973572803</c:v>
                </c:pt>
                <c:pt idx="1202">
                  <c:v>0.65509196074608411</c:v>
                </c:pt>
                <c:pt idx="1203">
                  <c:v>0.65513585363366778</c:v>
                </c:pt>
                <c:pt idx="1204">
                  <c:v>0.65526677164587033</c:v>
                </c:pt>
                <c:pt idx="1205">
                  <c:v>0.65538824108340332</c:v>
                </c:pt>
                <c:pt idx="1206">
                  <c:v>0.65540784952070863</c:v>
                </c:pt>
                <c:pt idx="1207">
                  <c:v>0.65561783706961796</c:v>
                </c:pt>
                <c:pt idx="1208">
                  <c:v>0.65578096285936871</c:v>
                </c:pt>
                <c:pt idx="1209">
                  <c:v>0.65582859330640242</c:v>
                </c:pt>
                <c:pt idx="1210">
                  <c:v>0.65589221302779455</c:v>
                </c:pt>
                <c:pt idx="1211">
                  <c:v>0.65591940541202454</c:v>
                </c:pt>
                <c:pt idx="1212">
                  <c:v>0.65600547581224822</c:v>
                </c:pt>
                <c:pt idx="1213">
                  <c:v>0.65601546756712537</c:v>
                </c:pt>
                <c:pt idx="1214">
                  <c:v>0.65604890854734854</c:v>
                </c:pt>
                <c:pt idx="1215">
                  <c:v>0.65608498843222951</c:v>
                </c:pt>
                <c:pt idx="1216">
                  <c:v>0.6561640929382917</c:v>
                </c:pt>
                <c:pt idx="1217">
                  <c:v>0.65618370542479021</c:v>
                </c:pt>
                <c:pt idx="1218">
                  <c:v>0.65628190001805042</c:v>
                </c:pt>
                <c:pt idx="1219">
                  <c:v>0.65630469015071757</c:v>
                </c:pt>
                <c:pt idx="1220">
                  <c:v>0.65641397746233232</c:v>
                </c:pt>
                <c:pt idx="1221">
                  <c:v>0.65642243328810568</c:v>
                </c:pt>
                <c:pt idx="1222">
                  <c:v>0.65656291823110413</c:v>
                </c:pt>
                <c:pt idx="1223">
                  <c:v>0.65667046509982518</c:v>
                </c:pt>
                <c:pt idx="1224">
                  <c:v>0.65698464150652269</c:v>
                </c:pt>
                <c:pt idx="1225">
                  <c:v>0.65730258955739274</c:v>
                </c:pt>
                <c:pt idx="1226">
                  <c:v>0.65739647281895019</c:v>
                </c:pt>
                <c:pt idx="1227">
                  <c:v>0.65740273361422119</c:v>
                </c:pt>
                <c:pt idx="1228">
                  <c:v>0.6575318850472156</c:v>
                </c:pt>
                <c:pt idx="1229">
                  <c:v>0.65766256254316624</c:v>
                </c:pt>
                <c:pt idx="1230">
                  <c:v>0.65774413363635587</c:v>
                </c:pt>
                <c:pt idx="1231">
                  <c:v>0.65787413809121531</c:v>
                </c:pt>
                <c:pt idx="1232">
                  <c:v>0.65787705157922916</c:v>
                </c:pt>
                <c:pt idx="1233">
                  <c:v>0.65790924531154071</c:v>
                </c:pt>
                <c:pt idx="1234">
                  <c:v>0.65793923744761185</c:v>
                </c:pt>
                <c:pt idx="1235">
                  <c:v>0.65795446122011902</c:v>
                </c:pt>
                <c:pt idx="1236">
                  <c:v>0.65805801704626921</c:v>
                </c:pt>
                <c:pt idx="1237">
                  <c:v>0.65809121564725159</c:v>
                </c:pt>
                <c:pt idx="1238">
                  <c:v>0.65811164119565568</c:v>
                </c:pt>
                <c:pt idx="1239">
                  <c:v>0.6581830432465835</c:v>
                </c:pt>
                <c:pt idx="1240">
                  <c:v>0.65829203602191211</c:v>
                </c:pt>
                <c:pt idx="1241">
                  <c:v>0.65841214048962382</c:v>
                </c:pt>
                <c:pt idx="1242">
                  <c:v>0.6584685931297789</c:v>
                </c:pt>
                <c:pt idx="1243">
                  <c:v>0.65850401671297221</c:v>
                </c:pt>
                <c:pt idx="1244">
                  <c:v>0.65873787964635799</c:v>
                </c:pt>
                <c:pt idx="1245">
                  <c:v>0.65875330500145324</c:v>
                </c:pt>
                <c:pt idx="1246">
                  <c:v>0.65880818899394811</c:v>
                </c:pt>
                <c:pt idx="1247">
                  <c:v>0.65898598645882567</c:v>
                </c:pt>
                <c:pt idx="1248">
                  <c:v>0.65904442350561909</c:v>
                </c:pt>
                <c:pt idx="1249">
                  <c:v>0.65904877574370269</c:v>
                </c:pt>
                <c:pt idx="1250">
                  <c:v>0.65915235388208504</c:v>
                </c:pt>
                <c:pt idx="1251">
                  <c:v>0.65924825611103766</c:v>
                </c:pt>
                <c:pt idx="1252">
                  <c:v>0.65959815159947999</c:v>
                </c:pt>
                <c:pt idx="1253">
                  <c:v>0.65967837259718043</c:v>
                </c:pt>
                <c:pt idx="1254">
                  <c:v>0.65974376477002128</c:v>
                </c:pt>
                <c:pt idx="1255">
                  <c:v>0.65992985853207065</c:v>
                </c:pt>
                <c:pt idx="1256">
                  <c:v>0.65994441712140028</c:v>
                </c:pt>
                <c:pt idx="1257">
                  <c:v>0.65999358322549484</c:v>
                </c:pt>
                <c:pt idx="1258">
                  <c:v>0.66015090389741748</c:v>
                </c:pt>
                <c:pt idx="1259">
                  <c:v>0.66016198580745855</c:v>
                </c:pt>
                <c:pt idx="1260">
                  <c:v>0.66024505331425032</c:v>
                </c:pt>
                <c:pt idx="1261">
                  <c:v>0.66024759868309579</c:v>
                </c:pt>
                <c:pt idx="1262">
                  <c:v>0.6602798742106144</c:v>
                </c:pt>
                <c:pt idx="1263">
                  <c:v>0.66030040246459365</c:v>
                </c:pt>
                <c:pt idx="1264">
                  <c:v>0.66043678821238427</c:v>
                </c:pt>
                <c:pt idx="1265">
                  <c:v>0.66044063170208611</c:v>
                </c:pt>
                <c:pt idx="1266">
                  <c:v>0.66053491863244462</c:v>
                </c:pt>
                <c:pt idx="1267">
                  <c:v>0.66069732588818342</c:v>
                </c:pt>
                <c:pt idx="1268">
                  <c:v>0.66088404626096298</c:v>
                </c:pt>
                <c:pt idx="1269">
                  <c:v>0.66102311322172391</c:v>
                </c:pt>
                <c:pt idx="1270">
                  <c:v>0.66104818382868447</c:v>
                </c:pt>
                <c:pt idx="1271">
                  <c:v>0.66105771518186918</c:v>
                </c:pt>
                <c:pt idx="1272">
                  <c:v>0.66106461675541506</c:v>
                </c:pt>
                <c:pt idx="1273">
                  <c:v>0.66116761274045943</c:v>
                </c:pt>
                <c:pt idx="1274">
                  <c:v>0.66122991045173241</c:v>
                </c:pt>
                <c:pt idx="1275">
                  <c:v>0.66138531385774935</c:v>
                </c:pt>
                <c:pt idx="1276">
                  <c:v>0.66196550975449797</c:v>
                </c:pt>
                <c:pt idx="1277">
                  <c:v>0.66207725235937598</c:v>
                </c:pt>
                <c:pt idx="1278">
                  <c:v>0.66211419250483849</c:v>
                </c:pt>
                <c:pt idx="1279">
                  <c:v>0.66225090233080641</c:v>
                </c:pt>
                <c:pt idx="1280">
                  <c:v>0.66254494658147189</c:v>
                </c:pt>
                <c:pt idx="1281">
                  <c:v>0.66256875318612241</c:v>
                </c:pt>
                <c:pt idx="1282">
                  <c:v>0.66272788621423362</c:v>
                </c:pt>
                <c:pt idx="1283">
                  <c:v>0.66300107613666903</c:v>
                </c:pt>
                <c:pt idx="1284">
                  <c:v>0.66305511005229611</c:v>
                </c:pt>
                <c:pt idx="1285">
                  <c:v>0.66305986711194775</c:v>
                </c:pt>
                <c:pt idx="1286">
                  <c:v>0.6632709255289857</c:v>
                </c:pt>
                <c:pt idx="1287">
                  <c:v>0.66333098662375567</c:v>
                </c:pt>
                <c:pt idx="1288">
                  <c:v>0.66340100230629162</c:v>
                </c:pt>
                <c:pt idx="1289">
                  <c:v>0.66346072111638421</c:v>
                </c:pt>
                <c:pt idx="1290">
                  <c:v>0.66358402595574029</c:v>
                </c:pt>
                <c:pt idx="1291">
                  <c:v>0.66380102960760701</c:v>
                </c:pt>
                <c:pt idx="1292">
                  <c:v>0.66381452970717125</c:v>
                </c:pt>
                <c:pt idx="1293">
                  <c:v>0.66397203113880943</c:v>
                </c:pt>
                <c:pt idx="1294">
                  <c:v>0.66416345442621239</c:v>
                </c:pt>
                <c:pt idx="1295">
                  <c:v>0.664338776514806</c:v>
                </c:pt>
                <c:pt idx="1296">
                  <c:v>0.66434624886637217</c:v>
                </c:pt>
                <c:pt idx="1297">
                  <c:v>0.66435579771186948</c:v>
                </c:pt>
                <c:pt idx="1298">
                  <c:v>0.66439525862882143</c:v>
                </c:pt>
                <c:pt idx="1299">
                  <c:v>0.6644171779141087</c:v>
                </c:pt>
                <c:pt idx="1300">
                  <c:v>0.66443094201582875</c:v>
                </c:pt>
                <c:pt idx="1301">
                  <c:v>0.66450806618102398</c:v>
                </c:pt>
                <c:pt idx="1302">
                  <c:v>0.66454294584966134</c:v>
                </c:pt>
                <c:pt idx="1303">
                  <c:v>0.66458365828642141</c:v>
                </c:pt>
                <c:pt idx="1304">
                  <c:v>0.66467453388430309</c:v>
                </c:pt>
                <c:pt idx="1305">
                  <c:v>0.66469696969697001</c:v>
                </c:pt>
                <c:pt idx="1306">
                  <c:v>0.66476626904069414</c:v>
                </c:pt>
                <c:pt idx="1307">
                  <c:v>0.66478366016508084</c:v>
                </c:pt>
                <c:pt idx="1308">
                  <c:v>0.66502060923930151</c:v>
                </c:pt>
                <c:pt idx="1309">
                  <c:v>0.66529010116122955</c:v>
                </c:pt>
                <c:pt idx="1310">
                  <c:v>0.6652995902263461</c:v>
                </c:pt>
                <c:pt idx="1311">
                  <c:v>0.66531561511079196</c:v>
                </c:pt>
                <c:pt idx="1312">
                  <c:v>0.66575252164961474</c:v>
                </c:pt>
                <c:pt idx="1313">
                  <c:v>0.66600480369283921</c:v>
                </c:pt>
                <c:pt idx="1314">
                  <c:v>0.66606154647453386</c:v>
                </c:pt>
                <c:pt idx="1315">
                  <c:v>0.66622810114758002</c:v>
                </c:pt>
                <c:pt idx="1316">
                  <c:v>0.66631038248711827</c:v>
                </c:pt>
                <c:pt idx="1317">
                  <c:v>0.66637962122061833</c:v>
                </c:pt>
                <c:pt idx="1318">
                  <c:v>0.66651801921595499</c:v>
                </c:pt>
                <c:pt idx="1319">
                  <c:v>0.66687282253490698</c:v>
                </c:pt>
                <c:pt idx="1320">
                  <c:v>0.667011159906443</c:v>
                </c:pt>
                <c:pt idx="1321">
                  <c:v>0.66722784057108897</c:v>
                </c:pt>
                <c:pt idx="1322">
                  <c:v>0.66724926271465657</c:v>
                </c:pt>
                <c:pt idx="1323">
                  <c:v>0.66728045325779017</c:v>
                </c:pt>
                <c:pt idx="1324">
                  <c:v>0.66733452593917719</c:v>
                </c:pt>
                <c:pt idx="1325">
                  <c:v>0.66743648960739044</c:v>
                </c:pt>
                <c:pt idx="1326">
                  <c:v>0.66757142857142737</c:v>
                </c:pt>
                <c:pt idx="1327">
                  <c:v>0.66758375726197328</c:v>
                </c:pt>
                <c:pt idx="1328">
                  <c:v>0.66758993309186021</c:v>
                </c:pt>
                <c:pt idx="1329">
                  <c:v>0.66768945035875304</c:v>
                </c:pt>
                <c:pt idx="1330">
                  <c:v>0.66781837237050268</c:v>
                </c:pt>
                <c:pt idx="1331">
                  <c:v>0.66794063600632936</c:v>
                </c:pt>
                <c:pt idx="1332">
                  <c:v>0.66825961244904053</c:v>
                </c:pt>
                <c:pt idx="1333">
                  <c:v>0.66831483314216367</c:v>
                </c:pt>
                <c:pt idx="1334">
                  <c:v>0.66882397172546704</c:v>
                </c:pt>
                <c:pt idx="1335">
                  <c:v>0.66884041960970186</c:v>
                </c:pt>
                <c:pt idx="1336">
                  <c:v>0.66906552094522043</c:v>
                </c:pt>
                <c:pt idx="1337">
                  <c:v>0.66908480702207151</c:v>
                </c:pt>
                <c:pt idx="1338">
                  <c:v>0.66926323915014541</c:v>
                </c:pt>
                <c:pt idx="1339">
                  <c:v>0.66929165086043418</c:v>
                </c:pt>
                <c:pt idx="1340">
                  <c:v>0.66943347416326549</c:v>
                </c:pt>
                <c:pt idx="1341">
                  <c:v>0.66955386892733992</c:v>
                </c:pt>
                <c:pt idx="1342">
                  <c:v>0.6696013666151629</c:v>
                </c:pt>
                <c:pt idx="1343">
                  <c:v>0.66960169338392816</c:v>
                </c:pt>
                <c:pt idx="1344">
                  <c:v>0.669636203636092</c:v>
                </c:pt>
                <c:pt idx="1345">
                  <c:v>0.66967054263565884</c:v>
                </c:pt>
                <c:pt idx="1346">
                  <c:v>0.66971107908503913</c:v>
                </c:pt>
                <c:pt idx="1347">
                  <c:v>0.66981877264281431</c:v>
                </c:pt>
                <c:pt idx="1348">
                  <c:v>0.66984390567917673</c:v>
                </c:pt>
                <c:pt idx="1349">
                  <c:v>0.66994170013708187</c:v>
                </c:pt>
                <c:pt idx="1350">
                  <c:v>0.67010513707568042</c:v>
                </c:pt>
                <c:pt idx="1351">
                  <c:v>0.67012193561819433</c:v>
                </c:pt>
                <c:pt idx="1352">
                  <c:v>0.6701239571925891</c:v>
                </c:pt>
                <c:pt idx="1353">
                  <c:v>0.67031215540196942</c:v>
                </c:pt>
                <c:pt idx="1354">
                  <c:v>0.67034399983599147</c:v>
                </c:pt>
                <c:pt idx="1355">
                  <c:v>0.67056351724480512</c:v>
                </c:pt>
                <c:pt idx="1356">
                  <c:v>0.67079780956120838</c:v>
                </c:pt>
                <c:pt idx="1357">
                  <c:v>0.67087853728852109</c:v>
                </c:pt>
                <c:pt idx="1358">
                  <c:v>0.67092282717282692</c:v>
                </c:pt>
                <c:pt idx="1359">
                  <c:v>0.6709570898186491</c:v>
                </c:pt>
                <c:pt idx="1360">
                  <c:v>0.6711356106651718</c:v>
                </c:pt>
                <c:pt idx="1361">
                  <c:v>0.67123198258110883</c:v>
                </c:pt>
                <c:pt idx="1362">
                  <c:v>0.67135897283245016</c:v>
                </c:pt>
                <c:pt idx="1363">
                  <c:v>0.67162358582453019</c:v>
                </c:pt>
                <c:pt idx="1364">
                  <c:v>0.67179491862494267</c:v>
                </c:pt>
                <c:pt idx="1365">
                  <c:v>0.67182146854192815</c:v>
                </c:pt>
                <c:pt idx="1366">
                  <c:v>0.67187304227541</c:v>
                </c:pt>
                <c:pt idx="1367">
                  <c:v>0.67197125256673429</c:v>
                </c:pt>
                <c:pt idx="1368">
                  <c:v>0.67199289835774634</c:v>
                </c:pt>
                <c:pt idx="1369">
                  <c:v>0.6721023582948259</c:v>
                </c:pt>
                <c:pt idx="1370">
                  <c:v>0.67226854762494004</c:v>
                </c:pt>
                <c:pt idx="1371">
                  <c:v>0.67228438550444358</c:v>
                </c:pt>
                <c:pt idx="1372">
                  <c:v>0.67229944677925002</c:v>
                </c:pt>
                <c:pt idx="1373">
                  <c:v>0.67239263213449285</c:v>
                </c:pt>
                <c:pt idx="1374">
                  <c:v>0.67252845352909063</c:v>
                </c:pt>
                <c:pt idx="1375">
                  <c:v>0.67257764970082212</c:v>
                </c:pt>
                <c:pt idx="1376">
                  <c:v>0.67258812137558233</c:v>
                </c:pt>
                <c:pt idx="1377">
                  <c:v>0.67262814188057285</c:v>
                </c:pt>
                <c:pt idx="1378">
                  <c:v>0.67271990898540057</c:v>
                </c:pt>
                <c:pt idx="1379">
                  <c:v>0.67289430369076864</c:v>
                </c:pt>
                <c:pt idx="1380">
                  <c:v>0.67295942770395234</c:v>
                </c:pt>
                <c:pt idx="1381">
                  <c:v>0.6730173968697275</c:v>
                </c:pt>
                <c:pt idx="1382">
                  <c:v>0.67302138089431907</c:v>
                </c:pt>
                <c:pt idx="1383">
                  <c:v>0.6731339812538244</c:v>
                </c:pt>
                <c:pt idx="1384">
                  <c:v>0.67359792835665311</c:v>
                </c:pt>
                <c:pt idx="1385">
                  <c:v>0.673743097936645</c:v>
                </c:pt>
                <c:pt idx="1386">
                  <c:v>0.6737521554330651</c:v>
                </c:pt>
                <c:pt idx="1387">
                  <c:v>0.67388316930473136</c:v>
                </c:pt>
                <c:pt idx="1388">
                  <c:v>0.67404743485200203</c:v>
                </c:pt>
                <c:pt idx="1389">
                  <c:v>0.67418854543074602</c:v>
                </c:pt>
                <c:pt idx="1390">
                  <c:v>0.67421241513043439</c:v>
                </c:pt>
                <c:pt idx="1391">
                  <c:v>0.67421823748086596</c:v>
                </c:pt>
                <c:pt idx="1392">
                  <c:v>0.67430280242962015</c:v>
                </c:pt>
                <c:pt idx="1393">
                  <c:v>0.67436887660844158</c:v>
                </c:pt>
                <c:pt idx="1394">
                  <c:v>0.6744289996211319</c:v>
                </c:pt>
                <c:pt idx="1395">
                  <c:v>0.67444879048217787</c:v>
                </c:pt>
                <c:pt idx="1396">
                  <c:v>0.67446541171709773</c:v>
                </c:pt>
                <c:pt idx="1397">
                  <c:v>0.67457181297334845</c:v>
                </c:pt>
                <c:pt idx="1398">
                  <c:v>0.67459818657019588</c:v>
                </c:pt>
                <c:pt idx="1399">
                  <c:v>0.67487295313382278</c:v>
                </c:pt>
                <c:pt idx="1400">
                  <c:v>0.67489562911557643</c:v>
                </c:pt>
                <c:pt idx="1401">
                  <c:v>0.67495737904659825</c:v>
                </c:pt>
                <c:pt idx="1402">
                  <c:v>0.67506326201978373</c:v>
                </c:pt>
                <c:pt idx="1403">
                  <c:v>0.67513663548499403</c:v>
                </c:pt>
                <c:pt idx="1404">
                  <c:v>0.67518836162972073</c:v>
                </c:pt>
                <c:pt idx="1405">
                  <c:v>0.67523860021208959</c:v>
                </c:pt>
                <c:pt idx="1406">
                  <c:v>0.67524698919770176</c:v>
                </c:pt>
                <c:pt idx="1407">
                  <c:v>0.67530266438193431</c:v>
                </c:pt>
                <c:pt idx="1408">
                  <c:v>0.67536627072511024</c:v>
                </c:pt>
                <c:pt idx="1409">
                  <c:v>0.67557360022660728</c:v>
                </c:pt>
                <c:pt idx="1410">
                  <c:v>0.67567398694743919</c:v>
                </c:pt>
                <c:pt idx="1411">
                  <c:v>0.67575171675311163</c:v>
                </c:pt>
                <c:pt idx="1412">
                  <c:v>0.67579273145282492</c:v>
                </c:pt>
                <c:pt idx="1413">
                  <c:v>0.67586213914299997</c:v>
                </c:pt>
                <c:pt idx="1414">
                  <c:v>0.67597642204538777</c:v>
                </c:pt>
                <c:pt idx="1415">
                  <c:v>0.67602372368335362</c:v>
                </c:pt>
                <c:pt idx="1416">
                  <c:v>0.67610622545856014</c:v>
                </c:pt>
                <c:pt idx="1417">
                  <c:v>0.67615251429757739</c:v>
                </c:pt>
                <c:pt idx="1418">
                  <c:v>0.67635909736269451</c:v>
                </c:pt>
                <c:pt idx="1419">
                  <c:v>0.67638318670576736</c:v>
                </c:pt>
                <c:pt idx="1420">
                  <c:v>0.67645702037850697</c:v>
                </c:pt>
                <c:pt idx="1421">
                  <c:v>0.67652772040241005</c:v>
                </c:pt>
                <c:pt idx="1422">
                  <c:v>0.67673014077249272</c:v>
                </c:pt>
                <c:pt idx="1423">
                  <c:v>0.67691676916768961</c:v>
                </c:pt>
                <c:pt idx="1424">
                  <c:v>0.67706338947325384</c:v>
                </c:pt>
                <c:pt idx="1425">
                  <c:v>0.67709012651623846</c:v>
                </c:pt>
                <c:pt idx="1426">
                  <c:v>0.67709282015407612</c:v>
                </c:pt>
                <c:pt idx="1427">
                  <c:v>0.67725194330132599</c:v>
                </c:pt>
                <c:pt idx="1428">
                  <c:v>0.67732531140684682</c:v>
                </c:pt>
                <c:pt idx="1429">
                  <c:v>0.67741100780991381</c:v>
                </c:pt>
                <c:pt idx="1430">
                  <c:v>0.67744200984743663</c:v>
                </c:pt>
                <c:pt idx="1431">
                  <c:v>0.67748206448083359</c:v>
                </c:pt>
                <c:pt idx="1432">
                  <c:v>0.67755093069406436</c:v>
                </c:pt>
                <c:pt idx="1433">
                  <c:v>0.67756824664521453</c:v>
                </c:pt>
                <c:pt idx="1434">
                  <c:v>0.67756849315068568</c:v>
                </c:pt>
                <c:pt idx="1435">
                  <c:v>0.6777793262208176</c:v>
                </c:pt>
                <c:pt idx="1436">
                  <c:v>0.6778685021481442</c:v>
                </c:pt>
                <c:pt idx="1437">
                  <c:v>0.67790032387977717</c:v>
                </c:pt>
                <c:pt idx="1438">
                  <c:v>0.67800665470301225</c:v>
                </c:pt>
                <c:pt idx="1439">
                  <c:v>0.67805036834275367</c:v>
                </c:pt>
                <c:pt idx="1440">
                  <c:v>0.67812281639777305</c:v>
                </c:pt>
                <c:pt idx="1441">
                  <c:v>0.67821173076591923</c:v>
                </c:pt>
                <c:pt idx="1442">
                  <c:v>0.67828367515350851</c:v>
                </c:pt>
                <c:pt idx="1443">
                  <c:v>0.67835211146469332</c:v>
                </c:pt>
                <c:pt idx="1444">
                  <c:v>0.67845976705422717</c:v>
                </c:pt>
                <c:pt idx="1445">
                  <c:v>0.67849809309378262</c:v>
                </c:pt>
                <c:pt idx="1446">
                  <c:v>0.67849852101820585</c:v>
                </c:pt>
                <c:pt idx="1447">
                  <c:v>0.67851479778602675</c:v>
                </c:pt>
                <c:pt idx="1448">
                  <c:v>0.67852072468627722</c:v>
                </c:pt>
                <c:pt idx="1449">
                  <c:v>0.67852750104683834</c:v>
                </c:pt>
                <c:pt idx="1450">
                  <c:v>0.67856460862412205</c:v>
                </c:pt>
                <c:pt idx="1451">
                  <c:v>0.67865414500029875</c:v>
                </c:pt>
                <c:pt idx="1452">
                  <c:v>0.67870479411379869</c:v>
                </c:pt>
                <c:pt idx="1453">
                  <c:v>0.67872553664180524</c:v>
                </c:pt>
                <c:pt idx="1454">
                  <c:v>0.67876425932691931</c:v>
                </c:pt>
                <c:pt idx="1455">
                  <c:v>0.67879351718293535</c:v>
                </c:pt>
                <c:pt idx="1456">
                  <c:v>0.67880114059013086</c:v>
                </c:pt>
                <c:pt idx="1457">
                  <c:v>0.67887817023036556</c:v>
                </c:pt>
                <c:pt idx="1458">
                  <c:v>0.67899035108114503</c:v>
                </c:pt>
                <c:pt idx="1459">
                  <c:v>0.67924641148325293</c:v>
                </c:pt>
                <c:pt idx="1460">
                  <c:v>0.67936531401680422</c:v>
                </c:pt>
                <c:pt idx="1461">
                  <c:v>0.67945634453795178</c:v>
                </c:pt>
                <c:pt idx="1462">
                  <c:v>0.67957137919115118</c:v>
                </c:pt>
                <c:pt idx="1463">
                  <c:v>0.67971240950986955</c:v>
                </c:pt>
                <c:pt idx="1464">
                  <c:v>0.67978551193848613</c:v>
                </c:pt>
                <c:pt idx="1465">
                  <c:v>0.68001895217751485</c:v>
                </c:pt>
                <c:pt idx="1466">
                  <c:v>0.68010226180263789</c:v>
                </c:pt>
                <c:pt idx="1467">
                  <c:v>0.68011228422214687</c:v>
                </c:pt>
                <c:pt idx="1468">
                  <c:v>0.68023460634090116</c:v>
                </c:pt>
                <c:pt idx="1469">
                  <c:v>0.680337859510318</c:v>
                </c:pt>
                <c:pt idx="1470">
                  <c:v>0.68036637566586378</c:v>
                </c:pt>
                <c:pt idx="1471">
                  <c:v>0.68045872508380856</c:v>
                </c:pt>
                <c:pt idx="1472">
                  <c:v>0.68057896015839392</c:v>
                </c:pt>
                <c:pt idx="1473">
                  <c:v>0.68080929106168342</c:v>
                </c:pt>
                <c:pt idx="1474">
                  <c:v>0.68083045551535804</c:v>
                </c:pt>
                <c:pt idx="1475">
                  <c:v>0.68085973190848903</c:v>
                </c:pt>
                <c:pt idx="1476">
                  <c:v>0.68095250208807689</c:v>
                </c:pt>
                <c:pt idx="1477">
                  <c:v>0.68096502039133711</c:v>
                </c:pt>
                <c:pt idx="1478">
                  <c:v>0.68096514745308345</c:v>
                </c:pt>
                <c:pt idx="1479">
                  <c:v>0.6810583568811085</c:v>
                </c:pt>
                <c:pt idx="1480">
                  <c:v>0.68107087742140549</c:v>
                </c:pt>
                <c:pt idx="1481">
                  <c:v>0.68118262771441984</c:v>
                </c:pt>
                <c:pt idx="1482">
                  <c:v>0.68130055948398383</c:v>
                </c:pt>
                <c:pt idx="1483">
                  <c:v>0.68147773407857481</c:v>
                </c:pt>
                <c:pt idx="1484">
                  <c:v>0.68153477910502003</c:v>
                </c:pt>
                <c:pt idx="1485">
                  <c:v>0.68159628617642509</c:v>
                </c:pt>
                <c:pt idx="1486">
                  <c:v>0.68171432040308366</c:v>
                </c:pt>
                <c:pt idx="1487">
                  <c:v>0.68177591470994914</c:v>
                </c:pt>
                <c:pt idx="1488">
                  <c:v>0.68199230267734601</c:v>
                </c:pt>
                <c:pt idx="1489">
                  <c:v>0.68207181889149071</c:v>
                </c:pt>
                <c:pt idx="1490">
                  <c:v>0.68216632606176386</c:v>
                </c:pt>
                <c:pt idx="1491">
                  <c:v>0.6821758272581403</c:v>
                </c:pt>
                <c:pt idx="1492">
                  <c:v>0.68249168150220452</c:v>
                </c:pt>
                <c:pt idx="1493">
                  <c:v>0.68249468462083707</c:v>
                </c:pt>
                <c:pt idx="1494">
                  <c:v>0.682597333290063</c:v>
                </c:pt>
                <c:pt idx="1495">
                  <c:v>0.68262088958358014</c:v>
                </c:pt>
                <c:pt idx="1496">
                  <c:v>0.68270740012743836</c:v>
                </c:pt>
                <c:pt idx="1497">
                  <c:v>0.68271936178730053</c:v>
                </c:pt>
                <c:pt idx="1498">
                  <c:v>0.68283305809291006</c:v>
                </c:pt>
                <c:pt idx="1499">
                  <c:v>0.68296004564109158</c:v>
                </c:pt>
                <c:pt idx="1500">
                  <c:v>0.68330300126119004</c:v>
                </c:pt>
                <c:pt idx="1501">
                  <c:v>0.68342203740637575</c:v>
                </c:pt>
                <c:pt idx="1502">
                  <c:v>0.68355442283713619</c:v>
                </c:pt>
                <c:pt idx="1503">
                  <c:v>0.68356681504756889</c:v>
                </c:pt>
                <c:pt idx="1504">
                  <c:v>0.68360703449870686</c:v>
                </c:pt>
                <c:pt idx="1505">
                  <c:v>0.68372097515743846</c:v>
                </c:pt>
                <c:pt idx="1506">
                  <c:v>0.68374655647382898</c:v>
                </c:pt>
                <c:pt idx="1507">
                  <c:v>0.68376356327981547</c:v>
                </c:pt>
                <c:pt idx="1508">
                  <c:v>0.68381943143934854</c:v>
                </c:pt>
                <c:pt idx="1509">
                  <c:v>0.68395573162434453</c:v>
                </c:pt>
                <c:pt idx="1510">
                  <c:v>0.68396050161045696</c:v>
                </c:pt>
                <c:pt idx="1511">
                  <c:v>0.68408271795631426</c:v>
                </c:pt>
                <c:pt idx="1512">
                  <c:v>0.68409437580654364</c:v>
                </c:pt>
                <c:pt idx="1513">
                  <c:v>0.68409494043594177</c:v>
                </c:pt>
                <c:pt idx="1514">
                  <c:v>0.68444767305619358</c:v>
                </c:pt>
                <c:pt idx="1515">
                  <c:v>0.68445240622788406</c:v>
                </c:pt>
                <c:pt idx="1516">
                  <c:v>0.68462891688300709</c:v>
                </c:pt>
                <c:pt idx="1517">
                  <c:v>0.68475600135241765</c:v>
                </c:pt>
                <c:pt idx="1518">
                  <c:v>0.6848381336369681</c:v>
                </c:pt>
                <c:pt idx="1519">
                  <c:v>0.68486673438320667</c:v>
                </c:pt>
                <c:pt idx="1520">
                  <c:v>0.68489021408575124</c:v>
                </c:pt>
                <c:pt idx="1521">
                  <c:v>0.68491158409898878</c:v>
                </c:pt>
                <c:pt idx="1522">
                  <c:v>0.68491297905504411</c:v>
                </c:pt>
                <c:pt idx="1523">
                  <c:v>0.68493268158819931</c:v>
                </c:pt>
                <c:pt idx="1524">
                  <c:v>0.68517303301862265</c:v>
                </c:pt>
                <c:pt idx="1525">
                  <c:v>0.68519376439421142</c:v>
                </c:pt>
                <c:pt idx="1526">
                  <c:v>0.68539637901044947</c:v>
                </c:pt>
                <c:pt idx="1527">
                  <c:v>0.68542442528079073</c:v>
                </c:pt>
                <c:pt idx="1528">
                  <c:v>0.68545215268165027</c:v>
                </c:pt>
                <c:pt idx="1529">
                  <c:v>0.68547503016920441</c:v>
                </c:pt>
                <c:pt idx="1530">
                  <c:v>0.68555291439825317</c:v>
                </c:pt>
                <c:pt idx="1531">
                  <c:v>0.68560385119421829</c:v>
                </c:pt>
                <c:pt idx="1532">
                  <c:v>0.68568056142842682</c:v>
                </c:pt>
                <c:pt idx="1533">
                  <c:v>0.68575762629930515</c:v>
                </c:pt>
                <c:pt idx="1534">
                  <c:v>0.68600294562400599</c:v>
                </c:pt>
                <c:pt idx="1535">
                  <c:v>0.68611738011981083</c:v>
                </c:pt>
                <c:pt idx="1536">
                  <c:v>0.68625414211163427</c:v>
                </c:pt>
                <c:pt idx="1537">
                  <c:v>0.6865608878690781</c:v>
                </c:pt>
                <c:pt idx="1538">
                  <c:v>0.68673684210526331</c:v>
                </c:pt>
                <c:pt idx="1539">
                  <c:v>0.68680319810043189</c:v>
                </c:pt>
                <c:pt idx="1540">
                  <c:v>0.68695269262717507</c:v>
                </c:pt>
                <c:pt idx="1541">
                  <c:v>0.68704714110111564</c:v>
                </c:pt>
                <c:pt idx="1542">
                  <c:v>0.68713966070392662</c:v>
                </c:pt>
                <c:pt idx="1543">
                  <c:v>0.6872552493500762</c:v>
                </c:pt>
                <c:pt idx="1544">
                  <c:v>0.68730436877388612</c:v>
                </c:pt>
                <c:pt idx="1545">
                  <c:v>0.68741946497208084</c:v>
                </c:pt>
                <c:pt idx="1546">
                  <c:v>0.68757674250631973</c:v>
                </c:pt>
                <c:pt idx="1547">
                  <c:v>0.68783274938829686</c:v>
                </c:pt>
                <c:pt idx="1548">
                  <c:v>0.6878512760012413</c:v>
                </c:pt>
                <c:pt idx="1549">
                  <c:v>0.68793305770940039</c:v>
                </c:pt>
                <c:pt idx="1550">
                  <c:v>0.68816741278253535</c:v>
                </c:pt>
                <c:pt idx="1551">
                  <c:v>0.68821039099056591</c:v>
                </c:pt>
                <c:pt idx="1552">
                  <c:v>0.68833371886806904</c:v>
                </c:pt>
                <c:pt idx="1553">
                  <c:v>0.68850861300111632</c:v>
                </c:pt>
                <c:pt idx="1554">
                  <c:v>0.68858165057530785</c:v>
                </c:pt>
                <c:pt idx="1555">
                  <c:v>0.68871222934023779</c:v>
                </c:pt>
                <c:pt idx="1556">
                  <c:v>0.68880024906778747</c:v>
                </c:pt>
                <c:pt idx="1557">
                  <c:v>0.68896551724137989</c:v>
                </c:pt>
                <c:pt idx="1558">
                  <c:v>0.68897500206925588</c:v>
                </c:pt>
                <c:pt idx="1559">
                  <c:v>0.68906160328102839</c:v>
                </c:pt>
                <c:pt idx="1560">
                  <c:v>0.68920358078092314</c:v>
                </c:pt>
                <c:pt idx="1561">
                  <c:v>0.68922079433500194</c:v>
                </c:pt>
                <c:pt idx="1562">
                  <c:v>0.6892284346445261</c:v>
                </c:pt>
                <c:pt idx="1563">
                  <c:v>0.68960832415539774</c:v>
                </c:pt>
                <c:pt idx="1564">
                  <c:v>0.68989857956660772</c:v>
                </c:pt>
                <c:pt idx="1565">
                  <c:v>0.68990800264609453</c:v>
                </c:pt>
                <c:pt idx="1566">
                  <c:v>0.68995888885249135</c:v>
                </c:pt>
                <c:pt idx="1567">
                  <c:v>0.69016155482271169</c:v>
                </c:pt>
                <c:pt idx="1568">
                  <c:v>0.69023533012970617</c:v>
                </c:pt>
                <c:pt idx="1569">
                  <c:v>0.69041672829981393</c:v>
                </c:pt>
                <c:pt idx="1570">
                  <c:v>0.69043106475252003</c:v>
                </c:pt>
                <c:pt idx="1571">
                  <c:v>0.69046171660153433</c:v>
                </c:pt>
                <c:pt idx="1572">
                  <c:v>0.69046992168720789</c:v>
                </c:pt>
                <c:pt idx="1573">
                  <c:v>0.69064184596882461</c:v>
                </c:pt>
                <c:pt idx="1574">
                  <c:v>0.69071756463648648</c:v>
                </c:pt>
                <c:pt idx="1575">
                  <c:v>0.69080593239229315</c:v>
                </c:pt>
                <c:pt idx="1576">
                  <c:v>0.6908238025259299</c:v>
                </c:pt>
                <c:pt idx="1577">
                  <c:v>0.6908399103585966</c:v>
                </c:pt>
                <c:pt idx="1578">
                  <c:v>0.69090832622817266</c:v>
                </c:pt>
                <c:pt idx="1579">
                  <c:v>0.69095814952575219</c:v>
                </c:pt>
                <c:pt idx="1580">
                  <c:v>0.69112156280297976</c:v>
                </c:pt>
                <c:pt idx="1581">
                  <c:v>0.69124057214492618</c:v>
                </c:pt>
                <c:pt idx="1582">
                  <c:v>0.69133658330758951</c:v>
                </c:pt>
                <c:pt idx="1583">
                  <c:v>0.69153577812174583</c:v>
                </c:pt>
                <c:pt idx="1584">
                  <c:v>0.69156701956927669</c:v>
                </c:pt>
                <c:pt idx="1585">
                  <c:v>0.69174757642441065</c:v>
                </c:pt>
                <c:pt idx="1586">
                  <c:v>0.69187172068309222</c:v>
                </c:pt>
                <c:pt idx="1587">
                  <c:v>0.69192243956292065</c:v>
                </c:pt>
                <c:pt idx="1588">
                  <c:v>0.69192659033175397</c:v>
                </c:pt>
                <c:pt idx="1589">
                  <c:v>0.69232884629726232</c:v>
                </c:pt>
                <c:pt idx="1590">
                  <c:v>0.69255750565084351</c:v>
                </c:pt>
                <c:pt idx="1591">
                  <c:v>0.69256632519043859</c:v>
                </c:pt>
                <c:pt idx="1592">
                  <c:v>0.69279601009790093</c:v>
                </c:pt>
                <c:pt idx="1593">
                  <c:v>0.69280170159349974</c:v>
                </c:pt>
                <c:pt idx="1594">
                  <c:v>0.69290078624772378</c:v>
                </c:pt>
                <c:pt idx="1595">
                  <c:v>0.69290880909325703</c:v>
                </c:pt>
                <c:pt idx="1596">
                  <c:v>0.69299910950958588</c:v>
                </c:pt>
                <c:pt idx="1597">
                  <c:v>0.69326567700460917</c:v>
                </c:pt>
                <c:pt idx="1598">
                  <c:v>0.69336110446003352</c:v>
                </c:pt>
                <c:pt idx="1599">
                  <c:v>0.69338292197302753</c:v>
                </c:pt>
                <c:pt idx="1600">
                  <c:v>0.69342957383329951</c:v>
                </c:pt>
                <c:pt idx="1601">
                  <c:v>0.69352451433857587</c:v>
                </c:pt>
                <c:pt idx="1602">
                  <c:v>0.69360371267150911</c:v>
                </c:pt>
                <c:pt idx="1603">
                  <c:v>0.693818511397857</c:v>
                </c:pt>
                <c:pt idx="1604">
                  <c:v>0.69383662420469983</c:v>
                </c:pt>
                <c:pt idx="1605">
                  <c:v>0.69395675712027882</c:v>
                </c:pt>
                <c:pt idx="1606">
                  <c:v>0.69395789953486386</c:v>
                </c:pt>
                <c:pt idx="1607">
                  <c:v>0.69396872673119969</c:v>
                </c:pt>
                <c:pt idx="1608">
                  <c:v>0.69397110159203357</c:v>
                </c:pt>
                <c:pt idx="1609">
                  <c:v>0.69403990709252494</c:v>
                </c:pt>
                <c:pt idx="1610">
                  <c:v>0.69405196985328954</c:v>
                </c:pt>
                <c:pt idx="1611">
                  <c:v>0.69414740555091425</c:v>
                </c:pt>
                <c:pt idx="1612">
                  <c:v>0.6941940848311392</c:v>
                </c:pt>
                <c:pt idx="1613">
                  <c:v>0.69422162447764046</c:v>
                </c:pt>
                <c:pt idx="1614">
                  <c:v>0.69423573842178488</c:v>
                </c:pt>
                <c:pt idx="1615">
                  <c:v>0.69433342550470856</c:v>
                </c:pt>
                <c:pt idx="1616">
                  <c:v>0.69436461679522488</c:v>
                </c:pt>
                <c:pt idx="1617">
                  <c:v>0.69438740426339107</c:v>
                </c:pt>
                <c:pt idx="1618">
                  <c:v>0.69440492062247328</c:v>
                </c:pt>
                <c:pt idx="1619">
                  <c:v>0.69443558265988592</c:v>
                </c:pt>
                <c:pt idx="1620">
                  <c:v>0.69445477806409528</c:v>
                </c:pt>
                <c:pt idx="1621">
                  <c:v>0.69450765556960226</c:v>
                </c:pt>
                <c:pt idx="1622">
                  <c:v>0.69457594934658029</c:v>
                </c:pt>
                <c:pt idx="1623">
                  <c:v>0.69462328779730065</c:v>
                </c:pt>
                <c:pt idx="1624">
                  <c:v>0.69463317407743941</c:v>
                </c:pt>
                <c:pt idx="1625">
                  <c:v>0.6946401250642702</c:v>
                </c:pt>
                <c:pt idx="1626">
                  <c:v>0.69469337495154238</c:v>
                </c:pt>
                <c:pt idx="1627">
                  <c:v>0.69474493417134353</c:v>
                </c:pt>
                <c:pt idx="1628">
                  <c:v>0.69475522076560758</c:v>
                </c:pt>
                <c:pt idx="1629">
                  <c:v>0.69489284301807419</c:v>
                </c:pt>
                <c:pt idx="1630">
                  <c:v>0.694897902614803</c:v>
                </c:pt>
                <c:pt idx="1631">
                  <c:v>0.69510462053861555</c:v>
                </c:pt>
                <c:pt idx="1632">
                  <c:v>0.69521806457577362</c:v>
                </c:pt>
                <c:pt idx="1633">
                  <c:v>0.69529790660225521</c:v>
                </c:pt>
                <c:pt idx="1634">
                  <c:v>0.69538367799237333</c:v>
                </c:pt>
                <c:pt idx="1635">
                  <c:v>0.69574624837274524</c:v>
                </c:pt>
                <c:pt idx="1636">
                  <c:v>0.69594125822089492</c:v>
                </c:pt>
                <c:pt idx="1637">
                  <c:v>0.69598770849253533</c:v>
                </c:pt>
                <c:pt idx="1638">
                  <c:v>0.69608592290711435</c:v>
                </c:pt>
                <c:pt idx="1639">
                  <c:v>0.69636457548247188</c:v>
                </c:pt>
                <c:pt idx="1640">
                  <c:v>0.69640114026628863</c:v>
                </c:pt>
                <c:pt idx="1641">
                  <c:v>0.69644417036984374</c:v>
                </c:pt>
                <c:pt idx="1642">
                  <c:v>0.69651039787225943</c:v>
                </c:pt>
                <c:pt idx="1643">
                  <c:v>0.69664127019160205</c:v>
                </c:pt>
                <c:pt idx="1644">
                  <c:v>0.69668636522685745</c:v>
                </c:pt>
                <c:pt idx="1645">
                  <c:v>0.69674289674289691</c:v>
                </c:pt>
                <c:pt idx="1646">
                  <c:v>0.69674901867590433</c:v>
                </c:pt>
                <c:pt idx="1647">
                  <c:v>0.69675261658544818</c:v>
                </c:pt>
                <c:pt idx="1648">
                  <c:v>0.69678022874617485</c:v>
                </c:pt>
                <c:pt idx="1649">
                  <c:v>0.69678808280933846</c:v>
                </c:pt>
                <c:pt idx="1650">
                  <c:v>0.69715097584685559</c:v>
                </c:pt>
                <c:pt idx="1651">
                  <c:v>0.69722866931688621</c:v>
                </c:pt>
                <c:pt idx="1652">
                  <c:v>0.69728453364816956</c:v>
                </c:pt>
                <c:pt idx="1653">
                  <c:v>0.69760499522471708</c:v>
                </c:pt>
                <c:pt idx="1654">
                  <c:v>0.69764911782791694</c:v>
                </c:pt>
                <c:pt idx="1655">
                  <c:v>0.6977644014126182</c:v>
                </c:pt>
                <c:pt idx="1656">
                  <c:v>0.69792808020407748</c:v>
                </c:pt>
                <c:pt idx="1657">
                  <c:v>0.69798579396793736</c:v>
                </c:pt>
                <c:pt idx="1658">
                  <c:v>0.69806582965727815</c:v>
                </c:pt>
                <c:pt idx="1659">
                  <c:v>0.69812195646185804</c:v>
                </c:pt>
                <c:pt idx="1660">
                  <c:v>0.69813818265628214</c:v>
                </c:pt>
                <c:pt idx="1661">
                  <c:v>0.69820041887095263</c:v>
                </c:pt>
                <c:pt idx="1662">
                  <c:v>0.69836291078618873</c:v>
                </c:pt>
                <c:pt idx="1663">
                  <c:v>0.69837007925692285</c:v>
                </c:pt>
                <c:pt idx="1664">
                  <c:v>0.69840982286634457</c:v>
                </c:pt>
                <c:pt idx="1665">
                  <c:v>0.69843629856421896</c:v>
                </c:pt>
                <c:pt idx="1666">
                  <c:v>0.6984412091055443</c:v>
                </c:pt>
                <c:pt idx="1667">
                  <c:v>0.69848876129089676</c:v>
                </c:pt>
                <c:pt idx="1668">
                  <c:v>0.69851653513244649</c:v>
                </c:pt>
                <c:pt idx="1669">
                  <c:v>0.69854701147652443</c:v>
                </c:pt>
                <c:pt idx="1670">
                  <c:v>0.69857162153035657</c:v>
                </c:pt>
                <c:pt idx="1671">
                  <c:v>0.6987198238699347</c:v>
                </c:pt>
                <c:pt idx="1672">
                  <c:v>0.69872060791889246</c:v>
                </c:pt>
                <c:pt idx="1673">
                  <c:v>0.69885777994494469</c:v>
                </c:pt>
                <c:pt idx="1674">
                  <c:v>0.69896433596890939</c:v>
                </c:pt>
                <c:pt idx="1675">
                  <c:v>0.69920832701518587</c:v>
                </c:pt>
                <c:pt idx="1676">
                  <c:v>0.69922288904271324</c:v>
                </c:pt>
                <c:pt idx="1677">
                  <c:v>0.69971473328386546</c:v>
                </c:pt>
                <c:pt idx="1678">
                  <c:v>0.69975007372051812</c:v>
                </c:pt>
                <c:pt idx="1679">
                  <c:v>0.69982907548148854</c:v>
                </c:pt>
                <c:pt idx="1680">
                  <c:v>0.69986864593740639</c:v>
                </c:pt>
                <c:pt idx="1681">
                  <c:v>0.70000260009710913</c:v>
                </c:pt>
                <c:pt idx="1682">
                  <c:v>0.7002728469056626</c:v>
                </c:pt>
                <c:pt idx="1683">
                  <c:v>0.70050943888153194</c:v>
                </c:pt>
                <c:pt idx="1684">
                  <c:v>0.70056626952932244</c:v>
                </c:pt>
                <c:pt idx="1685">
                  <c:v>0.70057688293784048</c:v>
                </c:pt>
                <c:pt idx="1686">
                  <c:v>0.70066835693578033</c:v>
                </c:pt>
                <c:pt idx="1687">
                  <c:v>0.70075113767202124</c:v>
                </c:pt>
                <c:pt idx="1688">
                  <c:v>0.70102514506769753</c:v>
                </c:pt>
                <c:pt idx="1689">
                  <c:v>0.701062469437016</c:v>
                </c:pt>
                <c:pt idx="1690">
                  <c:v>0.70112415340766066</c:v>
                </c:pt>
                <c:pt idx="1691">
                  <c:v>0.70117699311570125</c:v>
                </c:pt>
                <c:pt idx="1692">
                  <c:v>0.70123254288124437</c:v>
                </c:pt>
                <c:pt idx="1693">
                  <c:v>0.70130058388375427</c:v>
                </c:pt>
                <c:pt idx="1694">
                  <c:v>0.70132165983692474</c:v>
                </c:pt>
                <c:pt idx="1695">
                  <c:v>0.70132400514839588</c:v>
                </c:pt>
                <c:pt idx="1696">
                  <c:v>0.70132747206401769</c:v>
                </c:pt>
                <c:pt idx="1697">
                  <c:v>0.70133404621666917</c:v>
                </c:pt>
                <c:pt idx="1698">
                  <c:v>0.70148964543600512</c:v>
                </c:pt>
                <c:pt idx="1699">
                  <c:v>0.701504543423209</c:v>
                </c:pt>
                <c:pt idx="1700">
                  <c:v>0.70165886507349851</c:v>
                </c:pt>
                <c:pt idx="1701">
                  <c:v>0.70206900788211757</c:v>
                </c:pt>
                <c:pt idx="1702">
                  <c:v>0.70213607594936767</c:v>
                </c:pt>
                <c:pt idx="1703">
                  <c:v>0.70218066635086562</c:v>
                </c:pt>
                <c:pt idx="1704">
                  <c:v>0.70252424844870154</c:v>
                </c:pt>
                <c:pt idx="1705">
                  <c:v>0.70265056216764243</c:v>
                </c:pt>
                <c:pt idx="1706">
                  <c:v>0.70265401540153971</c:v>
                </c:pt>
                <c:pt idx="1707">
                  <c:v>0.70287026406429365</c:v>
                </c:pt>
                <c:pt idx="1708">
                  <c:v>0.70303246455530755</c:v>
                </c:pt>
                <c:pt idx="1709">
                  <c:v>0.70322491392031372</c:v>
                </c:pt>
                <c:pt idx="1710">
                  <c:v>0.70344506903667992</c:v>
                </c:pt>
                <c:pt idx="1711">
                  <c:v>0.70348125394854322</c:v>
                </c:pt>
                <c:pt idx="1712">
                  <c:v>0.70361485923704747</c:v>
                </c:pt>
                <c:pt idx="1713">
                  <c:v>0.70362293227916139</c:v>
                </c:pt>
                <c:pt idx="1714">
                  <c:v>0.70365322601858327</c:v>
                </c:pt>
                <c:pt idx="1715">
                  <c:v>0.70366151657061926</c:v>
                </c:pt>
                <c:pt idx="1716">
                  <c:v>0.70366192138956063</c:v>
                </c:pt>
                <c:pt idx="1717">
                  <c:v>0.70369530756354703</c:v>
                </c:pt>
                <c:pt idx="1718">
                  <c:v>0.70377948083985675</c:v>
                </c:pt>
                <c:pt idx="1719">
                  <c:v>0.70399289802786114</c:v>
                </c:pt>
                <c:pt idx="1720">
                  <c:v>0.70404040404040413</c:v>
                </c:pt>
                <c:pt idx="1721">
                  <c:v>0.70413060454220044</c:v>
                </c:pt>
                <c:pt idx="1722">
                  <c:v>0.70418307878058051</c:v>
                </c:pt>
                <c:pt idx="1723">
                  <c:v>0.70427411478301427</c:v>
                </c:pt>
                <c:pt idx="1724">
                  <c:v>0.70428144028115724</c:v>
                </c:pt>
                <c:pt idx="1725">
                  <c:v>0.70429334564400103</c:v>
                </c:pt>
                <c:pt idx="1726">
                  <c:v>0.70430071632467839</c:v>
                </c:pt>
                <c:pt idx="1727">
                  <c:v>0.70431283521528476</c:v>
                </c:pt>
                <c:pt idx="1728">
                  <c:v>0.70446271494593315</c:v>
                </c:pt>
                <c:pt idx="1729">
                  <c:v>0.70459163790223811</c:v>
                </c:pt>
                <c:pt idx="1730">
                  <c:v>0.704652544597825</c:v>
                </c:pt>
                <c:pt idx="1731">
                  <c:v>0.7046586807706019</c:v>
                </c:pt>
                <c:pt idx="1732">
                  <c:v>0.70486712419861575</c:v>
                </c:pt>
                <c:pt idx="1733">
                  <c:v>0.70505462104835948</c:v>
                </c:pt>
                <c:pt idx="1734">
                  <c:v>0.70508091972171516</c:v>
                </c:pt>
                <c:pt idx="1735">
                  <c:v>0.70527923631869083</c:v>
                </c:pt>
                <c:pt idx="1736">
                  <c:v>0.70532674314148125</c:v>
                </c:pt>
                <c:pt idx="1737">
                  <c:v>0.70534796339411243</c:v>
                </c:pt>
                <c:pt idx="1738">
                  <c:v>0.70553248440236949</c:v>
                </c:pt>
                <c:pt idx="1739">
                  <c:v>0.7055398117743491</c:v>
                </c:pt>
                <c:pt idx="1740">
                  <c:v>0.70554553326598368</c:v>
                </c:pt>
                <c:pt idx="1741">
                  <c:v>0.70585238148857121</c:v>
                </c:pt>
                <c:pt idx="1742">
                  <c:v>0.70586225138579994</c:v>
                </c:pt>
                <c:pt idx="1743">
                  <c:v>0.70597944120777856</c:v>
                </c:pt>
                <c:pt idx="1744">
                  <c:v>0.70604440352678766</c:v>
                </c:pt>
                <c:pt idx="1745">
                  <c:v>0.70604914679079578</c:v>
                </c:pt>
                <c:pt idx="1746">
                  <c:v>0.70633202253327754</c:v>
                </c:pt>
                <c:pt idx="1747">
                  <c:v>0.70635954573394666</c:v>
                </c:pt>
                <c:pt idx="1748">
                  <c:v>0.70636064914163077</c:v>
                </c:pt>
                <c:pt idx="1749">
                  <c:v>0.70639499042860321</c:v>
                </c:pt>
                <c:pt idx="1750">
                  <c:v>0.70650544319454955</c:v>
                </c:pt>
                <c:pt idx="1751">
                  <c:v>0.70658319539815484</c:v>
                </c:pt>
                <c:pt idx="1752">
                  <c:v>0.70668344996301957</c:v>
                </c:pt>
                <c:pt idx="1753">
                  <c:v>0.70677831194880414</c:v>
                </c:pt>
                <c:pt idx="1754">
                  <c:v>0.70702054794520519</c:v>
                </c:pt>
                <c:pt idx="1755">
                  <c:v>0.70712229590851272</c:v>
                </c:pt>
                <c:pt idx="1756">
                  <c:v>0.70712798831180568</c:v>
                </c:pt>
                <c:pt idx="1757">
                  <c:v>0.70719160885232357</c:v>
                </c:pt>
                <c:pt idx="1758">
                  <c:v>0.70733554727515369</c:v>
                </c:pt>
                <c:pt idx="1759">
                  <c:v>0.70737300182424134</c:v>
                </c:pt>
                <c:pt idx="1760">
                  <c:v>0.70751828620238122</c:v>
                </c:pt>
                <c:pt idx="1761">
                  <c:v>0.70753233466522869</c:v>
                </c:pt>
                <c:pt idx="1762">
                  <c:v>0.7075574301023918</c:v>
                </c:pt>
                <c:pt idx="1763">
                  <c:v>0.70760880243638891</c:v>
                </c:pt>
                <c:pt idx="1764">
                  <c:v>0.70776269114586443</c:v>
                </c:pt>
                <c:pt idx="1765">
                  <c:v>0.7077773054414217</c:v>
                </c:pt>
                <c:pt idx="1766">
                  <c:v>0.70800196367206558</c:v>
                </c:pt>
                <c:pt idx="1767">
                  <c:v>0.70828499634587982</c:v>
                </c:pt>
                <c:pt idx="1768">
                  <c:v>0.70840629611964379</c:v>
                </c:pt>
                <c:pt idx="1769">
                  <c:v>0.70850756416794158</c:v>
                </c:pt>
                <c:pt idx="1770">
                  <c:v>0.70855040270472258</c:v>
                </c:pt>
                <c:pt idx="1771">
                  <c:v>0.70880904670922851</c:v>
                </c:pt>
                <c:pt idx="1772">
                  <c:v>0.70883725589294599</c:v>
                </c:pt>
                <c:pt idx="1773">
                  <c:v>0.70887775736823033</c:v>
                </c:pt>
                <c:pt idx="1774">
                  <c:v>0.70888177756309612</c:v>
                </c:pt>
                <c:pt idx="1775">
                  <c:v>0.70889613455718781</c:v>
                </c:pt>
                <c:pt idx="1776">
                  <c:v>0.70916160299061803</c:v>
                </c:pt>
                <c:pt idx="1777">
                  <c:v>0.70940411870644526</c:v>
                </c:pt>
                <c:pt idx="1778">
                  <c:v>0.70941339620308386</c:v>
                </c:pt>
                <c:pt idx="1779">
                  <c:v>0.70943863254249906</c:v>
                </c:pt>
                <c:pt idx="1780">
                  <c:v>0.70951932006369922</c:v>
                </c:pt>
                <c:pt idx="1781">
                  <c:v>0.70953584045808626</c:v>
                </c:pt>
                <c:pt idx="1782">
                  <c:v>0.70971021116032762</c:v>
                </c:pt>
                <c:pt idx="1783">
                  <c:v>0.70981026444558404</c:v>
                </c:pt>
                <c:pt idx="1784">
                  <c:v>0.70995366424398421</c:v>
                </c:pt>
                <c:pt idx="1785">
                  <c:v>0.70997306420266648</c:v>
                </c:pt>
                <c:pt idx="1786">
                  <c:v>0.71031816340994136</c:v>
                </c:pt>
                <c:pt idx="1787">
                  <c:v>0.7103744366083431</c:v>
                </c:pt>
                <c:pt idx="1788">
                  <c:v>0.71050823324395906</c:v>
                </c:pt>
                <c:pt idx="1789">
                  <c:v>0.71064168991630128</c:v>
                </c:pt>
                <c:pt idx="1790">
                  <c:v>0.71085210829685985</c:v>
                </c:pt>
                <c:pt idx="1791">
                  <c:v>0.71087322363500294</c:v>
                </c:pt>
                <c:pt idx="1792">
                  <c:v>0.71093470526857416</c:v>
                </c:pt>
                <c:pt idx="1793">
                  <c:v>0.71108343992005341</c:v>
                </c:pt>
                <c:pt idx="1794">
                  <c:v>0.71124741492761723</c:v>
                </c:pt>
                <c:pt idx="1795">
                  <c:v>0.71137285882766677</c:v>
                </c:pt>
                <c:pt idx="1796">
                  <c:v>0.71138133613920951</c:v>
                </c:pt>
                <c:pt idx="1797">
                  <c:v>0.71139527395326863</c:v>
                </c:pt>
                <c:pt idx="1798">
                  <c:v>0.71161334289616351</c:v>
                </c:pt>
                <c:pt idx="1799">
                  <c:v>0.71165488334188742</c:v>
                </c:pt>
                <c:pt idx="1800">
                  <c:v>0.71168867406285763</c:v>
                </c:pt>
                <c:pt idx="1801">
                  <c:v>0.71170913041095163</c:v>
                </c:pt>
                <c:pt idx="1802">
                  <c:v>0.71174082747853196</c:v>
                </c:pt>
                <c:pt idx="1803">
                  <c:v>0.71184137785604806</c:v>
                </c:pt>
                <c:pt idx="1804">
                  <c:v>0.71185120010737202</c:v>
                </c:pt>
                <c:pt idx="1805">
                  <c:v>0.71189234004691471</c:v>
                </c:pt>
                <c:pt idx="1806">
                  <c:v>0.71192163889004934</c:v>
                </c:pt>
                <c:pt idx="1807">
                  <c:v>0.71193450606703002</c:v>
                </c:pt>
                <c:pt idx="1808">
                  <c:v>0.71193906447012101</c:v>
                </c:pt>
                <c:pt idx="1809">
                  <c:v>0.7119741650378173</c:v>
                </c:pt>
                <c:pt idx="1810">
                  <c:v>0.7120784512558952</c:v>
                </c:pt>
                <c:pt idx="1811">
                  <c:v>0.71210219632451766</c:v>
                </c:pt>
                <c:pt idx="1812">
                  <c:v>0.7124179544022079</c:v>
                </c:pt>
                <c:pt idx="1813">
                  <c:v>0.71261878984722726</c:v>
                </c:pt>
                <c:pt idx="1814">
                  <c:v>0.71265141232864604</c:v>
                </c:pt>
                <c:pt idx="1815">
                  <c:v>0.71285944793407496</c:v>
                </c:pt>
                <c:pt idx="1816">
                  <c:v>0.712876047064958</c:v>
                </c:pt>
                <c:pt idx="1817">
                  <c:v>0.71308863824635105</c:v>
                </c:pt>
                <c:pt idx="1818">
                  <c:v>0.71309254949802803</c:v>
                </c:pt>
                <c:pt idx="1819">
                  <c:v>0.71309728449857057</c:v>
                </c:pt>
                <c:pt idx="1820">
                  <c:v>0.71317364075436607</c:v>
                </c:pt>
                <c:pt idx="1821">
                  <c:v>0.71332936822627435</c:v>
                </c:pt>
                <c:pt idx="1822">
                  <c:v>0.7134798869543314</c:v>
                </c:pt>
                <c:pt idx="1823">
                  <c:v>0.71353353878434167</c:v>
                </c:pt>
                <c:pt idx="1824">
                  <c:v>0.71360389116887146</c:v>
                </c:pt>
                <c:pt idx="1825">
                  <c:v>0.71374999999999966</c:v>
                </c:pt>
                <c:pt idx="1826">
                  <c:v>0.71388636089471458</c:v>
                </c:pt>
                <c:pt idx="1827">
                  <c:v>0.71390798489446494</c:v>
                </c:pt>
                <c:pt idx="1828">
                  <c:v>0.71394137105688005</c:v>
                </c:pt>
                <c:pt idx="1829">
                  <c:v>0.71422158189259122</c:v>
                </c:pt>
                <c:pt idx="1830">
                  <c:v>0.71435153408597829</c:v>
                </c:pt>
                <c:pt idx="1831">
                  <c:v>0.71447606828949806</c:v>
                </c:pt>
                <c:pt idx="1832">
                  <c:v>0.71455642147966325</c:v>
                </c:pt>
                <c:pt idx="1833">
                  <c:v>0.71459365748589909</c:v>
                </c:pt>
                <c:pt idx="1834">
                  <c:v>0.71473246108211408</c:v>
                </c:pt>
                <c:pt idx="1835">
                  <c:v>0.71477509995390398</c:v>
                </c:pt>
                <c:pt idx="1836">
                  <c:v>0.71478225833910158</c:v>
                </c:pt>
                <c:pt idx="1837">
                  <c:v>0.71479586491111657</c:v>
                </c:pt>
                <c:pt idx="1838">
                  <c:v>0.71488332722571257</c:v>
                </c:pt>
                <c:pt idx="1839">
                  <c:v>0.71505683092420247</c:v>
                </c:pt>
                <c:pt idx="1840">
                  <c:v>0.71511590995664776</c:v>
                </c:pt>
                <c:pt idx="1841">
                  <c:v>0.71515206607277271</c:v>
                </c:pt>
                <c:pt idx="1842">
                  <c:v>0.71517998518162762</c:v>
                </c:pt>
                <c:pt idx="1843">
                  <c:v>0.71521960877143909</c:v>
                </c:pt>
                <c:pt idx="1844">
                  <c:v>0.71534463774498946</c:v>
                </c:pt>
                <c:pt idx="1845">
                  <c:v>0.71536441700376019</c:v>
                </c:pt>
                <c:pt idx="1846">
                  <c:v>0.71536538675440076</c:v>
                </c:pt>
                <c:pt idx="1847">
                  <c:v>0.71553200244232673</c:v>
                </c:pt>
                <c:pt idx="1848">
                  <c:v>0.71554038491657679</c:v>
                </c:pt>
                <c:pt idx="1849">
                  <c:v>0.71556853682888366</c:v>
                </c:pt>
                <c:pt idx="1850">
                  <c:v>0.71562655416645293</c:v>
                </c:pt>
                <c:pt idx="1851">
                  <c:v>0.71569391792463011</c:v>
                </c:pt>
                <c:pt idx="1852">
                  <c:v>0.71573131724338457</c:v>
                </c:pt>
                <c:pt idx="1853">
                  <c:v>0.71577207024603795</c:v>
                </c:pt>
                <c:pt idx="1854">
                  <c:v>0.71603222602223049</c:v>
                </c:pt>
                <c:pt idx="1855">
                  <c:v>0.71655014276019224</c:v>
                </c:pt>
                <c:pt idx="1856">
                  <c:v>0.716636154115047</c:v>
                </c:pt>
                <c:pt idx="1857">
                  <c:v>0.71665465032444131</c:v>
                </c:pt>
                <c:pt idx="1858">
                  <c:v>0.71666666666666634</c:v>
                </c:pt>
                <c:pt idx="1859">
                  <c:v>0.71671906519923412</c:v>
                </c:pt>
                <c:pt idx="1860">
                  <c:v>0.71683815743028645</c:v>
                </c:pt>
                <c:pt idx="1861">
                  <c:v>0.71690846764392813</c:v>
                </c:pt>
                <c:pt idx="1862">
                  <c:v>0.71692755747314096</c:v>
                </c:pt>
                <c:pt idx="1863">
                  <c:v>0.717030868097013</c:v>
                </c:pt>
                <c:pt idx="1864">
                  <c:v>0.71716797416338296</c:v>
                </c:pt>
                <c:pt idx="1865">
                  <c:v>0.71730992574549257</c:v>
                </c:pt>
                <c:pt idx="1866">
                  <c:v>0.71732410239472844</c:v>
                </c:pt>
                <c:pt idx="1867">
                  <c:v>0.71734103361307</c:v>
                </c:pt>
                <c:pt idx="1868">
                  <c:v>0.71737636599018684</c:v>
                </c:pt>
                <c:pt idx="1869">
                  <c:v>0.71758897349740136</c:v>
                </c:pt>
                <c:pt idx="1870">
                  <c:v>0.71765932102441943</c:v>
                </c:pt>
                <c:pt idx="1871">
                  <c:v>0.71776492614011955</c:v>
                </c:pt>
                <c:pt idx="1872">
                  <c:v>0.71787303072222708</c:v>
                </c:pt>
                <c:pt idx="1873">
                  <c:v>0.71806747074403565</c:v>
                </c:pt>
                <c:pt idx="1874">
                  <c:v>0.71809246464752008</c:v>
                </c:pt>
                <c:pt idx="1875">
                  <c:v>0.71809802726658722</c:v>
                </c:pt>
                <c:pt idx="1876">
                  <c:v>0.7182266419981499</c:v>
                </c:pt>
                <c:pt idx="1877">
                  <c:v>0.7184731182795705</c:v>
                </c:pt>
                <c:pt idx="1878">
                  <c:v>0.71861104066375503</c:v>
                </c:pt>
                <c:pt idx="1879">
                  <c:v>0.71888762220469049</c:v>
                </c:pt>
                <c:pt idx="1880">
                  <c:v>0.71902733417775888</c:v>
                </c:pt>
                <c:pt idx="1881">
                  <c:v>0.71906381655024076</c:v>
                </c:pt>
                <c:pt idx="1882">
                  <c:v>0.71932194148139827</c:v>
                </c:pt>
                <c:pt idx="1883">
                  <c:v>0.7193923327449574</c:v>
                </c:pt>
                <c:pt idx="1884">
                  <c:v>0.71953599012360459</c:v>
                </c:pt>
                <c:pt idx="1885">
                  <c:v>0.72002575875476149</c:v>
                </c:pt>
                <c:pt idx="1886">
                  <c:v>0.72006708952258136</c:v>
                </c:pt>
                <c:pt idx="1887">
                  <c:v>0.72032289374831315</c:v>
                </c:pt>
                <c:pt idx="1888">
                  <c:v>0.72041366251547601</c:v>
                </c:pt>
                <c:pt idx="1889">
                  <c:v>0.72045275785372409</c:v>
                </c:pt>
                <c:pt idx="1890">
                  <c:v>0.72055477218976816</c:v>
                </c:pt>
                <c:pt idx="1891">
                  <c:v>0.7206277631432636</c:v>
                </c:pt>
                <c:pt idx="1892">
                  <c:v>0.72079734113137939</c:v>
                </c:pt>
                <c:pt idx="1893">
                  <c:v>0.72104257558264206</c:v>
                </c:pt>
                <c:pt idx="1894">
                  <c:v>0.72105636542554508</c:v>
                </c:pt>
                <c:pt idx="1895">
                  <c:v>0.72120866140696482</c:v>
                </c:pt>
                <c:pt idx="1896">
                  <c:v>0.72146708368426682</c:v>
                </c:pt>
                <c:pt idx="1897">
                  <c:v>0.72207534600551437</c:v>
                </c:pt>
                <c:pt idx="1898">
                  <c:v>0.72217946518444054</c:v>
                </c:pt>
                <c:pt idx="1899">
                  <c:v>0.72225414134559074</c:v>
                </c:pt>
                <c:pt idx="1900">
                  <c:v>0.72251582714010443</c:v>
                </c:pt>
                <c:pt idx="1901">
                  <c:v>0.72257792422731559</c:v>
                </c:pt>
                <c:pt idx="1902">
                  <c:v>0.72277350260452433</c:v>
                </c:pt>
                <c:pt idx="1903">
                  <c:v>0.72282913012417049</c:v>
                </c:pt>
                <c:pt idx="1904">
                  <c:v>0.72284302495937769</c:v>
                </c:pt>
                <c:pt idx="1905">
                  <c:v>0.72296422782335357</c:v>
                </c:pt>
                <c:pt idx="1906">
                  <c:v>0.72308102345415759</c:v>
                </c:pt>
                <c:pt idx="1907">
                  <c:v>0.72312113709942605</c:v>
                </c:pt>
                <c:pt idx="1908">
                  <c:v>0.72327005728841565</c:v>
                </c:pt>
                <c:pt idx="1909">
                  <c:v>0.72327738294272403</c:v>
                </c:pt>
                <c:pt idx="1910">
                  <c:v>0.72401865825033662</c:v>
                </c:pt>
                <c:pt idx="1911">
                  <c:v>0.72409879289745749</c:v>
                </c:pt>
                <c:pt idx="1912">
                  <c:v>0.72412398435769143</c:v>
                </c:pt>
                <c:pt idx="1913">
                  <c:v>0.72424768970261943</c:v>
                </c:pt>
                <c:pt idx="1914">
                  <c:v>0.72442721445879821</c:v>
                </c:pt>
                <c:pt idx="1915">
                  <c:v>0.72450157349554545</c:v>
                </c:pt>
                <c:pt idx="1916">
                  <c:v>0.7245603823085891</c:v>
                </c:pt>
                <c:pt idx="1917">
                  <c:v>0.72459316180652689</c:v>
                </c:pt>
                <c:pt idx="1918">
                  <c:v>0.72470075473584306</c:v>
                </c:pt>
                <c:pt idx="1919">
                  <c:v>0.72477038608637401</c:v>
                </c:pt>
                <c:pt idx="1920">
                  <c:v>0.72484415572899552</c:v>
                </c:pt>
                <c:pt idx="1921">
                  <c:v>0.72485108648630692</c:v>
                </c:pt>
                <c:pt idx="1922">
                  <c:v>0.72502016409400616</c:v>
                </c:pt>
                <c:pt idx="1923">
                  <c:v>0.72503723854606694</c:v>
                </c:pt>
                <c:pt idx="1924">
                  <c:v>0.72527400444889534</c:v>
                </c:pt>
                <c:pt idx="1925">
                  <c:v>0.72535465089413642</c:v>
                </c:pt>
                <c:pt idx="1926">
                  <c:v>0.7256205089880714</c:v>
                </c:pt>
                <c:pt idx="1927">
                  <c:v>0.72570787041087059</c:v>
                </c:pt>
                <c:pt idx="1928">
                  <c:v>0.72585150698358225</c:v>
                </c:pt>
                <c:pt idx="1929">
                  <c:v>0.7259377697222722</c:v>
                </c:pt>
                <c:pt idx="1930">
                  <c:v>0.72617302172397435</c:v>
                </c:pt>
                <c:pt idx="1931">
                  <c:v>0.72653724383906126</c:v>
                </c:pt>
                <c:pt idx="1932">
                  <c:v>0.72655780555418226</c:v>
                </c:pt>
                <c:pt idx="1933">
                  <c:v>0.72662160846860768</c:v>
                </c:pt>
                <c:pt idx="1934">
                  <c:v>0.72674781160430657</c:v>
                </c:pt>
                <c:pt idx="1935">
                  <c:v>0.7268494320970611</c:v>
                </c:pt>
                <c:pt idx="1936">
                  <c:v>0.72685637234388767</c:v>
                </c:pt>
                <c:pt idx="1937">
                  <c:v>0.72686076913980946</c:v>
                </c:pt>
                <c:pt idx="1938">
                  <c:v>0.72690073093318586</c:v>
                </c:pt>
                <c:pt idx="1939">
                  <c:v>0.72696698278890037</c:v>
                </c:pt>
                <c:pt idx="1940">
                  <c:v>0.72704507512520722</c:v>
                </c:pt>
                <c:pt idx="1941">
                  <c:v>0.72743591299530186</c:v>
                </c:pt>
                <c:pt idx="1942">
                  <c:v>0.72746815190004843</c:v>
                </c:pt>
                <c:pt idx="1943">
                  <c:v>0.72754001832751658</c:v>
                </c:pt>
                <c:pt idx="1944">
                  <c:v>0.72762410772225905</c:v>
                </c:pt>
                <c:pt idx="1945">
                  <c:v>0.72763846335766513</c:v>
                </c:pt>
                <c:pt idx="1946">
                  <c:v>0.72766804245283068</c:v>
                </c:pt>
                <c:pt idx="1947">
                  <c:v>0.72774407733869051</c:v>
                </c:pt>
                <c:pt idx="1948">
                  <c:v>0.72788232578727774</c:v>
                </c:pt>
                <c:pt idx="1949">
                  <c:v>0.72802277899550072</c:v>
                </c:pt>
                <c:pt idx="1950">
                  <c:v>0.72807158832321306</c:v>
                </c:pt>
                <c:pt idx="1951">
                  <c:v>0.72810595564069436</c:v>
                </c:pt>
                <c:pt idx="1952">
                  <c:v>0.72816062299730588</c:v>
                </c:pt>
                <c:pt idx="1953">
                  <c:v>0.72829038084325559</c:v>
                </c:pt>
                <c:pt idx="1954">
                  <c:v>0.72830549018468338</c:v>
                </c:pt>
                <c:pt idx="1955">
                  <c:v>0.72843161348407814</c:v>
                </c:pt>
                <c:pt idx="1956">
                  <c:v>0.72844209172314822</c:v>
                </c:pt>
                <c:pt idx="1957">
                  <c:v>0.72860097939885038</c:v>
                </c:pt>
                <c:pt idx="1958">
                  <c:v>0.72861960860043273</c:v>
                </c:pt>
                <c:pt idx="1959">
                  <c:v>0.72865573840473064</c:v>
                </c:pt>
                <c:pt idx="1960">
                  <c:v>0.72895561430599298</c:v>
                </c:pt>
                <c:pt idx="1961">
                  <c:v>0.72895688758805244</c:v>
                </c:pt>
                <c:pt idx="1962">
                  <c:v>0.72932682352332157</c:v>
                </c:pt>
                <c:pt idx="1963">
                  <c:v>0.72940778595414568</c:v>
                </c:pt>
                <c:pt idx="1964">
                  <c:v>0.72958280657395691</c:v>
                </c:pt>
                <c:pt idx="1965">
                  <c:v>0.72962401703800872</c:v>
                </c:pt>
                <c:pt idx="1966">
                  <c:v>0.7297734627831709</c:v>
                </c:pt>
                <c:pt idx="1967">
                  <c:v>0.72988833470905867</c:v>
                </c:pt>
                <c:pt idx="1968">
                  <c:v>0.73010591878386777</c:v>
                </c:pt>
                <c:pt idx="1969">
                  <c:v>0.73029201250860598</c:v>
                </c:pt>
                <c:pt idx="1970">
                  <c:v>0.73036478953778139</c:v>
                </c:pt>
                <c:pt idx="1971">
                  <c:v>0.73062975544707964</c:v>
                </c:pt>
                <c:pt idx="1972">
                  <c:v>0.73074316266427553</c:v>
                </c:pt>
                <c:pt idx="1973">
                  <c:v>0.73079934017390369</c:v>
                </c:pt>
                <c:pt idx="1974">
                  <c:v>0.73096103554334657</c:v>
                </c:pt>
                <c:pt idx="1975">
                  <c:v>0.73105961989065338</c:v>
                </c:pt>
                <c:pt idx="1976">
                  <c:v>0.73156628884465535</c:v>
                </c:pt>
                <c:pt idx="1977">
                  <c:v>0.73164984262077182</c:v>
                </c:pt>
                <c:pt idx="1978">
                  <c:v>0.73173002719577973</c:v>
                </c:pt>
                <c:pt idx="1979">
                  <c:v>0.73179381250334297</c:v>
                </c:pt>
                <c:pt idx="1980">
                  <c:v>0.73203576304693974</c:v>
                </c:pt>
                <c:pt idx="1981">
                  <c:v>0.73229308820222117</c:v>
                </c:pt>
                <c:pt idx="1982">
                  <c:v>0.73238002635636268</c:v>
                </c:pt>
                <c:pt idx="1983">
                  <c:v>0.73240094741286244</c:v>
                </c:pt>
                <c:pt idx="1984">
                  <c:v>0.73247279500669837</c:v>
                </c:pt>
                <c:pt idx="1985">
                  <c:v>0.73324675202343503</c:v>
                </c:pt>
                <c:pt idx="1986">
                  <c:v>0.73347107438016468</c:v>
                </c:pt>
                <c:pt idx="1987">
                  <c:v>0.73351630716323513</c:v>
                </c:pt>
                <c:pt idx="1988">
                  <c:v>0.73360471984798592</c:v>
                </c:pt>
                <c:pt idx="1989">
                  <c:v>0.73364672571511469</c:v>
                </c:pt>
                <c:pt idx="1990">
                  <c:v>0.73385731915143593</c:v>
                </c:pt>
                <c:pt idx="1991">
                  <c:v>0.73391529265890043</c:v>
                </c:pt>
                <c:pt idx="1992">
                  <c:v>0.73420809865993408</c:v>
                </c:pt>
                <c:pt idx="1993">
                  <c:v>0.73421745401485428</c:v>
                </c:pt>
                <c:pt idx="1994">
                  <c:v>0.73423256959842265</c:v>
                </c:pt>
                <c:pt idx="1995">
                  <c:v>0.73431202265102702</c:v>
                </c:pt>
                <c:pt idx="1996">
                  <c:v>0.73440612364979019</c:v>
                </c:pt>
                <c:pt idx="1997">
                  <c:v>0.73458146043592487</c:v>
                </c:pt>
                <c:pt idx="1998">
                  <c:v>0.73459884029409439</c:v>
                </c:pt>
                <c:pt idx="1999">
                  <c:v>0.73477212538044989</c:v>
                </c:pt>
                <c:pt idx="2000">
                  <c:v>0.73477493007495298</c:v>
                </c:pt>
                <c:pt idx="2001">
                  <c:v>0.73489722495663989</c:v>
                </c:pt>
                <c:pt idx="2002">
                  <c:v>0.73492334370097201</c:v>
                </c:pt>
                <c:pt idx="2003">
                  <c:v>0.73494268771997118</c:v>
                </c:pt>
                <c:pt idx="2004">
                  <c:v>0.7351684503020679</c:v>
                </c:pt>
                <c:pt idx="2005">
                  <c:v>0.73521841081120887</c:v>
                </c:pt>
                <c:pt idx="2006">
                  <c:v>0.73521862267496529</c:v>
                </c:pt>
                <c:pt idx="2007">
                  <c:v>0.73537927514808676</c:v>
                </c:pt>
                <c:pt idx="2008">
                  <c:v>0.73559108630764325</c:v>
                </c:pt>
                <c:pt idx="2009">
                  <c:v>0.7359627706055003</c:v>
                </c:pt>
                <c:pt idx="2010">
                  <c:v>0.73610142144417146</c:v>
                </c:pt>
                <c:pt idx="2011">
                  <c:v>0.7361661011728835</c:v>
                </c:pt>
                <c:pt idx="2012">
                  <c:v>0.73649178789599912</c:v>
                </c:pt>
                <c:pt idx="2013">
                  <c:v>0.73660812496770289</c:v>
                </c:pt>
                <c:pt idx="2014">
                  <c:v>0.73673873950412727</c:v>
                </c:pt>
                <c:pt idx="2015">
                  <c:v>0.73674377032585969</c:v>
                </c:pt>
                <c:pt idx="2016">
                  <c:v>0.7369804684710427</c:v>
                </c:pt>
                <c:pt idx="2017">
                  <c:v>0.73703718761858295</c:v>
                </c:pt>
                <c:pt idx="2018">
                  <c:v>0.73715018948069788</c:v>
                </c:pt>
                <c:pt idx="2019">
                  <c:v>0.73720488828210951</c:v>
                </c:pt>
                <c:pt idx="2020">
                  <c:v>0.73740225336999488</c:v>
                </c:pt>
                <c:pt idx="2021">
                  <c:v>0.73808977393301001</c:v>
                </c:pt>
                <c:pt idx="2022">
                  <c:v>0.7384991273996504</c:v>
                </c:pt>
                <c:pt idx="2023">
                  <c:v>0.73868767962628834</c:v>
                </c:pt>
                <c:pt idx="2024">
                  <c:v>0.73873806184465318</c:v>
                </c:pt>
                <c:pt idx="2025">
                  <c:v>0.73875636595756533</c:v>
                </c:pt>
                <c:pt idx="2026">
                  <c:v>0.73904007588151444</c:v>
                </c:pt>
                <c:pt idx="2027">
                  <c:v>0.73911792738118154</c:v>
                </c:pt>
                <c:pt idx="2028">
                  <c:v>0.7394603514886996</c:v>
                </c:pt>
                <c:pt idx="2029">
                  <c:v>0.73977449983729671</c:v>
                </c:pt>
                <c:pt idx="2030">
                  <c:v>0.74045630398859741</c:v>
                </c:pt>
                <c:pt idx="2031">
                  <c:v>0.74059303528330034</c:v>
                </c:pt>
                <c:pt idx="2032">
                  <c:v>0.74149480656329902</c:v>
                </c:pt>
                <c:pt idx="2033">
                  <c:v>0.74150758884148493</c:v>
                </c:pt>
                <c:pt idx="2034">
                  <c:v>0.7417006299524479</c:v>
                </c:pt>
                <c:pt idx="2035">
                  <c:v>0.74185537309132754</c:v>
                </c:pt>
                <c:pt idx="2036">
                  <c:v>0.74196387444890366</c:v>
                </c:pt>
                <c:pt idx="2037">
                  <c:v>0.74196766425868643</c:v>
                </c:pt>
                <c:pt idx="2038">
                  <c:v>0.74204088675726554</c:v>
                </c:pt>
                <c:pt idx="2039">
                  <c:v>0.74206310965489819</c:v>
                </c:pt>
                <c:pt idx="2040">
                  <c:v>0.74213507625272235</c:v>
                </c:pt>
                <c:pt idx="2041">
                  <c:v>0.74232083486646283</c:v>
                </c:pt>
                <c:pt idx="2042">
                  <c:v>0.74251850158818256</c:v>
                </c:pt>
                <c:pt idx="2043">
                  <c:v>0.74252584873813765</c:v>
                </c:pt>
                <c:pt idx="2044">
                  <c:v>0.742873448785344</c:v>
                </c:pt>
                <c:pt idx="2045">
                  <c:v>0.74302265391374445</c:v>
                </c:pt>
                <c:pt idx="2046">
                  <c:v>0.74345912852154794</c:v>
                </c:pt>
                <c:pt idx="2047">
                  <c:v>0.74349359180924157</c:v>
                </c:pt>
                <c:pt idx="2048">
                  <c:v>0.7436334198359088</c:v>
                </c:pt>
                <c:pt idx="2049">
                  <c:v>0.74389937510357118</c:v>
                </c:pt>
                <c:pt idx="2050">
                  <c:v>0.74391091949746058</c:v>
                </c:pt>
                <c:pt idx="2051">
                  <c:v>0.74398849142160139</c:v>
                </c:pt>
                <c:pt idx="2052">
                  <c:v>0.74434636303094803</c:v>
                </c:pt>
                <c:pt idx="2053">
                  <c:v>0.74441922340406419</c:v>
                </c:pt>
                <c:pt idx="2054">
                  <c:v>0.74447738227240923</c:v>
                </c:pt>
                <c:pt idx="2055">
                  <c:v>0.74447811735983715</c:v>
                </c:pt>
                <c:pt idx="2056">
                  <c:v>0.74453088798380607</c:v>
                </c:pt>
                <c:pt idx="2057">
                  <c:v>0.74488420158223156</c:v>
                </c:pt>
                <c:pt idx="2058">
                  <c:v>0.74526295603816117</c:v>
                </c:pt>
                <c:pt idx="2059">
                  <c:v>0.74542026888067925</c:v>
                </c:pt>
                <c:pt idx="2060">
                  <c:v>0.74543478855143464</c:v>
                </c:pt>
                <c:pt idx="2061">
                  <c:v>0.74566668613580134</c:v>
                </c:pt>
                <c:pt idx="2062">
                  <c:v>0.74587204343415836</c:v>
                </c:pt>
                <c:pt idx="2063">
                  <c:v>0.74640169785838295</c:v>
                </c:pt>
                <c:pt idx="2064">
                  <c:v>0.74646444741253215</c:v>
                </c:pt>
                <c:pt idx="2065">
                  <c:v>0.74655669658499857</c:v>
                </c:pt>
                <c:pt idx="2066">
                  <c:v>0.74665135080117528</c:v>
                </c:pt>
                <c:pt idx="2067">
                  <c:v>0.74673746112350237</c:v>
                </c:pt>
                <c:pt idx="2068">
                  <c:v>0.74691513314014912</c:v>
                </c:pt>
                <c:pt idx="2069">
                  <c:v>0.74704210577673602</c:v>
                </c:pt>
                <c:pt idx="2070">
                  <c:v>0.74716077229623989</c:v>
                </c:pt>
                <c:pt idx="2071">
                  <c:v>0.74717368961973207</c:v>
                </c:pt>
                <c:pt idx="2072">
                  <c:v>0.74726488005620817</c:v>
                </c:pt>
                <c:pt idx="2073">
                  <c:v>0.74733026892798571</c:v>
                </c:pt>
                <c:pt idx="2074">
                  <c:v>0.74734302823229748</c:v>
                </c:pt>
                <c:pt idx="2075">
                  <c:v>0.74758170017969472</c:v>
                </c:pt>
                <c:pt idx="2076">
                  <c:v>0.74759649122806915</c:v>
                </c:pt>
                <c:pt idx="2077">
                  <c:v>0.74785025873843403</c:v>
                </c:pt>
                <c:pt idx="2078">
                  <c:v>0.74790320880576966</c:v>
                </c:pt>
                <c:pt idx="2079">
                  <c:v>0.74799058835371801</c:v>
                </c:pt>
                <c:pt idx="2080">
                  <c:v>0.7481355948782652</c:v>
                </c:pt>
                <c:pt idx="2081">
                  <c:v>0.74831162769774084</c:v>
                </c:pt>
                <c:pt idx="2082">
                  <c:v>0.74852285332669288</c:v>
                </c:pt>
                <c:pt idx="2083">
                  <c:v>0.74858543867897231</c:v>
                </c:pt>
                <c:pt idx="2084">
                  <c:v>0.74884326200115614</c:v>
                </c:pt>
                <c:pt idx="2085">
                  <c:v>0.74978843096490144</c:v>
                </c:pt>
                <c:pt idx="2086">
                  <c:v>0.74992436376915106</c:v>
                </c:pt>
                <c:pt idx="2087">
                  <c:v>0.75015332556956427</c:v>
                </c:pt>
                <c:pt idx="2088">
                  <c:v>0.75016183718858398</c:v>
                </c:pt>
                <c:pt idx="2089">
                  <c:v>0.75042022364164429</c:v>
                </c:pt>
                <c:pt idx="2090">
                  <c:v>0.75094232974536712</c:v>
                </c:pt>
                <c:pt idx="2091">
                  <c:v>0.75102163086486018</c:v>
                </c:pt>
                <c:pt idx="2092">
                  <c:v>0.7513077331781538</c:v>
                </c:pt>
                <c:pt idx="2093">
                  <c:v>0.75209320812469316</c:v>
                </c:pt>
                <c:pt idx="2094">
                  <c:v>0.75221752565765188</c:v>
                </c:pt>
                <c:pt idx="2095">
                  <c:v>0.75223571684511459</c:v>
                </c:pt>
                <c:pt idx="2096">
                  <c:v>0.75234620758494275</c:v>
                </c:pt>
                <c:pt idx="2097">
                  <c:v>0.75283822987132909</c:v>
                </c:pt>
                <c:pt idx="2098">
                  <c:v>0.75286478227654763</c:v>
                </c:pt>
                <c:pt idx="2099">
                  <c:v>0.75289893243432993</c:v>
                </c:pt>
                <c:pt idx="2100">
                  <c:v>0.75319899447662841</c:v>
                </c:pt>
                <c:pt idx="2101">
                  <c:v>0.75320193173644645</c:v>
                </c:pt>
                <c:pt idx="2102">
                  <c:v>0.75323076923076815</c:v>
                </c:pt>
                <c:pt idx="2103">
                  <c:v>0.75327716779707421</c:v>
                </c:pt>
                <c:pt idx="2104">
                  <c:v>0.75328615672716859</c:v>
                </c:pt>
                <c:pt idx="2105">
                  <c:v>0.75342374847260341</c:v>
                </c:pt>
                <c:pt idx="2106">
                  <c:v>0.75355504412369867</c:v>
                </c:pt>
                <c:pt idx="2107">
                  <c:v>0.75363601857885376</c:v>
                </c:pt>
                <c:pt idx="2108">
                  <c:v>0.75369940662703294</c:v>
                </c:pt>
                <c:pt idx="2109">
                  <c:v>0.75369991141641657</c:v>
                </c:pt>
                <c:pt idx="2110">
                  <c:v>0.7538686562131176</c:v>
                </c:pt>
                <c:pt idx="2111">
                  <c:v>0.75398900987076378</c:v>
                </c:pt>
                <c:pt idx="2112">
                  <c:v>0.75411145209105102</c:v>
                </c:pt>
                <c:pt idx="2113">
                  <c:v>0.75432351415230336</c:v>
                </c:pt>
                <c:pt idx="2114">
                  <c:v>0.75437141513869388</c:v>
                </c:pt>
                <c:pt idx="2115">
                  <c:v>0.7545047691795439</c:v>
                </c:pt>
                <c:pt idx="2116">
                  <c:v>0.75484458198698301</c:v>
                </c:pt>
                <c:pt idx="2117">
                  <c:v>0.75486302393611437</c:v>
                </c:pt>
                <c:pt idx="2118">
                  <c:v>0.75488673969740661</c:v>
                </c:pt>
                <c:pt idx="2119">
                  <c:v>0.75510803136740534</c:v>
                </c:pt>
                <c:pt idx="2120">
                  <c:v>0.75633772525375498</c:v>
                </c:pt>
                <c:pt idx="2121">
                  <c:v>0.75635408317748754</c:v>
                </c:pt>
                <c:pt idx="2122">
                  <c:v>0.7564475298384683</c:v>
                </c:pt>
                <c:pt idx="2123">
                  <c:v>0.75679614777595228</c:v>
                </c:pt>
                <c:pt idx="2124">
                  <c:v>0.75704271722132221</c:v>
                </c:pt>
                <c:pt idx="2125">
                  <c:v>0.75722663909641696</c:v>
                </c:pt>
                <c:pt idx="2126">
                  <c:v>0.75726341016958199</c:v>
                </c:pt>
                <c:pt idx="2127">
                  <c:v>0.75727181751378658</c:v>
                </c:pt>
                <c:pt idx="2128">
                  <c:v>0.75764005755957198</c:v>
                </c:pt>
                <c:pt idx="2129">
                  <c:v>0.75794827085149608</c:v>
                </c:pt>
                <c:pt idx="2130">
                  <c:v>0.75824755588095927</c:v>
                </c:pt>
                <c:pt idx="2131">
                  <c:v>0.7582499409030018</c:v>
                </c:pt>
                <c:pt idx="2132">
                  <c:v>0.75876807808174995</c:v>
                </c:pt>
                <c:pt idx="2133">
                  <c:v>0.75887001023541367</c:v>
                </c:pt>
                <c:pt idx="2134">
                  <c:v>0.75914466446644568</c:v>
                </c:pt>
                <c:pt idx="2135">
                  <c:v>0.75977010294572955</c:v>
                </c:pt>
                <c:pt idx="2136">
                  <c:v>0.76014654403847159</c:v>
                </c:pt>
                <c:pt idx="2137">
                  <c:v>0.76020239999023476</c:v>
                </c:pt>
                <c:pt idx="2138">
                  <c:v>0.76034231593559098</c:v>
                </c:pt>
                <c:pt idx="2139">
                  <c:v>0.76084110620193024</c:v>
                </c:pt>
                <c:pt idx="2140">
                  <c:v>0.76092996052054351</c:v>
                </c:pt>
                <c:pt idx="2141">
                  <c:v>0.760938256572389</c:v>
                </c:pt>
                <c:pt idx="2142">
                  <c:v>0.76129355786723774</c:v>
                </c:pt>
                <c:pt idx="2143">
                  <c:v>0.76181178753334977</c:v>
                </c:pt>
                <c:pt idx="2144">
                  <c:v>0.76185265143055592</c:v>
                </c:pt>
                <c:pt idx="2145">
                  <c:v>0.76196756691945677</c:v>
                </c:pt>
                <c:pt idx="2146">
                  <c:v>0.76205115359361741</c:v>
                </c:pt>
                <c:pt idx="2147">
                  <c:v>0.7623406341941813</c:v>
                </c:pt>
                <c:pt idx="2148">
                  <c:v>0.76242871716195093</c:v>
                </c:pt>
                <c:pt idx="2149">
                  <c:v>0.76272984441301306</c:v>
                </c:pt>
                <c:pt idx="2150">
                  <c:v>0.76289183967009133</c:v>
                </c:pt>
                <c:pt idx="2151">
                  <c:v>0.76321353065539144</c:v>
                </c:pt>
                <c:pt idx="2152">
                  <c:v>0.76324406481091844</c:v>
                </c:pt>
                <c:pt idx="2153">
                  <c:v>0.76334370427197495</c:v>
                </c:pt>
                <c:pt idx="2154">
                  <c:v>0.76340584064415484</c:v>
                </c:pt>
                <c:pt idx="2155">
                  <c:v>0.76363846509477551</c:v>
                </c:pt>
                <c:pt idx="2156">
                  <c:v>0.76371578743825519</c:v>
                </c:pt>
                <c:pt idx="2157">
                  <c:v>0.7639595139014691</c:v>
                </c:pt>
                <c:pt idx="2158">
                  <c:v>0.76396393272733343</c:v>
                </c:pt>
                <c:pt idx="2159">
                  <c:v>0.76419916152727507</c:v>
                </c:pt>
                <c:pt idx="2160">
                  <c:v>0.76463446618780462</c:v>
                </c:pt>
                <c:pt idx="2161">
                  <c:v>0.76463599615625877</c:v>
                </c:pt>
                <c:pt idx="2162">
                  <c:v>0.76466237550533112</c:v>
                </c:pt>
                <c:pt idx="2163">
                  <c:v>0.76470543255513268</c:v>
                </c:pt>
                <c:pt idx="2164">
                  <c:v>0.76489854838613536</c:v>
                </c:pt>
                <c:pt idx="2165">
                  <c:v>0.76545604969295844</c:v>
                </c:pt>
                <c:pt idx="2166">
                  <c:v>0.76562965982599673</c:v>
                </c:pt>
                <c:pt idx="2167">
                  <c:v>0.76584501396612636</c:v>
                </c:pt>
                <c:pt idx="2168">
                  <c:v>0.76598740324809655</c:v>
                </c:pt>
                <c:pt idx="2169">
                  <c:v>0.76653707459995468</c:v>
                </c:pt>
                <c:pt idx="2170">
                  <c:v>0.76664544260661982</c:v>
                </c:pt>
                <c:pt idx="2171">
                  <c:v>0.76680782853382967</c:v>
                </c:pt>
                <c:pt idx="2172">
                  <c:v>0.76711686611652075</c:v>
                </c:pt>
                <c:pt idx="2173">
                  <c:v>0.76719565398285705</c:v>
                </c:pt>
                <c:pt idx="2174">
                  <c:v>0.76724975350667035</c:v>
                </c:pt>
                <c:pt idx="2175">
                  <c:v>0.76726080867673829</c:v>
                </c:pt>
                <c:pt idx="2176">
                  <c:v>0.76729423422307452</c:v>
                </c:pt>
                <c:pt idx="2177">
                  <c:v>0.76738801488518604</c:v>
                </c:pt>
                <c:pt idx="2178">
                  <c:v>0.76739943998489657</c:v>
                </c:pt>
                <c:pt idx="2179">
                  <c:v>0.76742804447675927</c:v>
                </c:pt>
                <c:pt idx="2180">
                  <c:v>0.76754385964912297</c:v>
                </c:pt>
                <c:pt idx="2181">
                  <c:v>0.7675587413494307</c:v>
                </c:pt>
                <c:pt idx="2182">
                  <c:v>0.76762566417738876</c:v>
                </c:pt>
                <c:pt idx="2183">
                  <c:v>0.76783857390443044</c:v>
                </c:pt>
                <c:pt idx="2184">
                  <c:v>0.76826358826358798</c:v>
                </c:pt>
                <c:pt idx="2185">
                  <c:v>0.76838462689769993</c:v>
                </c:pt>
                <c:pt idx="2186">
                  <c:v>0.76850409037787271</c:v>
                </c:pt>
                <c:pt idx="2187">
                  <c:v>0.76862909128934431</c:v>
                </c:pt>
                <c:pt idx="2188">
                  <c:v>0.76890903817679435</c:v>
                </c:pt>
                <c:pt idx="2189">
                  <c:v>0.76918634699969424</c:v>
                </c:pt>
                <c:pt idx="2190">
                  <c:v>0.76934004331762074</c:v>
                </c:pt>
                <c:pt idx="2191">
                  <c:v>0.76942291227655468</c:v>
                </c:pt>
                <c:pt idx="2192">
                  <c:v>0.76943400898261638</c:v>
                </c:pt>
                <c:pt idx="2193">
                  <c:v>0.76974191121784807</c:v>
                </c:pt>
                <c:pt idx="2194">
                  <c:v>0.76974496415727434</c:v>
                </c:pt>
                <c:pt idx="2195">
                  <c:v>0.76990076859467016</c:v>
                </c:pt>
                <c:pt idx="2196">
                  <c:v>0.76999999999999991</c:v>
                </c:pt>
                <c:pt idx="2197">
                  <c:v>0.77005498450996035</c:v>
                </c:pt>
                <c:pt idx="2198">
                  <c:v>0.7701319751954423</c:v>
                </c:pt>
                <c:pt idx="2199">
                  <c:v>0.77088100686498817</c:v>
                </c:pt>
                <c:pt idx="2200">
                  <c:v>0.77139639639639623</c:v>
                </c:pt>
                <c:pt idx="2201">
                  <c:v>0.77149976061455272</c:v>
                </c:pt>
                <c:pt idx="2202">
                  <c:v>0.77152777777777737</c:v>
                </c:pt>
                <c:pt idx="2203">
                  <c:v>0.77156848862456262</c:v>
                </c:pt>
                <c:pt idx="2204">
                  <c:v>0.77172124621835314</c:v>
                </c:pt>
                <c:pt idx="2205">
                  <c:v>0.77216108704093911</c:v>
                </c:pt>
                <c:pt idx="2206">
                  <c:v>0.77230414746543818</c:v>
                </c:pt>
                <c:pt idx="2207">
                  <c:v>0.7723948628558831</c:v>
                </c:pt>
                <c:pt idx="2208">
                  <c:v>0.77247106838708124</c:v>
                </c:pt>
                <c:pt idx="2209">
                  <c:v>0.7726273588166177</c:v>
                </c:pt>
                <c:pt idx="2210">
                  <c:v>0.77311731320866239</c:v>
                </c:pt>
                <c:pt idx="2211">
                  <c:v>0.77315883673642261</c:v>
                </c:pt>
                <c:pt idx="2212">
                  <c:v>0.77447409376805232</c:v>
                </c:pt>
                <c:pt idx="2213">
                  <c:v>0.7744844995937854</c:v>
                </c:pt>
                <c:pt idx="2214">
                  <c:v>0.77458265617601907</c:v>
                </c:pt>
                <c:pt idx="2215">
                  <c:v>0.77462756416047895</c:v>
                </c:pt>
                <c:pt idx="2216">
                  <c:v>0.77509293680297442</c:v>
                </c:pt>
                <c:pt idx="2217">
                  <c:v>0.77515451174289218</c:v>
                </c:pt>
                <c:pt idx="2218">
                  <c:v>0.77517988586551945</c:v>
                </c:pt>
                <c:pt idx="2219">
                  <c:v>0.77561581569315463</c:v>
                </c:pt>
                <c:pt idx="2220">
                  <c:v>0.7756585949346817</c:v>
                </c:pt>
                <c:pt idx="2221">
                  <c:v>0.77584409335151161</c:v>
                </c:pt>
                <c:pt idx="2222">
                  <c:v>0.7761791548431618</c:v>
                </c:pt>
                <c:pt idx="2223">
                  <c:v>0.77638103219498578</c:v>
                </c:pt>
                <c:pt idx="2224">
                  <c:v>0.77640434682688231</c:v>
                </c:pt>
                <c:pt idx="2225">
                  <c:v>0.77739827272784412</c:v>
                </c:pt>
                <c:pt idx="2226">
                  <c:v>0.77775595238095263</c:v>
                </c:pt>
                <c:pt idx="2227">
                  <c:v>0.7778305768709004</c:v>
                </c:pt>
                <c:pt idx="2228">
                  <c:v>0.77808819177271449</c:v>
                </c:pt>
                <c:pt idx="2229">
                  <c:v>0.77816202427951287</c:v>
                </c:pt>
                <c:pt idx="2230">
                  <c:v>0.77826342968009654</c:v>
                </c:pt>
                <c:pt idx="2231">
                  <c:v>0.77858327168839114</c:v>
                </c:pt>
                <c:pt idx="2232">
                  <c:v>0.77894969666329672</c:v>
                </c:pt>
                <c:pt idx="2233">
                  <c:v>0.77931609674728897</c:v>
                </c:pt>
                <c:pt idx="2234">
                  <c:v>0.77967079585949373</c:v>
                </c:pt>
                <c:pt idx="2235">
                  <c:v>0.77968472573717174</c:v>
                </c:pt>
                <c:pt idx="2236">
                  <c:v>0.7798635002282418</c:v>
                </c:pt>
                <c:pt idx="2237">
                  <c:v>0.78129606802344553</c:v>
                </c:pt>
                <c:pt idx="2238">
                  <c:v>0.78147811438808479</c:v>
                </c:pt>
                <c:pt idx="2239">
                  <c:v>0.78200281950055384</c:v>
                </c:pt>
                <c:pt idx="2240">
                  <c:v>0.78240347515769337</c:v>
                </c:pt>
                <c:pt idx="2241">
                  <c:v>0.78249345244628699</c:v>
                </c:pt>
                <c:pt idx="2242">
                  <c:v>0.782617880045266</c:v>
                </c:pt>
                <c:pt idx="2243">
                  <c:v>0.78291917133501965</c:v>
                </c:pt>
                <c:pt idx="2244">
                  <c:v>0.78299170612043001</c:v>
                </c:pt>
                <c:pt idx="2245">
                  <c:v>0.78328987343329171</c:v>
                </c:pt>
                <c:pt idx="2246">
                  <c:v>0.78359746320277746</c:v>
                </c:pt>
                <c:pt idx="2247">
                  <c:v>0.78460510597892685</c:v>
                </c:pt>
                <c:pt idx="2248">
                  <c:v>0.7846564464450615</c:v>
                </c:pt>
                <c:pt idx="2249">
                  <c:v>0.78523376280954449</c:v>
                </c:pt>
                <c:pt idx="2250">
                  <c:v>0.78634166907396041</c:v>
                </c:pt>
                <c:pt idx="2251">
                  <c:v>0.78636293534369428</c:v>
                </c:pt>
                <c:pt idx="2252">
                  <c:v>0.78723906779406294</c:v>
                </c:pt>
                <c:pt idx="2253">
                  <c:v>0.78801046524855001</c:v>
                </c:pt>
                <c:pt idx="2254">
                  <c:v>0.78827471614511313</c:v>
                </c:pt>
                <c:pt idx="2255">
                  <c:v>0.78843144336102078</c:v>
                </c:pt>
                <c:pt idx="2256">
                  <c:v>0.78845920116281065</c:v>
                </c:pt>
                <c:pt idx="2257">
                  <c:v>0.78846926981255405</c:v>
                </c:pt>
                <c:pt idx="2258">
                  <c:v>0.78862761792469671</c:v>
                </c:pt>
                <c:pt idx="2259">
                  <c:v>0.7894809592922799</c:v>
                </c:pt>
                <c:pt idx="2260">
                  <c:v>0.78952771569010771</c:v>
                </c:pt>
                <c:pt idx="2261">
                  <c:v>0.79023835506289175</c:v>
                </c:pt>
                <c:pt idx="2262">
                  <c:v>0.79030100744849296</c:v>
                </c:pt>
                <c:pt idx="2263">
                  <c:v>0.79040557441486525</c:v>
                </c:pt>
                <c:pt idx="2264">
                  <c:v>0.7906955911019371</c:v>
                </c:pt>
                <c:pt idx="2265">
                  <c:v>0.79138247102017456</c:v>
                </c:pt>
                <c:pt idx="2266">
                  <c:v>0.79158527954706348</c:v>
                </c:pt>
                <c:pt idx="2267">
                  <c:v>0.79160515533003517</c:v>
                </c:pt>
                <c:pt idx="2268">
                  <c:v>0.79216240625122636</c:v>
                </c:pt>
                <c:pt idx="2269">
                  <c:v>0.7921994134897361</c:v>
                </c:pt>
                <c:pt idx="2270">
                  <c:v>0.79222972972972916</c:v>
                </c:pt>
                <c:pt idx="2271">
                  <c:v>0.79240119829473377</c:v>
                </c:pt>
                <c:pt idx="2272">
                  <c:v>0.79328507438131457</c:v>
                </c:pt>
                <c:pt idx="2273">
                  <c:v>0.79334217897685433</c:v>
                </c:pt>
                <c:pt idx="2274">
                  <c:v>0.79414208558371457</c:v>
                </c:pt>
                <c:pt idx="2275">
                  <c:v>0.79534736794602778</c:v>
                </c:pt>
                <c:pt idx="2276">
                  <c:v>0.79577942747107699</c:v>
                </c:pt>
                <c:pt idx="2277">
                  <c:v>0.79613095238095311</c:v>
                </c:pt>
                <c:pt idx="2278">
                  <c:v>0.79736376155813438</c:v>
                </c:pt>
                <c:pt idx="2279">
                  <c:v>0.79773224833739487</c:v>
                </c:pt>
                <c:pt idx="2280">
                  <c:v>0.7982812001576195</c:v>
                </c:pt>
                <c:pt idx="2281">
                  <c:v>0.79883336774726277</c:v>
                </c:pt>
                <c:pt idx="2282">
                  <c:v>0.79987706357569366</c:v>
                </c:pt>
                <c:pt idx="2283">
                  <c:v>0.80141889712995729</c:v>
                </c:pt>
                <c:pt idx="2284">
                  <c:v>0.80297211867638263</c:v>
                </c:pt>
                <c:pt idx="2285">
                  <c:v>0.80412929660823984</c:v>
                </c:pt>
                <c:pt idx="2286">
                  <c:v>0.80460947366167934</c:v>
                </c:pt>
                <c:pt idx="2287">
                  <c:v>0.80466908237889456</c:v>
                </c:pt>
                <c:pt idx="2288">
                  <c:v>0.80524347214081748</c:v>
                </c:pt>
                <c:pt idx="2289">
                  <c:v>0.80544552040276396</c:v>
                </c:pt>
                <c:pt idx="2290">
                  <c:v>0.80617464377055126</c:v>
                </c:pt>
                <c:pt idx="2291">
                  <c:v>0.80880457102866576</c:v>
                </c:pt>
                <c:pt idx="2292">
                  <c:v>0.80919397278888017</c:v>
                </c:pt>
                <c:pt idx="2293">
                  <c:v>0.81039272271919349</c:v>
                </c:pt>
                <c:pt idx="2294">
                  <c:v>0.81093600843141533</c:v>
                </c:pt>
                <c:pt idx="2295">
                  <c:v>0.81141627730833232</c:v>
                </c:pt>
                <c:pt idx="2296">
                  <c:v>0.81359947093431606</c:v>
                </c:pt>
                <c:pt idx="2297">
                  <c:v>0.81724709819492691</c:v>
                </c:pt>
                <c:pt idx="2298">
                  <c:v>0.8182125080471685</c:v>
                </c:pt>
                <c:pt idx="2299">
                  <c:v>0.81847661473366196</c:v>
                </c:pt>
                <c:pt idx="2300">
                  <c:v>0.82033158813263596</c:v>
                </c:pt>
                <c:pt idx="2301">
                  <c:v>0.8227480399878373</c:v>
                </c:pt>
                <c:pt idx="2302">
                  <c:v>0.82331999343525497</c:v>
                </c:pt>
                <c:pt idx="2303">
                  <c:v>0.82554600835591085</c:v>
                </c:pt>
                <c:pt idx="2304">
                  <c:v>0.82585651717969266</c:v>
                </c:pt>
                <c:pt idx="2305">
                  <c:v>0.82616451509655375</c:v>
                </c:pt>
                <c:pt idx="2306">
                  <c:v>0.8284169124877091</c:v>
                </c:pt>
                <c:pt idx="2307">
                  <c:v>0.83135940970522926</c:v>
                </c:pt>
                <c:pt idx="2308">
                  <c:v>0.83416258717181391</c:v>
                </c:pt>
                <c:pt idx="2309">
                  <c:v>0.83664954624873877</c:v>
                </c:pt>
                <c:pt idx="2310">
                  <c:v>0.84309504004175317</c:v>
                </c:pt>
                <c:pt idx="2311">
                  <c:v>0.86489100318887613</c:v>
                </c:pt>
                <c:pt idx="2312">
                  <c:v>0.87137607186606891</c:v>
                </c:pt>
              </c:numCache>
            </c:numRef>
          </c:yVal>
          <c:smooth val="0"/>
          <c:extLst>
            <c:ext xmlns:c16="http://schemas.microsoft.com/office/drawing/2014/chart" uri="{C3380CC4-5D6E-409C-BE32-E72D297353CC}">
              <c16:uniqueId val="{00000000-538E-45C0-9566-83155F10FEF1}"/>
            </c:ext>
          </c:extLst>
        </c:ser>
        <c:ser>
          <c:idx val="1"/>
          <c:order val="1"/>
          <c:tx>
            <c:strRef>
              <c:f>'Pasted values for chart'!$K$2</c:f>
              <c:strCache>
                <c:ptCount val="1"/>
                <c:pt idx="0">
                  <c:v>Regional City</c:v>
                </c:pt>
              </c:strCache>
            </c:strRef>
          </c:tx>
          <c:spPr>
            <a:ln w="25400" cap="rnd">
              <a:noFill/>
              <a:round/>
            </a:ln>
            <a:effectLst/>
          </c:spPr>
          <c:marker>
            <c:symbol val="circle"/>
            <c:size val="5"/>
            <c:spPr>
              <a:solidFill>
                <a:srgbClr val="009D9A"/>
              </a:solidFill>
              <a:ln w="9525">
                <a:noFill/>
              </a:ln>
              <a:effectLst/>
            </c:spPr>
          </c:marker>
          <c:xVal>
            <c:numRef>
              <c:f>'Pasted values for chart'!$K$3:$K$2315</c:f>
              <c:numCache>
                <c:formatCode>General</c:formatCode>
                <c:ptCount val="2313"/>
                <c:pt idx="105">
                  <c:v>1774.0379770525319</c:v>
                </c:pt>
                <c:pt idx="133">
                  <c:v>1360.9574757457613</c:v>
                </c:pt>
                <c:pt idx="222">
                  <c:v>1763.1796853436381</c:v>
                </c:pt>
                <c:pt idx="254">
                  <c:v>3220.3560293673936</c:v>
                </c:pt>
                <c:pt idx="271">
                  <c:v>1894.2515786665078</c:v>
                </c:pt>
                <c:pt idx="301">
                  <c:v>2909.5732117225966</c:v>
                </c:pt>
                <c:pt idx="385">
                  <c:v>2246.3836626642715</c:v>
                </c:pt>
                <c:pt idx="390">
                  <c:v>923.86978263088042</c:v>
                </c:pt>
                <c:pt idx="403">
                  <c:v>286.79328828771298</c:v>
                </c:pt>
                <c:pt idx="412">
                  <c:v>739.79623416977188</c:v>
                </c:pt>
                <c:pt idx="438">
                  <c:v>989.48743370630905</c:v>
                </c:pt>
                <c:pt idx="440">
                  <c:v>2577.8502911474302</c:v>
                </c:pt>
                <c:pt idx="452">
                  <c:v>1053.8265286219191</c:v>
                </c:pt>
                <c:pt idx="453">
                  <c:v>1734.2206618282808</c:v>
                </c:pt>
                <c:pt idx="468">
                  <c:v>2926.3853548204693</c:v>
                </c:pt>
                <c:pt idx="473">
                  <c:v>2001.6835946124968</c:v>
                </c:pt>
                <c:pt idx="474">
                  <c:v>592.65281986843047</c:v>
                </c:pt>
                <c:pt idx="503">
                  <c:v>2058.8547471209463</c:v>
                </c:pt>
                <c:pt idx="509">
                  <c:v>1797.754743620648</c:v>
                </c:pt>
                <c:pt idx="520">
                  <c:v>637.11072118358425</c:v>
                </c:pt>
                <c:pt idx="534">
                  <c:v>1693.783896537338</c:v>
                </c:pt>
                <c:pt idx="543">
                  <c:v>194.63314114900516</c:v>
                </c:pt>
                <c:pt idx="544">
                  <c:v>1682.2989999638976</c:v>
                </c:pt>
                <c:pt idx="549">
                  <c:v>217.88994535766628</c:v>
                </c:pt>
                <c:pt idx="554">
                  <c:v>1209.9144735792991</c:v>
                </c:pt>
                <c:pt idx="560">
                  <c:v>1645.4472199838845</c:v>
                </c:pt>
                <c:pt idx="565">
                  <c:v>1276.1996947246937</c:v>
                </c:pt>
                <c:pt idx="569">
                  <c:v>1236.1472666418742</c:v>
                </c:pt>
                <c:pt idx="570">
                  <c:v>660.91299258681227</c:v>
                </c:pt>
                <c:pt idx="582">
                  <c:v>2520.1407899882688</c:v>
                </c:pt>
                <c:pt idx="597">
                  <c:v>1176.6111838771667</c:v>
                </c:pt>
                <c:pt idx="610">
                  <c:v>2071.1631039385397</c:v>
                </c:pt>
                <c:pt idx="626">
                  <c:v>2026.52683528686</c:v>
                </c:pt>
                <c:pt idx="651">
                  <c:v>658.9337022453974</c:v>
                </c:pt>
                <c:pt idx="661">
                  <c:v>1605.0898299475857</c:v>
                </c:pt>
                <c:pt idx="663">
                  <c:v>2056.5497494631354</c:v>
                </c:pt>
                <c:pt idx="675">
                  <c:v>282.18025508920562</c:v>
                </c:pt>
                <c:pt idx="684">
                  <c:v>495.92342504130454</c:v>
                </c:pt>
                <c:pt idx="690">
                  <c:v>978.90643560023511</c:v>
                </c:pt>
                <c:pt idx="691">
                  <c:v>353.21081833413388</c:v>
                </c:pt>
                <c:pt idx="721">
                  <c:v>13.922139147729363</c:v>
                </c:pt>
                <c:pt idx="722">
                  <c:v>744.72055871667681</c:v>
                </c:pt>
                <c:pt idx="733">
                  <c:v>1755.5733133286578</c:v>
                </c:pt>
                <c:pt idx="750">
                  <c:v>580.25641706261786</c:v>
                </c:pt>
                <c:pt idx="771">
                  <c:v>1382.0948666864481</c:v>
                </c:pt>
                <c:pt idx="790">
                  <c:v>1132.6555802419261</c:v>
                </c:pt>
                <c:pt idx="795">
                  <c:v>128.37357572102442</c:v>
                </c:pt>
                <c:pt idx="813">
                  <c:v>796.08572806836185</c:v>
                </c:pt>
                <c:pt idx="851">
                  <c:v>1743.880133296585</c:v>
                </c:pt>
                <c:pt idx="889">
                  <c:v>973.5594795539032</c:v>
                </c:pt>
                <c:pt idx="898">
                  <c:v>1619.5711183496196</c:v>
                </c:pt>
                <c:pt idx="899">
                  <c:v>568.53935065078463</c:v>
                </c:pt>
                <c:pt idx="905">
                  <c:v>2264.1749531894784</c:v>
                </c:pt>
                <c:pt idx="910">
                  <c:v>1316.8447927423392</c:v>
                </c:pt>
                <c:pt idx="924">
                  <c:v>1765.8707239393391</c:v>
                </c:pt>
                <c:pt idx="929">
                  <c:v>394.3999815485389</c:v>
                </c:pt>
                <c:pt idx="931">
                  <c:v>2482.003508559676</c:v>
                </c:pt>
                <c:pt idx="932">
                  <c:v>1837.1507374985013</c:v>
                </c:pt>
                <c:pt idx="934">
                  <c:v>1122.1119100631452</c:v>
                </c:pt>
                <c:pt idx="938">
                  <c:v>940.56755309655546</c:v>
                </c:pt>
                <c:pt idx="971">
                  <c:v>2466.5734265734263</c:v>
                </c:pt>
                <c:pt idx="974">
                  <c:v>880.74519071493228</c:v>
                </c:pt>
                <c:pt idx="994">
                  <c:v>1508.1243556420347</c:v>
                </c:pt>
                <c:pt idx="1001">
                  <c:v>1559.0981486622736</c:v>
                </c:pt>
                <c:pt idx="1006">
                  <c:v>2034.8265693020642</c:v>
                </c:pt>
                <c:pt idx="1020">
                  <c:v>919.69871058342903</c:v>
                </c:pt>
                <c:pt idx="1025">
                  <c:v>958.71195950478739</c:v>
                </c:pt>
                <c:pt idx="1043">
                  <c:v>2674.3384785005514</c:v>
                </c:pt>
                <c:pt idx="1048">
                  <c:v>29.49396755870869</c:v>
                </c:pt>
                <c:pt idx="1060">
                  <c:v>300.42793088843132</c:v>
                </c:pt>
                <c:pt idx="1080">
                  <c:v>898.51381523862665</c:v>
                </c:pt>
                <c:pt idx="1081">
                  <c:v>851.45364939141291</c:v>
                </c:pt>
                <c:pt idx="1085">
                  <c:v>258.48232690129402</c:v>
                </c:pt>
                <c:pt idx="1098">
                  <c:v>331.3660408890164</c:v>
                </c:pt>
                <c:pt idx="1122">
                  <c:v>720.63322709635656</c:v>
                </c:pt>
                <c:pt idx="1130">
                  <c:v>416.30803573907588</c:v>
                </c:pt>
                <c:pt idx="1156">
                  <c:v>829.2043808416604</c:v>
                </c:pt>
                <c:pt idx="1175">
                  <c:v>363.74858991550127</c:v>
                </c:pt>
                <c:pt idx="1197">
                  <c:v>463.05306658915401</c:v>
                </c:pt>
                <c:pt idx="1202">
                  <c:v>2555.7974959172561</c:v>
                </c:pt>
                <c:pt idx="1205">
                  <c:v>1170.6539074960126</c:v>
                </c:pt>
                <c:pt idx="1215">
                  <c:v>84.153747983171215</c:v>
                </c:pt>
                <c:pt idx="1220">
                  <c:v>390.06641616899918</c:v>
                </c:pt>
                <c:pt idx="1227">
                  <c:v>58.085463726332257</c:v>
                </c:pt>
                <c:pt idx="1234">
                  <c:v>35.365201430102424</c:v>
                </c:pt>
                <c:pt idx="1240">
                  <c:v>952.18786565798155</c:v>
                </c:pt>
                <c:pt idx="1241">
                  <c:v>509.23284402717985</c:v>
                </c:pt>
                <c:pt idx="1259">
                  <c:v>1260.8774110759114</c:v>
                </c:pt>
                <c:pt idx="1275">
                  <c:v>607.67527029660073</c:v>
                </c:pt>
                <c:pt idx="1298">
                  <c:v>19.846462056812786</c:v>
                </c:pt>
                <c:pt idx="1299">
                  <c:v>632.89860197902601</c:v>
                </c:pt>
                <c:pt idx="1302">
                  <c:v>396.11231597186361</c:v>
                </c:pt>
                <c:pt idx="1304">
                  <c:v>257.89874381423687</c:v>
                </c:pt>
                <c:pt idx="1316">
                  <c:v>1450.0939917576457</c:v>
                </c:pt>
                <c:pt idx="1317">
                  <c:v>629.61835778197099</c:v>
                </c:pt>
                <c:pt idx="1320">
                  <c:v>57.301212524242374</c:v>
                </c:pt>
                <c:pt idx="1322">
                  <c:v>454.05783000274437</c:v>
                </c:pt>
                <c:pt idx="1341">
                  <c:v>100.93811952517679</c:v>
                </c:pt>
                <c:pt idx="1373">
                  <c:v>36.646088766770255</c:v>
                </c:pt>
                <c:pt idx="1382">
                  <c:v>1050.500390830226</c:v>
                </c:pt>
                <c:pt idx="1392">
                  <c:v>116.19845212396385</c:v>
                </c:pt>
                <c:pt idx="1411">
                  <c:v>1246.7234286807616</c:v>
                </c:pt>
                <c:pt idx="1417">
                  <c:v>251.85272059895647</c:v>
                </c:pt>
                <c:pt idx="1420">
                  <c:v>2327.7656741709029</c:v>
                </c:pt>
                <c:pt idx="1443">
                  <c:v>419.95407442298637</c:v>
                </c:pt>
                <c:pt idx="1455">
                  <c:v>475.10267216161145</c:v>
                </c:pt>
                <c:pt idx="1459">
                  <c:v>599.04229781958418</c:v>
                </c:pt>
                <c:pt idx="1474">
                  <c:v>411.31235849793109</c:v>
                </c:pt>
                <c:pt idx="1480">
                  <c:v>427.84225525306408</c:v>
                </c:pt>
                <c:pt idx="1501">
                  <c:v>1397.2571297412062</c:v>
                </c:pt>
                <c:pt idx="1505">
                  <c:v>26.557846175699414</c:v>
                </c:pt>
                <c:pt idx="1510">
                  <c:v>89.147167412802602</c:v>
                </c:pt>
                <c:pt idx="1521">
                  <c:v>2409.8830269754117</c:v>
                </c:pt>
                <c:pt idx="1527">
                  <c:v>356.83846066785077</c:v>
                </c:pt>
                <c:pt idx="1542">
                  <c:v>383.73253918816295</c:v>
                </c:pt>
                <c:pt idx="1550">
                  <c:v>268.49089599835412</c:v>
                </c:pt>
                <c:pt idx="1555">
                  <c:v>803.77484218962456</c:v>
                </c:pt>
                <c:pt idx="1556">
                  <c:v>54.825613040272508</c:v>
                </c:pt>
                <c:pt idx="1564">
                  <c:v>246.64093287245637</c:v>
                </c:pt>
                <c:pt idx="1592">
                  <c:v>2064.8168561620105</c:v>
                </c:pt>
                <c:pt idx="1597">
                  <c:v>1400.3868471953579</c:v>
                </c:pt>
                <c:pt idx="1610">
                  <c:v>583.33044011619154</c:v>
                </c:pt>
                <c:pt idx="1613">
                  <c:v>168.81255580094921</c:v>
                </c:pt>
                <c:pt idx="1626">
                  <c:v>274.38845213177154</c:v>
                </c:pt>
                <c:pt idx="1640">
                  <c:v>32.588452002644999</c:v>
                </c:pt>
                <c:pt idx="1658">
                  <c:v>1.0293172499179264</c:v>
                </c:pt>
                <c:pt idx="1661">
                  <c:v>1820.4077190946023</c:v>
                </c:pt>
                <c:pt idx="1664">
                  <c:v>805.14316862795408</c:v>
                </c:pt>
                <c:pt idx="1672">
                  <c:v>2149.4697153208567</c:v>
                </c:pt>
                <c:pt idx="1682">
                  <c:v>59.145955141299922</c:v>
                </c:pt>
                <c:pt idx="1687">
                  <c:v>7.3389932924989045</c:v>
                </c:pt>
                <c:pt idx="1690">
                  <c:v>2090.7292763749388</c:v>
                </c:pt>
                <c:pt idx="1706">
                  <c:v>62.126269555838924</c:v>
                </c:pt>
                <c:pt idx="1708">
                  <c:v>46.768934329891728</c:v>
                </c:pt>
                <c:pt idx="1711">
                  <c:v>1749.9586845149565</c:v>
                </c:pt>
                <c:pt idx="1716">
                  <c:v>239.76090918837784</c:v>
                </c:pt>
                <c:pt idx="1723">
                  <c:v>1669.4894749576579</c:v>
                </c:pt>
                <c:pt idx="1732">
                  <c:v>253.32311042603439</c:v>
                </c:pt>
                <c:pt idx="1733">
                  <c:v>1700.7981644658153</c:v>
                </c:pt>
                <c:pt idx="1754">
                  <c:v>1757.8524221571165</c:v>
                </c:pt>
                <c:pt idx="1763">
                  <c:v>288.82676620861201</c:v>
                </c:pt>
                <c:pt idx="1770">
                  <c:v>388.00498660774895</c:v>
                </c:pt>
                <c:pt idx="1776">
                  <c:v>340.58555084573777</c:v>
                </c:pt>
                <c:pt idx="1780">
                  <c:v>50.81202250403333</c:v>
                </c:pt>
                <c:pt idx="1786">
                  <c:v>133.20375864034253</c:v>
                </c:pt>
                <c:pt idx="1789">
                  <c:v>1810.5934132645316</c:v>
                </c:pt>
                <c:pt idx="1790">
                  <c:v>123.71753619531719</c:v>
                </c:pt>
                <c:pt idx="1792">
                  <c:v>1131.9399554693673</c:v>
                </c:pt>
                <c:pt idx="1794">
                  <c:v>1984.7280465669398</c:v>
                </c:pt>
                <c:pt idx="1816">
                  <c:v>479.06542056074767</c:v>
                </c:pt>
                <c:pt idx="1829">
                  <c:v>1397.0979260047102</c:v>
                </c:pt>
                <c:pt idx="1838">
                  <c:v>954.29803234474821</c:v>
                </c:pt>
                <c:pt idx="1843">
                  <c:v>132.71078762238099</c:v>
                </c:pt>
                <c:pt idx="1857">
                  <c:v>56.485784355850519</c:v>
                </c:pt>
                <c:pt idx="1863">
                  <c:v>461.72473122195009</c:v>
                </c:pt>
                <c:pt idx="1869">
                  <c:v>130.30677442434802</c:v>
                </c:pt>
                <c:pt idx="1870">
                  <c:v>1992.2400823501462</c:v>
                </c:pt>
                <c:pt idx="1874">
                  <c:v>1515.3062853129886</c:v>
                </c:pt>
                <c:pt idx="1885">
                  <c:v>227.36979181036142</c:v>
                </c:pt>
                <c:pt idx="1891">
                  <c:v>158.11678850612574</c:v>
                </c:pt>
                <c:pt idx="1919">
                  <c:v>2063.2411067193675</c:v>
                </c:pt>
                <c:pt idx="1928">
                  <c:v>1916.7306216423638</c:v>
                </c:pt>
                <c:pt idx="1931">
                  <c:v>146.18010522671457</c:v>
                </c:pt>
                <c:pt idx="1947">
                  <c:v>12.996081225507657</c:v>
                </c:pt>
                <c:pt idx="1954">
                  <c:v>203.06441271359799</c:v>
                </c:pt>
                <c:pt idx="1967">
                  <c:v>467.95665807416327</c:v>
                </c:pt>
                <c:pt idx="1969">
                  <c:v>319.3121802183104</c:v>
                </c:pt>
                <c:pt idx="1981">
                  <c:v>1.3002437527440438</c:v>
                </c:pt>
                <c:pt idx="1990">
                  <c:v>41.09731585894157</c:v>
                </c:pt>
                <c:pt idx="1993">
                  <c:v>53.291880563678056</c:v>
                </c:pt>
                <c:pt idx="1994">
                  <c:v>98.597264411995113</c:v>
                </c:pt>
                <c:pt idx="1998">
                  <c:v>35.537331839538652</c:v>
                </c:pt>
                <c:pt idx="2006">
                  <c:v>720.42455623547994</c:v>
                </c:pt>
                <c:pt idx="2008">
                  <c:v>28.450971140838423</c:v>
                </c:pt>
                <c:pt idx="2009">
                  <c:v>898.49732996646924</c:v>
                </c:pt>
                <c:pt idx="2025">
                  <c:v>62.366229517682783</c:v>
                </c:pt>
                <c:pt idx="2027">
                  <c:v>26.775136592456356</c:v>
                </c:pt>
                <c:pt idx="2029">
                  <c:v>133.75597433658433</c:v>
                </c:pt>
                <c:pt idx="2032">
                  <c:v>834.16583416583421</c:v>
                </c:pt>
                <c:pt idx="2037">
                  <c:v>144.52227826782521</c:v>
                </c:pt>
                <c:pt idx="2062">
                  <c:v>834.73350778129748</c:v>
                </c:pt>
                <c:pt idx="2071">
                  <c:v>157.19375171279805</c:v>
                </c:pt>
                <c:pt idx="2073">
                  <c:v>1025.188643396124</c:v>
                </c:pt>
                <c:pt idx="2092">
                  <c:v>94.871418074944884</c:v>
                </c:pt>
                <c:pt idx="2115">
                  <c:v>3.043966936328915</c:v>
                </c:pt>
                <c:pt idx="2117">
                  <c:v>4.2364476453159963</c:v>
                </c:pt>
                <c:pt idx="2118">
                  <c:v>935.76210362846518</c:v>
                </c:pt>
                <c:pt idx="2122">
                  <c:v>1.3075222507439204</c:v>
                </c:pt>
                <c:pt idx="2133">
                  <c:v>229.30271961363738</c:v>
                </c:pt>
                <c:pt idx="2137">
                  <c:v>2350.3981797497158</c:v>
                </c:pt>
                <c:pt idx="2141">
                  <c:v>72.577901257100649</c:v>
                </c:pt>
                <c:pt idx="2145">
                  <c:v>1746.4579524680073</c:v>
                </c:pt>
                <c:pt idx="2159">
                  <c:v>5.4582957709221374</c:v>
                </c:pt>
                <c:pt idx="2163">
                  <c:v>99.832784910113261</c:v>
                </c:pt>
                <c:pt idx="2168">
                  <c:v>40.343240372399144</c:v>
                </c:pt>
                <c:pt idx="2185">
                  <c:v>22.96717843121726</c:v>
                </c:pt>
                <c:pt idx="2196">
                  <c:v>115.43671687418301</c:v>
                </c:pt>
                <c:pt idx="2205">
                  <c:v>963.97979967076799</c:v>
                </c:pt>
                <c:pt idx="2209">
                  <c:v>5.8264130086291406</c:v>
                </c:pt>
                <c:pt idx="2216">
                  <c:v>2091.2901723334885</c:v>
                </c:pt>
                <c:pt idx="2227">
                  <c:v>140.56475083300589</c:v>
                </c:pt>
                <c:pt idx="2233">
                  <c:v>1602.8443201025823</c:v>
                </c:pt>
                <c:pt idx="2252">
                  <c:v>58.55335754634941</c:v>
                </c:pt>
                <c:pt idx="2257">
                  <c:v>43.102498707857073</c:v>
                </c:pt>
                <c:pt idx="2306">
                  <c:v>757.83333035091187</c:v>
                </c:pt>
              </c:numCache>
            </c:numRef>
          </c:xVal>
          <c:yVal>
            <c:numRef>
              <c:f>'Pasted values for chart'!$D$3:$D$2315</c:f>
              <c:numCache>
                <c:formatCode>General</c:formatCode>
                <c:ptCount val="2313"/>
                <c:pt idx="0">
                  <c:v>0.32662040087724692</c:v>
                </c:pt>
                <c:pt idx="1">
                  <c:v>0.34393186498138811</c:v>
                </c:pt>
                <c:pt idx="2">
                  <c:v>0.36144274410513511</c:v>
                </c:pt>
                <c:pt idx="3">
                  <c:v>0.36837786280677709</c:v>
                </c:pt>
                <c:pt idx="4">
                  <c:v>0.36920658469592421</c:v>
                </c:pt>
                <c:pt idx="5">
                  <c:v>0.37805620640848536</c:v>
                </c:pt>
                <c:pt idx="6">
                  <c:v>0.38374123520772752</c:v>
                </c:pt>
                <c:pt idx="7">
                  <c:v>0.38419725659342624</c:v>
                </c:pt>
                <c:pt idx="8">
                  <c:v>0.38686518712738399</c:v>
                </c:pt>
                <c:pt idx="9">
                  <c:v>0.3901035430937761</c:v>
                </c:pt>
                <c:pt idx="10">
                  <c:v>0.39030253110841417</c:v>
                </c:pt>
                <c:pt idx="11">
                  <c:v>0.39165075516065845</c:v>
                </c:pt>
                <c:pt idx="12">
                  <c:v>0.39373326249241997</c:v>
                </c:pt>
                <c:pt idx="13">
                  <c:v>0.39494604218135604</c:v>
                </c:pt>
                <c:pt idx="14">
                  <c:v>0.39551287263587986</c:v>
                </c:pt>
                <c:pt idx="15">
                  <c:v>0.40057528073331367</c:v>
                </c:pt>
                <c:pt idx="16">
                  <c:v>0.40062471779783743</c:v>
                </c:pt>
                <c:pt idx="17">
                  <c:v>0.40424357517048415</c:v>
                </c:pt>
                <c:pt idx="18">
                  <c:v>0.40617039907168989</c:v>
                </c:pt>
                <c:pt idx="19">
                  <c:v>0.40781838242900093</c:v>
                </c:pt>
                <c:pt idx="20">
                  <c:v>0.40815762160981139</c:v>
                </c:pt>
                <c:pt idx="21">
                  <c:v>0.40818520487322124</c:v>
                </c:pt>
                <c:pt idx="22">
                  <c:v>0.40839763452392436</c:v>
                </c:pt>
                <c:pt idx="23">
                  <c:v>0.41044576819457307</c:v>
                </c:pt>
                <c:pt idx="24">
                  <c:v>0.41053824284705298</c:v>
                </c:pt>
                <c:pt idx="25">
                  <c:v>0.4109166895001804</c:v>
                </c:pt>
                <c:pt idx="26">
                  <c:v>0.41110650082257399</c:v>
                </c:pt>
                <c:pt idx="27">
                  <c:v>0.41239381783860357</c:v>
                </c:pt>
                <c:pt idx="28">
                  <c:v>0.41252128402982036</c:v>
                </c:pt>
                <c:pt idx="29">
                  <c:v>0.41528666177976792</c:v>
                </c:pt>
                <c:pt idx="30">
                  <c:v>0.41744217752208418</c:v>
                </c:pt>
                <c:pt idx="31">
                  <c:v>0.41778324832756847</c:v>
                </c:pt>
                <c:pt idx="32">
                  <c:v>0.41803273727616275</c:v>
                </c:pt>
                <c:pt idx="33">
                  <c:v>0.41820389424779625</c:v>
                </c:pt>
                <c:pt idx="34">
                  <c:v>0.41900774955892139</c:v>
                </c:pt>
                <c:pt idx="35">
                  <c:v>0.41978123193629491</c:v>
                </c:pt>
                <c:pt idx="36">
                  <c:v>0.41987419931905962</c:v>
                </c:pt>
                <c:pt idx="37">
                  <c:v>0.42082708677914482</c:v>
                </c:pt>
                <c:pt idx="38">
                  <c:v>0.42134593826642941</c:v>
                </c:pt>
                <c:pt idx="39">
                  <c:v>0.42329838177236956</c:v>
                </c:pt>
                <c:pt idx="40">
                  <c:v>0.42481888030878062</c:v>
                </c:pt>
                <c:pt idx="41">
                  <c:v>0.42486149997376704</c:v>
                </c:pt>
                <c:pt idx="42">
                  <c:v>0.42637238814632811</c:v>
                </c:pt>
                <c:pt idx="43">
                  <c:v>0.43029835681877321</c:v>
                </c:pt>
                <c:pt idx="44">
                  <c:v>0.4330903264310717</c:v>
                </c:pt>
                <c:pt idx="45">
                  <c:v>0.43384313656896295</c:v>
                </c:pt>
                <c:pt idx="46">
                  <c:v>0.43470093928019593</c:v>
                </c:pt>
                <c:pt idx="47">
                  <c:v>0.43530458235691161</c:v>
                </c:pt>
                <c:pt idx="48">
                  <c:v>0.43587324003856254</c:v>
                </c:pt>
                <c:pt idx="49">
                  <c:v>0.43601515618646797</c:v>
                </c:pt>
                <c:pt idx="50">
                  <c:v>0.43745522973903128</c:v>
                </c:pt>
                <c:pt idx="51">
                  <c:v>0.43748535397119059</c:v>
                </c:pt>
                <c:pt idx="52">
                  <c:v>0.43758686190164442</c:v>
                </c:pt>
                <c:pt idx="53">
                  <c:v>0.43764692463771582</c:v>
                </c:pt>
                <c:pt idx="54">
                  <c:v>0.43826269597442979</c:v>
                </c:pt>
                <c:pt idx="55">
                  <c:v>0.43905172589959884</c:v>
                </c:pt>
                <c:pt idx="56">
                  <c:v>0.43919505326062935</c:v>
                </c:pt>
                <c:pt idx="57">
                  <c:v>0.4392022521633886</c:v>
                </c:pt>
                <c:pt idx="58">
                  <c:v>0.43974016212107037</c:v>
                </c:pt>
                <c:pt idx="59">
                  <c:v>0.43997162517260907</c:v>
                </c:pt>
                <c:pt idx="60">
                  <c:v>0.44020592139305315</c:v>
                </c:pt>
                <c:pt idx="61">
                  <c:v>0.44220159527891195</c:v>
                </c:pt>
                <c:pt idx="62">
                  <c:v>0.44319300879982143</c:v>
                </c:pt>
                <c:pt idx="63">
                  <c:v>0.4434550525872929</c:v>
                </c:pt>
                <c:pt idx="64">
                  <c:v>0.44384971089359465</c:v>
                </c:pt>
                <c:pt idx="65">
                  <c:v>0.44481419027323144</c:v>
                </c:pt>
                <c:pt idx="66">
                  <c:v>0.44578916148336639</c:v>
                </c:pt>
                <c:pt idx="67">
                  <c:v>0.44584736930041585</c:v>
                </c:pt>
                <c:pt idx="68">
                  <c:v>0.44604154697050447</c:v>
                </c:pt>
                <c:pt idx="69">
                  <c:v>0.44660658099474421</c:v>
                </c:pt>
                <c:pt idx="70">
                  <c:v>0.44805347885483615</c:v>
                </c:pt>
                <c:pt idx="71">
                  <c:v>0.44920290278227504</c:v>
                </c:pt>
                <c:pt idx="72">
                  <c:v>0.44989775051124781</c:v>
                </c:pt>
                <c:pt idx="73">
                  <c:v>0.4502310586542751</c:v>
                </c:pt>
                <c:pt idx="74">
                  <c:v>0.4510666907907625</c:v>
                </c:pt>
                <c:pt idx="75">
                  <c:v>0.45200638887252897</c:v>
                </c:pt>
                <c:pt idx="76">
                  <c:v>0.45299283451903599</c:v>
                </c:pt>
                <c:pt idx="77">
                  <c:v>0.45317662085448113</c:v>
                </c:pt>
                <c:pt idx="78">
                  <c:v>0.45325241131273358</c:v>
                </c:pt>
                <c:pt idx="79">
                  <c:v>0.45381772247071572</c:v>
                </c:pt>
                <c:pt idx="80">
                  <c:v>0.45394639473780141</c:v>
                </c:pt>
                <c:pt idx="81">
                  <c:v>0.4542488130747403</c:v>
                </c:pt>
                <c:pt idx="82">
                  <c:v>0.45441592093753896</c:v>
                </c:pt>
                <c:pt idx="83">
                  <c:v>0.45486475071512233</c:v>
                </c:pt>
                <c:pt idx="84">
                  <c:v>0.4551239191808592</c:v>
                </c:pt>
                <c:pt idx="85">
                  <c:v>0.45584328732817303</c:v>
                </c:pt>
                <c:pt idx="86">
                  <c:v>0.45635937837517537</c:v>
                </c:pt>
                <c:pt idx="87">
                  <c:v>0.45706378686641658</c:v>
                </c:pt>
                <c:pt idx="88">
                  <c:v>0.45737839498408567</c:v>
                </c:pt>
                <c:pt idx="89">
                  <c:v>0.45768131183620248</c:v>
                </c:pt>
                <c:pt idx="90">
                  <c:v>0.45844958536774416</c:v>
                </c:pt>
                <c:pt idx="91">
                  <c:v>0.45862631137959758</c:v>
                </c:pt>
                <c:pt idx="92">
                  <c:v>0.45908556778121862</c:v>
                </c:pt>
                <c:pt idx="93">
                  <c:v>0.46009983670631061</c:v>
                </c:pt>
                <c:pt idx="94">
                  <c:v>0.4602028664487362</c:v>
                </c:pt>
                <c:pt idx="95">
                  <c:v>0.46073103331541104</c:v>
                </c:pt>
                <c:pt idx="96">
                  <c:v>0.46128162818591933</c:v>
                </c:pt>
                <c:pt idx="97">
                  <c:v>0.46152235641918826</c:v>
                </c:pt>
                <c:pt idx="98">
                  <c:v>0.46316240859978364</c:v>
                </c:pt>
                <c:pt idx="99">
                  <c:v>0.46435923607151014</c:v>
                </c:pt>
                <c:pt idx="100">
                  <c:v>0.46447624865981507</c:v>
                </c:pt>
                <c:pt idx="101">
                  <c:v>0.46455979193454244</c:v>
                </c:pt>
                <c:pt idx="102">
                  <c:v>0.4645949611392215</c:v>
                </c:pt>
                <c:pt idx="103">
                  <c:v>0.46481602250450926</c:v>
                </c:pt>
                <c:pt idx="104">
                  <c:v>0.46486605182257423</c:v>
                </c:pt>
                <c:pt idx="105">
                  <c:v>0.46495515267067816</c:v>
                </c:pt>
                <c:pt idx="106">
                  <c:v>0.46547840880797126</c:v>
                </c:pt>
                <c:pt idx="107">
                  <c:v>0.46559609295780524</c:v>
                </c:pt>
                <c:pt idx="108">
                  <c:v>0.46651504400379823</c:v>
                </c:pt>
                <c:pt idx="109">
                  <c:v>0.46717973275995639</c:v>
                </c:pt>
                <c:pt idx="110">
                  <c:v>0.46718441995408633</c:v>
                </c:pt>
                <c:pt idx="111">
                  <c:v>0.4673622964132601</c:v>
                </c:pt>
                <c:pt idx="112">
                  <c:v>0.46877429785908653</c:v>
                </c:pt>
                <c:pt idx="113">
                  <c:v>0.46881605655491027</c:v>
                </c:pt>
                <c:pt idx="114">
                  <c:v>0.46884039456922405</c:v>
                </c:pt>
                <c:pt idx="115">
                  <c:v>0.46924889954667903</c:v>
                </c:pt>
                <c:pt idx="116">
                  <c:v>0.46942500463627251</c:v>
                </c:pt>
                <c:pt idx="117">
                  <c:v>0.46960177060360142</c:v>
                </c:pt>
                <c:pt idx="118">
                  <c:v>0.47003819167893157</c:v>
                </c:pt>
                <c:pt idx="119">
                  <c:v>0.47023152796587836</c:v>
                </c:pt>
                <c:pt idx="120">
                  <c:v>0.47024539734885279</c:v>
                </c:pt>
                <c:pt idx="121">
                  <c:v>0.47129017230794068</c:v>
                </c:pt>
                <c:pt idx="122">
                  <c:v>0.47129670433308846</c:v>
                </c:pt>
                <c:pt idx="123">
                  <c:v>0.47189008262635812</c:v>
                </c:pt>
                <c:pt idx="124">
                  <c:v>0.47206094185634245</c:v>
                </c:pt>
                <c:pt idx="125">
                  <c:v>0.47206333780894166</c:v>
                </c:pt>
                <c:pt idx="126">
                  <c:v>0.47237104538716934</c:v>
                </c:pt>
                <c:pt idx="127">
                  <c:v>0.47253090537345521</c:v>
                </c:pt>
                <c:pt idx="128">
                  <c:v>0.47300657683270853</c:v>
                </c:pt>
                <c:pt idx="129">
                  <c:v>0.47388673482114313</c:v>
                </c:pt>
                <c:pt idx="130">
                  <c:v>0.47434621614022415</c:v>
                </c:pt>
                <c:pt idx="131">
                  <c:v>0.47443312516084879</c:v>
                </c:pt>
                <c:pt idx="132">
                  <c:v>0.47445686830143269</c:v>
                </c:pt>
                <c:pt idx="133">
                  <c:v>0.47502542322186947</c:v>
                </c:pt>
                <c:pt idx="134">
                  <c:v>0.47560635425788123</c:v>
                </c:pt>
                <c:pt idx="135">
                  <c:v>0.47562914298510345</c:v>
                </c:pt>
                <c:pt idx="136">
                  <c:v>0.47609810767705463</c:v>
                </c:pt>
                <c:pt idx="137">
                  <c:v>0.4761409355159324</c:v>
                </c:pt>
                <c:pt idx="138">
                  <c:v>0.47653916562289239</c:v>
                </c:pt>
                <c:pt idx="139">
                  <c:v>0.476691917343677</c:v>
                </c:pt>
                <c:pt idx="140">
                  <c:v>0.47696956637208437</c:v>
                </c:pt>
                <c:pt idx="141">
                  <c:v>0.47717315919132697</c:v>
                </c:pt>
                <c:pt idx="142">
                  <c:v>0.47737581634523851</c:v>
                </c:pt>
                <c:pt idx="143">
                  <c:v>0.47761634431814937</c:v>
                </c:pt>
                <c:pt idx="144">
                  <c:v>0.47769639591950619</c:v>
                </c:pt>
                <c:pt idx="145">
                  <c:v>0.47772858876607266</c:v>
                </c:pt>
                <c:pt idx="146">
                  <c:v>0.47796859643979611</c:v>
                </c:pt>
                <c:pt idx="147">
                  <c:v>0.47807333397658897</c:v>
                </c:pt>
                <c:pt idx="148">
                  <c:v>0.47824816556358296</c:v>
                </c:pt>
                <c:pt idx="149">
                  <c:v>0.47833162304211652</c:v>
                </c:pt>
                <c:pt idx="150">
                  <c:v>0.4784018492967031</c:v>
                </c:pt>
                <c:pt idx="151">
                  <c:v>0.4791392952886</c:v>
                </c:pt>
                <c:pt idx="152">
                  <c:v>0.48093578947443094</c:v>
                </c:pt>
                <c:pt idx="153">
                  <c:v>0.48148730481441898</c:v>
                </c:pt>
                <c:pt idx="154">
                  <c:v>0.48148813631172405</c:v>
                </c:pt>
                <c:pt idx="155">
                  <c:v>0.48179046543121351</c:v>
                </c:pt>
                <c:pt idx="156">
                  <c:v>0.48212659210206182</c:v>
                </c:pt>
                <c:pt idx="157">
                  <c:v>0.48263811679885638</c:v>
                </c:pt>
                <c:pt idx="158">
                  <c:v>0.48302048372885154</c:v>
                </c:pt>
                <c:pt idx="159">
                  <c:v>0.48319520492007062</c:v>
                </c:pt>
                <c:pt idx="160">
                  <c:v>0.4838102356243234</c:v>
                </c:pt>
                <c:pt idx="161">
                  <c:v>0.48469971028110559</c:v>
                </c:pt>
                <c:pt idx="162">
                  <c:v>0.48490760761147289</c:v>
                </c:pt>
                <c:pt idx="163">
                  <c:v>0.48492057142266171</c:v>
                </c:pt>
                <c:pt idx="164">
                  <c:v>0.48599638208245427</c:v>
                </c:pt>
                <c:pt idx="165">
                  <c:v>0.48658428085909011</c:v>
                </c:pt>
                <c:pt idx="166">
                  <c:v>0.48662253003517014</c:v>
                </c:pt>
                <c:pt idx="167">
                  <c:v>0.48676529569843108</c:v>
                </c:pt>
                <c:pt idx="168">
                  <c:v>0.48692018181850072</c:v>
                </c:pt>
                <c:pt idx="169">
                  <c:v>0.48741989985782519</c:v>
                </c:pt>
                <c:pt idx="170">
                  <c:v>0.48755711602461782</c:v>
                </c:pt>
                <c:pt idx="171">
                  <c:v>0.48812554899349608</c:v>
                </c:pt>
                <c:pt idx="172">
                  <c:v>0.4892865417194342</c:v>
                </c:pt>
                <c:pt idx="173">
                  <c:v>0.48932574731087936</c:v>
                </c:pt>
                <c:pt idx="174">
                  <c:v>0.48940829376806788</c:v>
                </c:pt>
                <c:pt idx="175">
                  <c:v>0.48954909906419281</c:v>
                </c:pt>
                <c:pt idx="176">
                  <c:v>0.49036809410520676</c:v>
                </c:pt>
                <c:pt idx="177">
                  <c:v>0.49039091642302618</c:v>
                </c:pt>
                <c:pt idx="178">
                  <c:v>0.49056530525308434</c:v>
                </c:pt>
                <c:pt idx="179">
                  <c:v>0.49071970140278015</c:v>
                </c:pt>
                <c:pt idx="180">
                  <c:v>0.49083352428649007</c:v>
                </c:pt>
                <c:pt idx="181">
                  <c:v>0.49093160140413949</c:v>
                </c:pt>
                <c:pt idx="182">
                  <c:v>0.49126613087472498</c:v>
                </c:pt>
                <c:pt idx="183">
                  <c:v>0.49129238023315586</c:v>
                </c:pt>
                <c:pt idx="184">
                  <c:v>0.49137002561718618</c:v>
                </c:pt>
                <c:pt idx="185">
                  <c:v>0.49207886956070757</c:v>
                </c:pt>
                <c:pt idx="186">
                  <c:v>0.49225456139525464</c:v>
                </c:pt>
                <c:pt idx="187">
                  <c:v>0.49225467883912727</c:v>
                </c:pt>
                <c:pt idx="188">
                  <c:v>0.49260776857645361</c:v>
                </c:pt>
                <c:pt idx="189">
                  <c:v>0.49305517864978615</c:v>
                </c:pt>
                <c:pt idx="190">
                  <c:v>0.49337770468626624</c:v>
                </c:pt>
                <c:pt idx="191">
                  <c:v>0.49373727593153061</c:v>
                </c:pt>
                <c:pt idx="192">
                  <c:v>0.49448683160415025</c:v>
                </c:pt>
                <c:pt idx="193">
                  <c:v>0.49461727705607839</c:v>
                </c:pt>
                <c:pt idx="194">
                  <c:v>0.49494428262091317</c:v>
                </c:pt>
                <c:pt idx="195">
                  <c:v>0.49502475342518326</c:v>
                </c:pt>
                <c:pt idx="196">
                  <c:v>0.49616337814772438</c:v>
                </c:pt>
                <c:pt idx="197">
                  <c:v>0.49637166752699263</c:v>
                </c:pt>
                <c:pt idx="198">
                  <c:v>0.49661362150988642</c:v>
                </c:pt>
                <c:pt idx="199">
                  <c:v>0.49691658915422227</c:v>
                </c:pt>
                <c:pt idx="200">
                  <c:v>0.49788181785648439</c:v>
                </c:pt>
                <c:pt idx="201">
                  <c:v>0.49803354836818897</c:v>
                </c:pt>
                <c:pt idx="202">
                  <c:v>0.49807179273463986</c:v>
                </c:pt>
                <c:pt idx="203">
                  <c:v>0.49905468925496776</c:v>
                </c:pt>
                <c:pt idx="204">
                  <c:v>0.49911466042750979</c:v>
                </c:pt>
                <c:pt idx="205">
                  <c:v>0.49915553558879289</c:v>
                </c:pt>
                <c:pt idx="206">
                  <c:v>0.49929322032562806</c:v>
                </c:pt>
                <c:pt idx="207">
                  <c:v>0.49968961441454968</c:v>
                </c:pt>
                <c:pt idx="208">
                  <c:v>0.49986611890171473</c:v>
                </c:pt>
                <c:pt idx="209">
                  <c:v>0.50012293821494458</c:v>
                </c:pt>
                <c:pt idx="210">
                  <c:v>0.5007489752284775</c:v>
                </c:pt>
                <c:pt idx="211">
                  <c:v>0.5010299359000423</c:v>
                </c:pt>
                <c:pt idx="212">
                  <c:v>0.50184275184275184</c:v>
                </c:pt>
                <c:pt idx="213">
                  <c:v>0.50190890572175284</c:v>
                </c:pt>
                <c:pt idx="214">
                  <c:v>0.50252600028889138</c:v>
                </c:pt>
                <c:pt idx="215">
                  <c:v>0.50344497946188227</c:v>
                </c:pt>
                <c:pt idx="216">
                  <c:v>0.50355457172357931</c:v>
                </c:pt>
                <c:pt idx="217">
                  <c:v>0.50378411350081376</c:v>
                </c:pt>
                <c:pt idx="218">
                  <c:v>0.50406782871995814</c:v>
                </c:pt>
                <c:pt idx="219">
                  <c:v>0.50440213062093842</c:v>
                </c:pt>
                <c:pt idx="220">
                  <c:v>0.50577048322110085</c:v>
                </c:pt>
                <c:pt idx="221">
                  <c:v>0.50672805007170352</c:v>
                </c:pt>
                <c:pt idx="222">
                  <c:v>0.50718492665103287</c:v>
                </c:pt>
                <c:pt idx="223">
                  <c:v>0.50727705385606647</c:v>
                </c:pt>
                <c:pt idx="224">
                  <c:v>0.50851753577342662</c:v>
                </c:pt>
                <c:pt idx="225">
                  <c:v>0.50856609596966806</c:v>
                </c:pt>
                <c:pt idx="226">
                  <c:v>0.5087228439763003</c:v>
                </c:pt>
                <c:pt idx="227">
                  <c:v>0.50882822884917478</c:v>
                </c:pt>
                <c:pt idx="228">
                  <c:v>0.50886523424607366</c:v>
                </c:pt>
                <c:pt idx="229">
                  <c:v>0.5090891572456312</c:v>
                </c:pt>
                <c:pt idx="230">
                  <c:v>0.50970055061262132</c:v>
                </c:pt>
                <c:pt idx="231">
                  <c:v>0.5099331593122709</c:v>
                </c:pt>
                <c:pt idx="232">
                  <c:v>0.51013349600175983</c:v>
                </c:pt>
                <c:pt idx="233">
                  <c:v>0.51024853932734138</c:v>
                </c:pt>
                <c:pt idx="234">
                  <c:v>0.51103271452365528</c:v>
                </c:pt>
                <c:pt idx="235">
                  <c:v>0.51163887798951058</c:v>
                </c:pt>
                <c:pt idx="236">
                  <c:v>0.51175468732541829</c:v>
                </c:pt>
                <c:pt idx="237">
                  <c:v>0.51210754069969644</c:v>
                </c:pt>
                <c:pt idx="238">
                  <c:v>0.5122913275115184</c:v>
                </c:pt>
                <c:pt idx="239">
                  <c:v>0.51240346962256522</c:v>
                </c:pt>
                <c:pt idx="240">
                  <c:v>0.51300841442623624</c:v>
                </c:pt>
                <c:pt idx="241">
                  <c:v>0.51300912653109243</c:v>
                </c:pt>
                <c:pt idx="242">
                  <c:v>0.5135627869306244</c:v>
                </c:pt>
                <c:pt idx="243">
                  <c:v>0.51422310737085941</c:v>
                </c:pt>
                <c:pt idx="244">
                  <c:v>0.51422397955464738</c:v>
                </c:pt>
                <c:pt idx="245">
                  <c:v>0.51432662006774998</c:v>
                </c:pt>
                <c:pt idx="246">
                  <c:v>0.51467629084367505</c:v>
                </c:pt>
                <c:pt idx="247">
                  <c:v>0.51473972043929139</c:v>
                </c:pt>
                <c:pt idx="248">
                  <c:v>0.51484997702710789</c:v>
                </c:pt>
                <c:pt idx="249">
                  <c:v>0.51507388593666459</c:v>
                </c:pt>
                <c:pt idx="250">
                  <c:v>0.5152223010974637</c:v>
                </c:pt>
                <c:pt idx="251">
                  <c:v>0.51537655346279854</c:v>
                </c:pt>
                <c:pt idx="252">
                  <c:v>0.51581870550812359</c:v>
                </c:pt>
                <c:pt idx="253">
                  <c:v>0.51629711569019099</c:v>
                </c:pt>
                <c:pt idx="254">
                  <c:v>0.51631150243217627</c:v>
                </c:pt>
                <c:pt idx="255">
                  <c:v>0.51657653760184619</c:v>
                </c:pt>
                <c:pt idx="256">
                  <c:v>0.51717869307837205</c:v>
                </c:pt>
                <c:pt idx="257">
                  <c:v>0.51725732018227255</c:v>
                </c:pt>
                <c:pt idx="258">
                  <c:v>0.51752577388242127</c:v>
                </c:pt>
                <c:pt idx="259">
                  <c:v>0.51766836756209644</c:v>
                </c:pt>
                <c:pt idx="260">
                  <c:v>0.51790521306330661</c:v>
                </c:pt>
                <c:pt idx="261">
                  <c:v>0.51796967686142825</c:v>
                </c:pt>
                <c:pt idx="262">
                  <c:v>0.5181872172395271</c:v>
                </c:pt>
                <c:pt idx="263">
                  <c:v>0.51856311388382581</c:v>
                </c:pt>
                <c:pt idx="264">
                  <c:v>0.51867227266246541</c:v>
                </c:pt>
                <c:pt idx="265">
                  <c:v>0.51902809633027569</c:v>
                </c:pt>
                <c:pt idx="266">
                  <c:v>0.51924966353772029</c:v>
                </c:pt>
                <c:pt idx="267">
                  <c:v>0.51947128600975701</c:v>
                </c:pt>
                <c:pt idx="268">
                  <c:v>0.51948432940900069</c:v>
                </c:pt>
                <c:pt idx="269">
                  <c:v>0.51949030688846753</c:v>
                </c:pt>
                <c:pt idx="270">
                  <c:v>0.52043027935460684</c:v>
                </c:pt>
                <c:pt idx="271">
                  <c:v>0.52077604694381885</c:v>
                </c:pt>
                <c:pt idx="272">
                  <c:v>0.52112985349419394</c:v>
                </c:pt>
                <c:pt idx="273">
                  <c:v>0.5215845606907078</c:v>
                </c:pt>
                <c:pt idx="274">
                  <c:v>0.52195933942206674</c:v>
                </c:pt>
                <c:pt idx="275">
                  <c:v>0.52199035878358802</c:v>
                </c:pt>
                <c:pt idx="276">
                  <c:v>0.52222844129448387</c:v>
                </c:pt>
                <c:pt idx="277">
                  <c:v>0.52306983280080299</c:v>
                </c:pt>
                <c:pt idx="278">
                  <c:v>0.52325443522443893</c:v>
                </c:pt>
                <c:pt idx="279">
                  <c:v>0.52357087488681253</c:v>
                </c:pt>
                <c:pt idx="280">
                  <c:v>0.52386508180661828</c:v>
                </c:pt>
                <c:pt idx="281">
                  <c:v>0.52398640101201743</c:v>
                </c:pt>
                <c:pt idx="282">
                  <c:v>0.52435257004471081</c:v>
                </c:pt>
                <c:pt idx="283">
                  <c:v>0.52487680069817155</c:v>
                </c:pt>
                <c:pt idx="284">
                  <c:v>0.52534419256473608</c:v>
                </c:pt>
                <c:pt idx="285">
                  <c:v>0.52543314646761907</c:v>
                </c:pt>
                <c:pt idx="286">
                  <c:v>0.52617805007185503</c:v>
                </c:pt>
                <c:pt idx="287">
                  <c:v>0.5264795491761759</c:v>
                </c:pt>
                <c:pt idx="288">
                  <c:v>0.52649791471867191</c:v>
                </c:pt>
                <c:pt idx="289">
                  <c:v>0.5271751615931568</c:v>
                </c:pt>
                <c:pt idx="290">
                  <c:v>0.5276350302211531</c:v>
                </c:pt>
                <c:pt idx="291">
                  <c:v>0.52784543587707311</c:v>
                </c:pt>
                <c:pt idx="292">
                  <c:v>0.5279046723573606</c:v>
                </c:pt>
                <c:pt idx="293">
                  <c:v>0.52824680038314242</c:v>
                </c:pt>
                <c:pt idx="294">
                  <c:v>0.52871996390027387</c:v>
                </c:pt>
                <c:pt idx="295">
                  <c:v>0.53083565490526896</c:v>
                </c:pt>
                <c:pt idx="296">
                  <c:v>0.53087302301273176</c:v>
                </c:pt>
                <c:pt idx="297">
                  <c:v>0.53106607734221811</c:v>
                </c:pt>
                <c:pt idx="298">
                  <c:v>0.53128319765424792</c:v>
                </c:pt>
                <c:pt idx="299">
                  <c:v>0.53133997129039068</c:v>
                </c:pt>
                <c:pt idx="300">
                  <c:v>0.53136661480063774</c:v>
                </c:pt>
                <c:pt idx="301">
                  <c:v>0.53147718634821928</c:v>
                </c:pt>
                <c:pt idx="302">
                  <c:v>0.53150913358367113</c:v>
                </c:pt>
                <c:pt idx="303">
                  <c:v>0.53164694281665303</c:v>
                </c:pt>
                <c:pt idx="304">
                  <c:v>0.53176234293988511</c:v>
                </c:pt>
                <c:pt idx="305">
                  <c:v>0.53236657788300368</c:v>
                </c:pt>
                <c:pt idx="306">
                  <c:v>0.53276167290174026</c:v>
                </c:pt>
                <c:pt idx="307">
                  <c:v>0.5330082870382622</c:v>
                </c:pt>
                <c:pt idx="308">
                  <c:v>0.53323958281738382</c:v>
                </c:pt>
                <c:pt idx="309">
                  <c:v>0.53326783540681921</c:v>
                </c:pt>
                <c:pt idx="310">
                  <c:v>0.53333471010986688</c:v>
                </c:pt>
                <c:pt idx="311">
                  <c:v>0.5334996979413541</c:v>
                </c:pt>
                <c:pt idx="312">
                  <c:v>0.53373217373067361</c:v>
                </c:pt>
                <c:pt idx="313">
                  <c:v>0.53379962739417541</c:v>
                </c:pt>
                <c:pt idx="314">
                  <c:v>0.53393984771215031</c:v>
                </c:pt>
                <c:pt idx="315">
                  <c:v>0.5340853658536584</c:v>
                </c:pt>
                <c:pt idx="316">
                  <c:v>0.53420987996367764</c:v>
                </c:pt>
                <c:pt idx="317">
                  <c:v>0.53502552112434643</c:v>
                </c:pt>
                <c:pt idx="318">
                  <c:v>0.53532136259513863</c:v>
                </c:pt>
                <c:pt idx="319">
                  <c:v>0.53543688443119153</c:v>
                </c:pt>
                <c:pt idx="320">
                  <c:v>0.53588593262471595</c:v>
                </c:pt>
                <c:pt idx="321">
                  <c:v>0.5358969886804692</c:v>
                </c:pt>
                <c:pt idx="322">
                  <c:v>0.53594081795868775</c:v>
                </c:pt>
                <c:pt idx="323">
                  <c:v>0.53603935392951541</c:v>
                </c:pt>
                <c:pt idx="324">
                  <c:v>0.5363678224660462</c:v>
                </c:pt>
                <c:pt idx="325">
                  <c:v>0.53658953650032126</c:v>
                </c:pt>
                <c:pt idx="326">
                  <c:v>0.53677252712999435</c:v>
                </c:pt>
                <c:pt idx="327">
                  <c:v>0.53711181187777934</c:v>
                </c:pt>
                <c:pt idx="328">
                  <c:v>0.53732240050894253</c:v>
                </c:pt>
                <c:pt idx="329">
                  <c:v>0.53738418889120698</c:v>
                </c:pt>
                <c:pt idx="330">
                  <c:v>0.53740706319702558</c:v>
                </c:pt>
                <c:pt idx="331">
                  <c:v>0.53743502570223267</c:v>
                </c:pt>
                <c:pt idx="332">
                  <c:v>0.53754506534474944</c:v>
                </c:pt>
                <c:pt idx="333">
                  <c:v>0.53778533444271615</c:v>
                </c:pt>
                <c:pt idx="334">
                  <c:v>0.53785445183686964</c:v>
                </c:pt>
                <c:pt idx="335">
                  <c:v>0.53832403612044233</c:v>
                </c:pt>
                <c:pt idx="336">
                  <c:v>0.53913721936977721</c:v>
                </c:pt>
                <c:pt idx="337">
                  <c:v>0.5391457724841634</c:v>
                </c:pt>
                <c:pt idx="338">
                  <c:v>0.53962019102531922</c:v>
                </c:pt>
                <c:pt idx="339">
                  <c:v>0.54045597940136092</c:v>
                </c:pt>
                <c:pt idx="340">
                  <c:v>0.54055851039297298</c:v>
                </c:pt>
                <c:pt idx="341">
                  <c:v>0.54090218740517393</c:v>
                </c:pt>
                <c:pt idx="342">
                  <c:v>0.54097412656757604</c:v>
                </c:pt>
                <c:pt idx="343">
                  <c:v>0.54100053151574723</c:v>
                </c:pt>
                <c:pt idx="344">
                  <c:v>0.54109353414705896</c:v>
                </c:pt>
                <c:pt idx="345">
                  <c:v>0.54137881645297292</c:v>
                </c:pt>
                <c:pt idx="346">
                  <c:v>0.54207870715659667</c:v>
                </c:pt>
                <c:pt idx="347">
                  <c:v>0.54233432380876023</c:v>
                </c:pt>
                <c:pt idx="348">
                  <c:v>0.54234205429050653</c:v>
                </c:pt>
                <c:pt idx="349">
                  <c:v>0.54250723742211171</c:v>
                </c:pt>
                <c:pt idx="350">
                  <c:v>0.54283143021660196</c:v>
                </c:pt>
                <c:pt idx="351">
                  <c:v>0.5428699391104127</c:v>
                </c:pt>
                <c:pt idx="352">
                  <c:v>0.54333420411006683</c:v>
                </c:pt>
                <c:pt idx="353">
                  <c:v>0.54359521790798826</c:v>
                </c:pt>
                <c:pt idx="354">
                  <c:v>0.54362446032212053</c:v>
                </c:pt>
                <c:pt idx="355">
                  <c:v>0.5437342951777675</c:v>
                </c:pt>
                <c:pt idx="356">
                  <c:v>0.54374440476623087</c:v>
                </c:pt>
                <c:pt idx="357">
                  <c:v>0.5439012256467729</c:v>
                </c:pt>
                <c:pt idx="358">
                  <c:v>0.54421616011248253</c:v>
                </c:pt>
                <c:pt idx="359">
                  <c:v>0.54430967996408164</c:v>
                </c:pt>
                <c:pt idx="360">
                  <c:v>0.54475993862256555</c:v>
                </c:pt>
                <c:pt idx="361">
                  <c:v>0.54477706508814083</c:v>
                </c:pt>
                <c:pt idx="362">
                  <c:v>0.54523566760943443</c:v>
                </c:pt>
                <c:pt idx="363">
                  <c:v>0.54546687935797911</c:v>
                </c:pt>
                <c:pt idx="364">
                  <c:v>0.54580548344646307</c:v>
                </c:pt>
                <c:pt idx="365">
                  <c:v>0.54591661393517532</c:v>
                </c:pt>
                <c:pt idx="366">
                  <c:v>0.54592034849257587</c:v>
                </c:pt>
                <c:pt idx="367">
                  <c:v>0.54647773137945399</c:v>
                </c:pt>
                <c:pt idx="368">
                  <c:v>0.54691043083900148</c:v>
                </c:pt>
                <c:pt idx="369">
                  <c:v>0.5469770010746039</c:v>
                </c:pt>
                <c:pt idx="370">
                  <c:v>0.54697896715613259</c:v>
                </c:pt>
                <c:pt idx="371">
                  <c:v>0.5472763464209548</c:v>
                </c:pt>
                <c:pt idx="372">
                  <c:v>0.5473388733404444</c:v>
                </c:pt>
                <c:pt idx="373">
                  <c:v>0.54743282931965254</c:v>
                </c:pt>
                <c:pt idx="374">
                  <c:v>0.54801242468876232</c:v>
                </c:pt>
                <c:pt idx="375">
                  <c:v>0.54811088383700446</c:v>
                </c:pt>
                <c:pt idx="376">
                  <c:v>0.54813561835541502</c:v>
                </c:pt>
                <c:pt idx="377">
                  <c:v>0.54826621748362547</c:v>
                </c:pt>
                <c:pt idx="378">
                  <c:v>0.54843803277243863</c:v>
                </c:pt>
                <c:pt idx="379">
                  <c:v>0.54853745750054816</c:v>
                </c:pt>
                <c:pt idx="380">
                  <c:v>0.54887444244586203</c:v>
                </c:pt>
                <c:pt idx="381">
                  <c:v>0.54913974841601909</c:v>
                </c:pt>
                <c:pt idx="382">
                  <c:v>0.54918010524155725</c:v>
                </c:pt>
                <c:pt idx="383">
                  <c:v>0.54923657380369972</c:v>
                </c:pt>
                <c:pt idx="384">
                  <c:v>0.54951685783802651</c:v>
                </c:pt>
                <c:pt idx="385">
                  <c:v>0.54961017797105927</c:v>
                </c:pt>
                <c:pt idx="386">
                  <c:v>0.55012305960592667</c:v>
                </c:pt>
                <c:pt idx="387">
                  <c:v>0.55025451696960226</c:v>
                </c:pt>
                <c:pt idx="388">
                  <c:v>0.55070543679739636</c:v>
                </c:pt>
                <c:pt idx="389">
                  <c:v>0.5510860139571373</c:v>
                </c:pt>
                <c:pt idx="390">
                  <c:v>0.55128196333361246</c:v>
                </c:pt>
                <c:pt idx="391">
                  <c:v>0.55218649269330122</c:v>
                </c:pt>
                <c:pt idx="392">
                  <c:v>0.55237401647141537</c:v>
                </c:pt>
                <c:pt idx="393">
                  <c:v>0.55248748008426796</c:v>
                </c:pt>
                <c:pt idx="394">
                  <c:v>0.55252400897630205</c:v>
                </c:pt>
                <c:pt idx="395">
                  <c:v>0.55259720739937268</c:v>
                </c:pt>
                <c:pt idx="396">
                  <c:v>0.55370940434046512</c:v>
                </c:pt>
                <c:pt idx="397">
                  <c:v>0.55374410721392731</c:v>
                </c:pt>
                <c:pt idx="398">
                  <c:v>0.55442960022951548</c:v>
                </c:pt>
                <c:pt idx="399">
                  <c:v>0.55499781430780182</c:v>
                </c:pt>
                <c:pt idx="400">
                  <c:v>0.55516812047818531</c:v>
                </c:pt>
                <c:pt idx="401">
                  <c:v>0.55521695016804518</c:v>
                </c:pt>
                <c:pt idx="402">
                  <c:v>0.55566967781114651</c:v>
                </c:pt>
                <c:pt idx="403">
                  <c:v>0.55582410874443389</c:v>
                </c:pt>
                <c:pt idx="404">
                  <c:v>0.55587361212782194</c:v>
                </c:pt>
                <c:pt idx="405">
                  <c:v>0.55600649666186985</c:v>
                </c:pt>
                <c:pt idx="406">
                  <c:v>0.55601692407414738</c:v>
                </c:pt>
                <c:pt idx="407">
                  <c:v>0.55602288267868594</c:v>
                </c:pt>
                <c:pt idx="408">
                  <c:v>0.55609370836980943</c:v>
                </c:pt>
                <c:pt idx="409">
                  <c:v>0.55617622220395613</c:v>
                </c:pt>
                <c:pt idx="410">
                  <c:v>0.55643440024542434</c:v>
                </c:pt>
                <c:pt idx="411">
                  <c:v>0.55647132725601156</c:v>
                </c:pt>
                <c:pt idx="412">
                  <c:v>0.55726458193696427</c:v>
                </c:pt>
                <c:pt idx="413">
                  <c:v>0.55729717217416808</c:v>
                </c:pt>
                <c:pt idx="414">
                  <c:v>0.5572998773865836</c:v>
                </c:pt>
                <c:pt idx="415">
                  <c:v>0.5574457588036057</c:v>
                </c:pt>
                <c:pt idx="416">
                  <c:v>0.55789905621666136</c:v>
                </c:pt>
                <c:pt idx="417">
                  <c:v>0.5582011074301001</c:v>
                </c:pt>
                <c:pt idx="418">
                  <c:v>0.55821542578502104</c:v>
                </c:pt>
                <c:pt idx="419">
                  <c:v>0.55851885099607779</c:v>
                </c:pt>
                <c:pt idx="420">
                  <c:v>0.55865539652221341</c:v>
                </c:pt>
                <c:pt idx="421">
                  <c:v>0.5589150661241703</c:v>
                </c:pt>
                <c:pt idx="422">
                  <c:v>0.55893199260756465</c:v>
                </c:pt>
                <c:pt idx="423">
                  <c:v>0.55952694066455377</c:v>
                </c:pt>
                <c:pt idx="424">
                  <c:v>0.55953822081229865</c:v>
                </c:pt>
                <c:pt idx="425">
                  <c:v>0.55966310924205376</c:v>
                </c:pt>
                <c:pt idx="426">
                  <c:v>0.55987546176246838</c:v>
                </c:pt>
                <c:pt idx="427">
                  <c:v>0.55989103044167843</c:v>
                </c:pt>
                <c:pt idx="428">
                  <c:v>0.55993963352598752</c:v>
                </c:pt>
                <c:pt idx="429">
                  <c:v>0.56045783813405481</c:v>
                </c:pt>
                <c:pt idx="430">
                  <c:v>0.56081200440413315</c:v>
                </c:pt>
                <c:pt idx="431">
                  <c:v>0.56106667712172342</c:v>
                </c:pt>
                <c:pt idx="432">
                  <c:v>0.56126757977453756</c:v>
                </c:pt>
                <c:pt idx="433">
                  <c:v>0.5614930465218293</c:v>
                </c:pt>
                <c:pt idx="434">
                  <c:v>0.56156173473532722</c:v>
                </c:pt>
                <c:pt idx="435">
                  <c:v>0.56156770075293871</c:v>
                </c:pt>
                <c:pt idx="436">
                  <c:v>0.56184502867348796</c:v>
                </c:pt>
                <c:pt idx="437">
                  <c:v>0.56351439145424875</c:v>
                </c:pt>
                <c:pt idx="438">
                  <c:v>0.56354197243736004</c:v>
                </c:pt>
                <c:pt idx="439">
                  <c:v>0.56369724894612094</c:v>
                </c:pt>
                <c:pt idx="440">
                  <c:v>0.56380749286262877</c:v>
                </c:pt>
                <c:pt idx="441">
                  <c:v>0.56398359633035322</c:v>
                </c:pt>
                <c:pt idx="442">
                  <c:v>0.56417294449585353</c:v>
                </c:pt>
                <c:pt idx="443">
                  <c:v>0.56424376249369479</c:v>
                </c:pt>
                <c:pt idx="444">
                  <c:v>0.56438804033143608</c:v>
                </c:pt>
                <c:pt idx="445">
                  <c:v>0.56450647682417576</c:v>
                </c:pt>
                <c:pt idx="446">
                  <c:v>0.56481571734680547</c:v>
                </c:pt>
                <c:pt idx="447">
                  <c:v>0.56501628976619378</c:v>
                </c:pt>
                <c:pt idx="448">
                  <c:v>0.56507202367397635</c:v>
                </c:pt>
                <c:pt idx="449">
                  <c:v>0.56532393043181384</c:v>
                </c:pt>
                <c:pt idx="450">
                  <c:v>0.56536655024688942</c:v>
                </c:pt>
                <c:pt idx="451">
                  <c:v>0.56537301417385644</c:v>
                </c:pt>
                <c:pt idx="452">
                  <c:v>0.56601275287666675</c:v>
                </c:pt>
                <c:pt idx="453">
                  <c:v>0.56616363853693463</c:v>
                </c:pt>
                <c:pt idx="454">
                  <c:v>0.56619183796549255</c:v>
                </c:pt>
                <c:pt idx="455">
                  <c:v>0.56636415306373689</c:v>
                </c:pt>
                <c:pt idx="456">
                  <c:v>0.56650650803335301</c:v>
                </c:pt>
                <c:pt idx="457">
                  <c:v>0.56653115762537776</c:v>
                </c:pt>
                <c:pt idx="458">
                  <c:v>0.56659459459459394</c:v>
                </c:pt>
                <c:pt idx="459">
                  <c:v>0.56670435807398944</c:v>
                </c:pt>
                <c:pt idx="460">
                  <c:v>0.56698096773462292</c:v>
                </c:pt>
                <c:pt idx="461">
                  <c:v>0.56699524055090034</c:v>
                </c:pt>
                <c:pt idx="462">
                  <c:v>0.56714163261896011</c:v>
                </c:pt>
                <c:pt idx="463">
                  <c:v>0.56717617801680364</c:v>
                </c:pt>
                <c:pt idx="464">
                  <c:v>0.56724467859868755</c:v>
                </c:pt>
                <c:pt idx="465">
                  <c:v>0.5677169584417634</c:v>
                </c:pt>
                <c:pt idx="466">
                  <c:v>0.56821174322287871</c:v>
                </c:pt>
                <c:pt idx="467">
                  <c:v>0.5684328495102019</c:v>
                </c:pt>
                <c:pt idx="468">
                  <c:v>0.56854205037924777</c:v>
                </c:pt>
                <c:pt idx="469">
                  <c:v>0.5685718022131514</c:v>
                </c:pt>
                <c:pt idx="470">
                  <c:v>0.5686048565830466</c:v>
                </c:pt>
                <c:pt idx="471">
                  <c:v>0.56913560825544141</c:v>
                </c:pt>
                <c:pt idx="472">
                  <c:v>0.56914962598033048</c:v>
                </c:pt>
                <c:pt idx="473">
                  <c:v>0.56927565000245506</c:v>
                </c:pt>
                <c:pt idx="474">
                  <c:v>0.56940241500670852</c:v>
                </c:pt>
                <c:pt idx="475">
                  <c:v>0.56952025163945708</c:v>
                </c:pt>
                <c:pt idx="476">
                  <c:v>0.56959931959931831</c:v>
                </c:pt>
                <c:pt idx="477">
                  <c:v>0.56974999629855605</c:v>
                </c:pt>
                <c:pt idx="478">
                  <c:v>0.5700204120228759</c:v>
                </c:pt>
                <c:pt idx="479">
                  <c:v>0.57016156021002851</c:v>
                </c:pt>
                <c:pt idx="480">
                  <c:v>0.57031858190298379</c:v>
                </c:pt>
                <c:pt idx="481">
                  <c:v>0.57044056339332405</c:v>
                </c:pt>
                <c:pt idx="482">
                  <c:v>0.57051416056940885</c:v>
                </c:pt>
                <c:pt idx="483">
                  <c:v>0.57075610251768749</c:v>
                </c:pt>
                <c:pt idx="484">
                  <c:v>0.57078246769064289</c:v>
                </c:pt>
                <c:pt idx="485">
                  <c:v>0.57090087140024415</c:v>
                </c:pt>
                <c:pt idx="486">
                  <c:v>0.57090528519099948</c:v>
                </c:pt>
                <c:pt idx="487">
                  <c:v>0.57090651790169866</c:v>
                </c:pt>
                <c:pt idx="488">
                  <c:v>0.57129864049323831</c:v>
                </c:pt>
                <c:pt idx="489">
                  <c:v>0.57145064990237315</c:v>
                </c:pt>
                <c:pt idx="490">
                  <c:v>0.5715851160131491</c:v>
                </c:pt>
                <c:pt idx="491">
                  <c:v>0.57174016737620581</c:v>
                </c:pt>
                <c:pt idx="492">
                  <c:v>0.57175266224621479</c:v>
                </c:pt>
                <c:pt idx="493">
                  <c:v>0.57183238592240515</c:v>
                </c:pt>
                <c:pt idx="494">
                  <c:v>0.57188050719965711</c:v>
                </c:pt>
                <c:pt idx="495">
                  <c:v>0.57189616057856218</c:v>
                </c:pt>
                <c:pt idx="496">
                  <c:v>0.57200153867259906</c:v>
                </c:pt>
                <c:pt idx="497">
                  <c:v>0.57223035662129673</c:v>
                </c:pt>
                <c:pt idx="498">
                  <c:v>0.57224285657401741</c:v>
                </c:pt>
                <c:pt idx="499">
                  <c:v>0.57240088633369268</c:v>
                </c:pt>
                <c:pt idx="500">
                  <c:v>0.57268758277457443</c:v>
                </c:pt>
                <c:pt idx="501">
                  <c:v>0.57312696263400886</c:v>
                </c:pt>
                <c:pt idx="502">
                  <c:v>0.57347242921013519</c:v>
                </c:pt>
                <c:pt idx="503">
                  <c:v>0.57357865208179615</c:v>
                </c:pt>
                <c:pt idx="504">
                  <c:v>0.57363864646074403</c:v>
                </c:pt>
                <c:pt idx="505">
                  <c:v>0.57364133502648418</c:v>
                </c:pt>
                <c:pt idx="506">
                  <c:v>0.57378587428828021</c:v>
                </c:pt>
                <c:pt idx="507">
                  <c:v>0.57380952380952388</c:v>
                </c:pt>
                <c:pt idx="508">
                  <c:v>0.57406037740135207</c:v>
                </c:pt>
                <c:pt idx="509">
                  <c:v>0.57425689146385739</c:v>
                </c:pt>
                <c:pt idx="510">
                  <c:v>0.57440538413491216</c:v>
                </c:pt>
                <c:pt idx="511">
                  <c:v>0.57462647911966425</c:v>
                </c:pt>
                <c:pt idx="512">
                  <c:v>0.57471387367805038</c:v>
                </c:pt>
                <c:pt idx="513">
                  <c:v>0.5747753113795051</c:v>
                </c:pt>
                <c:pt idx="514">
                  <c:v>0.57526087898616163</c:v>
                </c:pt>
                <c:pt idx="515">
                  <c:v>0.57531578366808345</c:v>
                </c:pt>
                <c:pt idx="516">
                  <c:v>0.57571463902227737</c:v>
                </c:pt>
                <c:pt idx="517">
                  <c:v>0.57590256981041532</c:v>
                </c:pt>
                <c:pt idx="518">
                  <c:v>0.57599715980094635</c:v>
                </c:pt>
                <c:pt idx="519">
                  <c:v>0.57620363338665459</c:v>
                </c:pt>
                <c:pt idx="520">
                  <c:v>0.57624656066398461</c:v>
                </c:pt>
                <c:pt idx="521">
                  <c:v>0.57639528053479672</c:v>
                </c:pt>
                <c:pt idx="522">
                  <c:v>0.57645546953991511</c:v>
                </c:pt>
                <c:pt idx="523">
                  <c:v>0.57649457530297088</c:v>
                </c:pt>
                <c:pt idx="524">
                  <c:v>0.57679894710900248</c:v>
                </c:pt>
                <c:pt idx="525">
                  <c:v>0.57707366431111984</c:v>
                </c:pt>
                <c:pt idx="526">
                  <c:v>0.57736192066900649</c:v>
                </c:pt>
                <c:pt idx="527">
                  <c:v>0.57744361387684429</c:v>
                </c:pt>
                <c:pt idx="528">
                  <c:v>0.57746770393053892</c:v>
                </c:pt>
                <c:pt idx="529">
                  <c:v>0.57762636485707997</c:v>
                </c:pt>
                <c:pt idx="530">
                  <c:v>0.57782511394136715</c:v>
                </c:pt>
                <c:pt idx="531">
                  <c:v>0.57788067664741727</c:v>
                </c:pt>
                <c:pt idx="532">
                  <c:v>0.57792090113681216</c:v>
                </c:pt>
                <c:pt idx="533">
                  <c:v>0.57798961603291843</c:v>
                </c:pt>
                <c:pt idx="534">
                  <c:v>0.57806084851036943</c:v>
                </c:pt>
                <c:pt idx="535">
                  <c:v>0.5782911103574282</c:v>
                </c:pt>
                <c:pt idx="536">
                  <c:v>0.578365171801839</c:v>
                </c:pt>
                <c:pt idx="537">
                  <c:v>0.57858364508893267</c:v>
                </c:pt>
                <c:pt idx="538">
                  <c:v>0.57876740694840767</c:v>
                </c:pt>
                <c:pt idx="539">
                  <c:v>0.57878077169911801</c:v>
                </c:pt>
                <c:pt idx="540">
                  <c:v>0.5788687269289956</c:v>
                </c:pt>
                <c:pt idx="541">
                  <c:v>0.57895014330814976</c:v>
                </c:pt>
                <c:pt idx="542">
                  <c:v>0.57903598243377208</c:v>
                </c:pt>
                <c:pt idx="543">
                  <c:v>0.5803021514052763</c:v>
                </c:pt>
                <c:pt idx="544">
                  <c:v>0.58033670167260121</c:v>
                </c:pt>
                <c:pt idx="545">
                  <c:v>0.58038985031859047</c:v>
                </c:pt>
                <c:pt idx="546">
                  <c:v>0.58044419198713804</c:v>
                </c:pt>
                <c:pt idx="547">
                  <c:v>0.58059232473112565</c:v>
                </c:pt>
                <c:pt idx="548">
                  <c:v>0.58060710609904742</c:v>
                </c:pt>
                <c:pt idx="549">
                  <c:v>0.58079765934281169</c:v>
                </c:pt>
                <c:pt idx="550">
                  <c:v>0.58131907077779676</c:v>
                </c:pt>
                <c:pt idx="551">
                  <c:v>0.58166567763184507</c:v>
                </c:pt>
                <c:pt idx="552">
                  <c:v>0.58177627011291333</c:v>
                </c:pt>
                <c:pt idx="553">
                  <c:v>0.58184506695144989</c:v>
                </c:pt>
                <c:pt idx="554">
                  <c:v>0.58197753496750027</c:v>
                </c:pt>
                <c:pt idx="555">
                  <c:v>0.58207179502134565</c:v>
                </c:pt>
                <c:pt idx="556">
                  <c:v>0.58207436685697589</c:v>
                </c:pt>
                <c:pt idx="557">
                  <c:v>0.58210076642794317</c:v>
                </c:pt>
                <c:pt idx="558">
                  <c:v>0.58214416093127552</c:v>
                </c:pt>
                <c:pt idx="559">
                  <c:v>0.5823931495418011</c:v>
                </c:pt>
                <c:pt idx="560">
                  <c:v>0.58267320502219344</c:v>
                </c:pt>
                <c:pt idx="561">
                  <c:v>0.58270471967456328</c:v>
                </c:pt>
                <c:pt idx="562">
                  <c:v>0.58281536452206695</c:v>
                </c:pt>
                <c:pt idx="563">
                  <c:v>0.58300249514642855</c:v>
                </c:pt>
                <c:pt idx="564">
                  <c:v>0.58311365633790957</c:v>
                </c:pt>
                <c:pt idx="565">
                  <c:v>0.58343299090338763</c:v>
                </c:pt>
                <c:pt idx="566">
                  <c:v>0.58357059973639314</c:v>
                </c:pt>
                <c:pt idx="567">
                  <c:v>0.58363273145975469</c:v>
                </c:pt>
                <c:pt idx="568">
                  <c:v>0.58380971519817726</c:v>
                </c:pt>
                <c:pt idx="569">
                  <c:v>0.58426157356718411</c:v>
                </c:pt>
                <c:pt idx="570">
                  <c:v>0.58428071231227818</c:v>
                </c:pt>
                <c:pt idx="571">
                  <c:v>0.58429350958994197</c:v>
                </c:pt>
                <c:pt idx="572">
                  <c:v>0.58437284100708076</c:v>
                </c:pt>
                <c:pt idx="573">
                  <c:v>0.5845623133713489</c:v>
                </c:pt>
                <c:pt idx="574">
                  <c:v>0.58460543818889565</c:v>
                </c:pt>
                <c:pt idx="575">
                  <c:v>0.58464725218694558</c:v>
                </c:pt>
                <c:pt idx="576">
                  <c:v>0.58486658300121463</c:v>
                </c:pt>
                <c:pt idx="577">
                  <c:v>0.58527131782945807</c:v>
                </c:pt>
                <c:pt idx="578">
                  <c:v>0.58532340739198641</c:v>
                </c:pt>
                <c:pt idx="579">
                  <c:v>0.58542938542938483</c:v>
                </c:pt>
                <c:pt idx="580">
                  <c:v>0.58543861636645211</c:v>
                </c:pt>
                <c:pt idx="581">
                  <c:v>0.58549537425423892</c:v>
                </c:pt>
                <c:pt idx="582">
                  <c:v>0.58552842098568958</c:v>
                </c:pt>
                <c:pt idx="583">
                  <c:v>0.5856241104289307</c:v>
                </c:pt>
                <c:pt idx="584">
                  <c:v>0.5862004147045714</c:v>
                </c:pt>
                <c:pt idx="585">
                  <c:v>0.5862352689310365</c:v>
                </c:pt>
                <c:pt idx="586">
                  <c:v>0.58660702445524848</c:v>
                </c:pt>
                <c:pt idx="587">
                  <c:v>0.58672085362096704</c:v>
                </c:pt>
                <c:pt idx="588">
                  <c:v>0.58682245925631171</c:v>
                </c:pt>
                <c:pt idx="589">
                  <c:v>0.58696639832959652</c:v>
                </c:pt>
                <c:pt idx="590">
                  <c:v>0.58710515775976535</c:v>
                </c:pt>
                <c:pt idx="591">
                  <c:v>0.58721131074804667</c:v>
                </c:pt>
                <c:pt idx="592">
                  <c:v>0.58723545886042672</c:v>
                </c:pt>
                <c:pt idx="593">
                  <c:v>0.58739091705166468</c:v>
                </c:pt>
                <c:pt idx="594">
                  <c:v>0.58761371639786975</c:v>
                </c:pt>
                <c:pt idx="595">
                  <c:v>0.58794425451555388</c:v>
                </c:pt>
                <c:pt idx="596">
                  <c:v>0.58797498229879597</c:v>
                </c:pt>
                <c:pt idx="597">
                  <c:v>0.58832900348826189</c:v>
                </c:pt>
                <c:pt idx="598">
                  <c:v>0.58842612871137223</c:v>
                </c:pt>
                <c:pt idx="599">
                  <c:v>0.58914774443315709</c:v>
                </c:pt>
                <c:pt idx="600">
                  <c:v>0.58958394892712662</c:v>
                </c:pt>
                <c:pt idx="601">
                  <c:v>0.5896889430411506</c:v>
                </c:pt>
                <c:pt idx="602">
                  <c:v>0.58969597896195758</c:v>
                </c:pt>
                <c:pt idx="603">
                  <c:v>0.58985849787734157</c:v>
                </c:pt>
                <c:pt idx="604">
                  <c:v>0.59002274889192974</c:v>
                </c:pt>
                <c:pt idx="605">
                  <c:v>0.59014943389943353</c:v>
                </c:pt>
                <c:pt idx="606">
                  <c:v>0.59021299067065658</c:v>
                </c:pt>
                <c:pt idx="607">
                  <c:v>0.59029130937249985</c:v>
                </c:pt>
                <c:pt idx="608">
                  <c:v>0.59036563207636794</c:v>
                </c:pt>
                <c:pt idx="609">
                  <c:v>0.59048492474769232</c:v>
                </c:pt>
                <c:pt idx="610">
                  <c:v>0.59060418559375938</c:v>
                </c:pt>
                <c:pt idx="611">
                  <c:v>0.5909072548032247</c:v>
                </c:pt>
                <c:pt idx="612">
                  <c:v>0.59117027893982477</c:v>
                </c:pt>
                <c:pt idx="613">
                  <c:v>0.59143721628114532</c:v>
                </c:pt>
                <c:pt idx="614">
                  <c:v>0.59148301775807988</c:v>
                </c:pt>
                <c:pt idx="615">
                  <c:v>0.59163878230629929</c:v>
                </c:pt>
                <c:pt idx="616">
                  <c:v>0.59164472046434258</c:v>
                </c:pt>
                <c:pt idx="617">
                  <c:v>0.59184692134254535</c:v>
                </c:pt>
                <c:pt idx="618">
                  <c:v>0.59192411698158154</c:v>
                </c:pt>
                <c:pt idx="619">
                  <c:v>0.59199498504497738</c:v>
                </c:pt>
                <c:pt idx="620">
                  <c:v>0.59201086424586458</c:v>
                </c:pt>
                <c:pt idx="621">
                  <c:v>0.59205592564228104</c:v>
                </c:pt>
                <c:pt idx="622">
                  <c:v>0.59214064329933336</c:v>
                </c:pt>
                <c:pt idx="623">
                  <c:v>0.59234854551433802</c:v>
                </c:pt>
                <c:pt idx="624">
                  <c:v>0.59248838409912297</c:v>
                </c:pt>
                <c:pt idx="625">
                  <c:v>0.59250438903416724</c:v>
                </c:pt>
                <c:pt idx="626">
                  <c:v>0.59262234810316261</c:v>
                </c:pt>
                <c:pt idx="627">
                  <c:v>0.59268133524090538</c:v>
                </c:pt>
                <c:pt idx="628">
                  <c:v>0.59288410032391148</c:v>
                </c:pt>
                <c:pt idx="629">
                  <c:v>0.59332258149281891</c:v>
                </c:pt>
                <c:pt idx="630">
                  <c:v>0.59332545901991529</c:v>
                </c:pt>
                <c:pt idx="631">
                  <c:v>0.59350402819336523</c:v>
                </c:pt>
                <c:pt idx="632">
                  <c:v>0.59350418970878827</c:v>
                </c:pt>
                <c:pt idx="633">
                  <c:v>0.59362843643450069</c:v>
                </c:pt>
                <c:pt idx="634">
                  <c:v>0.59372416663575889</c:v>
                </c:pt>
                <c:pt idx="635">
                  <c:v>0.59385243324313775</c:v>
                </c:pt>
                <c:pt idx="636">
                  <c:v>0.59401042681626726</c:v>
                </c:pt>
                <c:pt idx="637">
                  <c:v>0.59414369103398679</c:v>
                </c:pt>
                <c:pt idx="638">
                  <c:v>0.5942787474534803</c:v>
                </c:pt>
                <c:pt idx="639">
                  <c:v>0.59446937967366675</c:v>
                </c:pt>
                <c:pt idx="640">
                  <c:v>0.59457361263907627</c:v>
                </c:pt>
                <c:pt idx="641">
                  <c:v>0.59459618181400375</c:v>
                </c:pt>
                <c:pt idx="642">
                  <c:v>0.59513620051983163</c:v>
                </c:pt>
                <c:pt idx="643">
                  <c:v>0.59543467302439756</c:v>
                </c:pt>
                <c:pt idx="644">
                  <c:v>0.59565442494957832</c:v>
                </c:pt>
                <c:pt idx="645">
                  <c:v>0.59576315177117101</c:v>
                </c:pt>
                <c:pt idx="646">
                  <c:v>0.59600767376232766</c:v>
                </c:pt>
                <c:pt idx="647">
                  <c:v>0.59608203550708649</c:v>
                </c:pt>
                <c:pt idx="648">
                  <c:v>0.59643440979611984</c:v>
                </c:pt>
                <c:pt idx="649">
                  <c:v>0.59644357376306778</c:v>
                </c:pt>
                <c:pt idx="650">
                  <c:v>0.59655693144065203</c:v>
                </c:pt>
                <c:pt idx="651">
                  <c:v>0.59676630438628686</c:v>
                </c:pt>
                <c:pt idx="652">
                  <c:v>0.59713712567166966</c:v>
                </c:pt>
                <c:pt idx="653">
                  <c:v>0.59717487860214369</c:v>
                </c:pt>
                <c:pt idx="654">
                  <c:v>0.59755739054868717</c:v>
                </c:pt>
                <c:pt idx="655">
                  <c:v>0.59771033013844466</c:v>
                </c:pt>
                <c:pt idx="656">
                  <c:v>0.59779354665217821</c:v>
                </c:pt>
                <c:pt idx="657">
                  <c:v>0.59786101891365107</c:v>
                </c:pt>
                <c:pt idx="658">
                  <c:v>0.59802415808739673</c:v>
                </c:pt>
                <c:pt idx="659">
                  <c:v>0.59814529818463791</c:v>
                </c:pt>
                <c:pt idx="660">
                  <c:v>0.59820641765801619</c:v>
                </c:pt>
                <c:pt idx="661">
                  <c:v>0.59824059739550106</c:v>
                </c:pt>
                <c:pt idx="662">
                  <c:v>0.59830096670569355</c:v>
                </c:pt>
                <c:pt idx="663">
                  <c:v>0.59840425531914865</c:v>
                </c:pt>
                <c:pt idx="664">
                  <c:v>0.59872598602713811</c:v>
                </c:pt>
                <c:pt idx="665">
                  <c:v>0.59874745513624272</c:v>
                </c:pt>
                <c:pt idx="666">
                  <c:v>0.59878168763897199</c:v>
                </c:pt>
                <c:pt idx="667">
                  <c:v>0.59917604089254972</c:v>
                </c:pt>
                <c:pt idx="668">
                  <c:v>0.5991956520680296</c:v>
                </c:pt>
                <c:pt idx="669">
                  <c:v>0.59926738798419621</c:v>
                </c:pt>
                <c:pt idx="670">
                  <c:v>0.59943112354055794</c:v>
                </c:pt>
                <c:pt idx="671">
                  <c:v>0.59953078623729772</c:v>
                </c:pt>
                <c:pt idx="672">
                  <c:v>0.59966581764559423</c:v>
                </c:pt>
                <c:pt idx="673">
                  <c:v>0.59970496566192855</c:v>
                </c:pt>
                <c:pt idx="674">
                  <c:v>0.600429082268783</c:v>
                </c:pt>
                <c:pt idx="675">
                  <c:v>0.60114228420146554</c:v>
                </c:pt>
                <c:pt idx="676">
                  <c:v>0.60144765984729354</c:v>
                </c:pt>
                <c:pt idx="677">
                  <c:v>0.60147950256217875</c:v>
                </c:pt>
                <c:pt idx="678">
                  <c:v>0.60156224237759548</c:v>
                </c:pt>
                <c:pt idx="679">
                  <c:v>0.60179153600846214</c:v>
                </c:pt>
                <c:pt idx="680">
                  <c:v>0.60192713038241397</c:v>
                </c:pt>
                <c:pt idx="681">
                  <c:v>0.60196158008658018</c:v>
                </c:pt>
                <c:pt idx="682">
                  <c:v>0.60206289462657714</c:v>
                </c:pt>
                <c:pt idx="683">
                  <c:v>0.60209265608505202</c:v>
                </c:pt>
                <c:pt idx="684">
                  <c:v>0.60249686340049569</c:v>
                </c:pt>
                <c:pt idx="685">
                  <c:v>0.60254391652002126</c:v>
                </c:pt>
                <c:pt idx="686">
                  <c:v>0.60268755619471104</c:v>
                </c:pt>
                <c:pt idx="687">
                  <c:v>0.60304004426416691</c:v>
                </c:pt>
                <c:pt idx="688">
                  <c:v>0.60310023193659434</c:v>
                </c:pt>
                <c:pt idx="689">
                  <c:v>0.60372284698666856</c:v>
                </c:pt>
                <c:pt idx="690">
                  <c:v>0.6040203079508093</c:v>
                </c:pt>
                <c:pt idx="691">
                  <c:v>0.60410962941027258</c:v>
                </c:pt>
                <c:pt idx="692">
                  <c:v>0.60411142676767715</c:v>
                </c:pt>
                <c:pt idx="693">
                  <c:v>0.60420713332214171</c:v>
                </c:pt>
                <c:pt idx="694">
                  <c:v>0.60434784324117774</c:v>
                </c:pt>
                <c:pt idx="695">
                  <c:v>0.60450439306006865</c:v>
                </c:pt>
                <c:pt idx="696">
                  <c:v>0.6046163462054609</c:v>
                </c:pt>
                <c:pt idx="697">
                  <c:v>0.6049107142857143</c:v>
                </c:pt>
                <c:pt idx="698">
                  <c:v>0.60502524970657612</c:v>
                </c:pt>
                <c:pt idx="699">
                  <c:v>0.60507721642932089</c:v>
                </c:pt>
                <c:pt idx="700">
                  <c:v>0.60534313929926864</c:v>
                </c:pt>
                <c:pt idx="701">
                  <c:v>0.60550903307431492</c:v>
                </c:pt>
                <c:pt idx="702">
                  <c:v>0.60560986105891135</c:v>
                </c:pt>
                <c:pt idx="703">
                  <c:v>0.60567646056470748</c:v>
                </c:pt>
                <c:pt idx="704">
                  <c:v>0.60568668916624713</c:v>
                </c:pt>
                <c:pt idx="705">
                  <c:v>0.60593230419946498</c:v>
                </c:pt>
                <c:pt idx="706">
                  <c:v>0.60603898899206665</c:v>
                </c:pt>
                <c:pt idx="707">
                  <c:v>0.60616315111271102</c:v>
                </c:pt>
                <c:pt idx="708">
                  <c:v>0.60617580514860459</c:v>
                </c:pt>
                <c:pt idx="709">
                  <c:v>0.60622799787885251</c:v>
                </c:pt>
                <c:pt idx="710">
                  <c:v>0.60624055669594257</c:v>
                </c:pt>
                <c:pt idx="711">
                  <c:v>0.60679862495191994</c:v>
                </c:pt>
                <c:pt idx="712">
                  <c:v>0.60683126782230024</c:v>
                </c:pt>
                <c:pt idx="713">
                  <c:v>0.60717519719305713</c:v>
                </c:pt>
                <c:pt idx="714">
                  <c:v>0.60726695228587058</c:v>
                </c:pt>
                <c:pt idx="715">
                  <c:v>0.60748059706299196</c:v>
                </c:pt>
                <c:pt idx="716">
                  <c:v>0.60753300802146692</c:v>
                </c:pt>
                <c:pt idx="717">
                  <c:v>0.60755495850999786</c:v>
                </c:pt>
                <c:pt idx="718">
                  <c:v>0.60777127852621693</c:v>
                </c:pt>
                <c:pt idx="719">
                  <c:v>0.60778138321562647</c:v>
                </c:pt>
                <c:pt idx="720">
                  <c:v>0.6077821207218439</c:v>
                </c:pt>
                <c:pt idx="721">
                  <c:v>0.60779177778010296</c:v>
                </c:pt>
                <c:pt idx="722">
                  <c:v>0.60786760617399127</c:v>
                </c:pt>
                <c:pt idx="723">
                  <c:v>0.60794439828476998</c:v>
                </c:pt>
                <c:pt idx="724">
                  <c:v>0.60804459509639497</c:v>
                </c:pt>
                <c:pt idx="725">
                  <c:v>0.60811583158696869</c:v>
                </c:pt>
                <c:pt idx="726">
                  <c:v>0.60825308659535826</c:v>
                </c:pt>
                <c:pt idx="727">
                  <c:v>0.6085062996837578</c:v>
                </c:pt>
                <c:pt idx="728">
                  <c:v>0.60860079411698487</c:v>
                </c:pt>
                <c:pt idx="729">
                  <c:v>0.60892089066324495</c:v>
                </c:pt>
                <c:pt idx="730">
                  <c:v>0.60897936089240234</c:v>
                </c:pt>
                <c:pt idx="731">
                  <c:v>0.6089985358039206</c:v>
                </c:pt>
                <c:pt idx="732">
                  <c:v>0.60917842264340605</c:v>
                </c:pt>
                <c:pt idx="733">
                  <c:v>0.60920837366755665</c:v>
                </c:pt>
                <c:pt idx="734">
                  <c:v>0.60952371621736168</c:v>
                </c:pt>
                <c:pt idx="735">
                  <c:v>0.60964302528188963</c:v>
                </c:pt>
                <c:pt idx="736">
                  <c:v>0.60964659446962555</c:v>
                </c:pt>
                <c:pt idx="737">
                  <c:v>0.60966637815721147</c:v>
                </c:pt>
                <c:pt idx="738">
                  <c:v>0.60973804362638906</c:v>
                </c:pt>
                <c:pt idx="739">
                  <c:v>0.60991806815680505</c:v>
                </c:pt>
                <c:pt idx="740">
                  <c:v>0.60991919128327043</c:v>
                </c:pt>
                <c:pt idx="741">
                  <c:v>0.60994280311705329</c:v>
                </c:pt>
                <c:pt idx="742">
                  <c:v>0.60995110266879626</c:v>
                </c:pt>
                <c:pt idx="743">
                  <c:v>0.61007078488456246</c:v>
                </c:pt>
                <c:pt idx="744">
                  <c:v>0.6101012319915059</c:v>
                </c:pt>
                <c:pt idx="745">
                  <c:v>0.61017754146783809</c:v>
                </c:pt>
                <c:pt idx="746">
                  <c:v>0.61047585290850526</c:v>
                </c:pt>
                <c:pt idx="747">
                  <c:v>0.61051352117326463</c:v>
                </c:pt>
                <c:pt idx="748">
                  <c:v>0.61058924492797051</c:v>
                </c:pt>
                <c:pt idx="749">
                  <c:v>0.61069223229898562</c:v>
                </c:pt>
                <c:pt idx="750">
                  <c:v>0.6107086437605741</c:v>
                </c:pt>
                <c:pt idx="751">
                  <c:v>0.6109229865022896</c:v>
                </c:pt>
                <c:pt idx="752">
                  <c:v>0.61103069371264662</c:v>
                </c:pt>
                <c:pt idx="753">
                  <c:v>0.61107438435332673</c:v>
                </c:pt>
                <c:pt idx="754">
                  <c:v>0.61122993581305218</c:v>
                </c:pt>
                <c:pt idx="755">
                  <c:v>0.61126913422358053</c:v>
                </c:pt>
                <c:pt idx="756">
                  <c:v>0.61143743067459855</c:v>
                </c:pt>
                <c:pt idx="757">
                  <c:v>0.61158219463144814</c:v>
                </c:pt>
                <c:pt idx="758">
                  <c:v>0.61167174160705517</c:v>
                </c:pt>
                <c:pt idx="759">
                  <c:v>0.61169007109918283</c:v>
                </c:pt>
                <c:pt idx="760">
                  <c:v>0.61170590368224242</c:v>
                </c:pt>
                <c:pt idx="761">
                  <c:v>0.61174692680456932</c:v>
                </c:pt>
                <c:pt idx="762">
                  <c:v>0.61180122036121787</c:v>
                </c:pt>
                <c:pt idx="763">
                  <c:v>0.61180692351153654</c:v>
                </c:pt>
                <c:pt idx="764">
                  <c:v>0.61192341202413914</c:v>
                </c:pt>
                <c:pt idx="765">
                  <c:v>0.6120317823197976</c:v>
                </c:pt>
                <c:pt idx="766">
                  <c:v>0.61211629562693393</c:v>
                </c:pt>
                <c:pt idx="767">
                  <c:v>0.61218517745808843</c:v>
                </c:pt>
                <c:pt idx="768">
                  <c:v>0.61225503814948123</c:v>
                </c:pt>
                <c:pt idx="769">
                  <c:v>0.61261143639660953</c:v>
                </c:pt>
                <c:pt idx="770">
                  <c:v>0.61265019130512666</c:v>
                </c:pt>
                <c:pt idx="771">
                  <c:v>0.61272565404414403</c:v>
                </c:pt>
                <c:pt idx="772">
                  <c:v>0.61292136383539009</c:v>
                </c:pt>
                <c:pt idx="773">
                  <c:v>0.61294609320467508</c:v>
                </c:pt>
                <c:pt idx="774">
                  <c:v>0.61299620274808464</c:v>
                </c:pt>
                <c:pt idx="775">
                  <c:v>0.61307033365122077</c:v>
                </c:pt>
                <c:pt idx="776">
                  <c:v>0.61321415158200787</c:v>
                </c:pt>
                <c:pt idx="777">
                  <c:v>0.61339336314064907</c:v>
                </c:pt>
                <c:pt idx="778">
                  <c:v>0.61342838837413893</c:v>
                </c:pt>
                <c:pt idx="779">
                  <c:v>0.6134528120890731</c:v>
                </c:pt>
                <c:pt idx="780">
                  <c:v>0.61352769044061195</c:v>
                </c:pt>
                <c:pt idx="781">
                  <c:v>0.61354461882874023</c:v>
                </c:pt>
                <c:pt idx="782">
                  <c:v>0.61361993651793589</c:v>
                </c:pt>
                <c:pt idx="783">
                  <c:v>0.61371066057457635</c:v>
                </c:pt>
                <c:pt idx="784">
                  <c:v>0.61383784712773759</c:v>
                </c:pt>
                <c:pt idx="785">
                  <c:v>0.61390770562068198</c:v>
                </c:pt>
                <c:pt idx="786">
                  <c:v>0.61396433776187176</c:v>
                </c:pt>
                <c:pt idx="787">
                  <c:v>0.61411282372746023</c:v>
                </c:pt>
                <c:pt idx="788">
                  <c:v>0.61439160068997922</c:v>
                </c:pt>
                <c:pt idx="789">
                  <c:v>0.6144993391150162</c:v>
                </c:pt>
                <c:pt idx="790">
                  <c:v>0.61460005047293254</c:v>
                </c:pt>
                <c:pt idx="791">
                  <c:v>0.61475201302583593</c:v>
                </c:pt>
                <c:pt idx="792">
                  <c:v>0.61487170905988064</c:v>
                </c:pt>
                <c:pt idx="793">
                  <c:v>0.61487774945718843</c:v>
                </c:pt>
                <c:pt idx="794">
                  <c:v>0.61492880508769576</c:v>
                </c:pt>
                <c:pt idx="795">
                  <c:v>0.61502743891860634</c:v>
                </c:pt>
                <c:pt idx="796">
                  <c:v>0.61508683431210087</c:v>
                </c:pt>
                <c:pt idx="797">
                  <c:v>0.61513558225616949</c:v>
                </c:pt>
                <c:pt idx="798">
                  <c:v>0.61523146897787728</c:v>
                </c:pt>
                <c:pt idx="799">
                  <c:v>0.61531818416095807</c:v>
                </c:pt>
                <c:pt idx="800">
                  <c:v>0.61538571326625291</c:v>
                </c:pt>
                <c:pt idx="801">
                  <c:v>0.61539693734584333</c:v>
                </c:pt>
                <c:pt idx="802">
                  <c:v>0.61543921403634982</c:v>
                </c:pt>
                <c:pt idx="803">
                  <c:v>0.61556575064700314</c:v>
                </c:pt>
                <c:pt idx="804">
                  <c:v>0.61561995325649699</c:v>
                </c:pt>
                <c:pt idx="805">
                  <c:v>0.61562869918145313</c:v>
                </c:pt>
                <c:pt idx="806">
                  <c:v>0.61587019672180554</c:v>
                </c:pt>
                <c:pt idx="807">
                  <c:v>0.61590398290409298</c:v>
                </c:pt>
                <c:pt idx="808">
                  <c:v>0.61596407728483193</c:v>
                </c:pt>
                <c:pt idx="809">
                  <c:v>0.61608964601483218</c:v>
                </c:pt>
                <c:pt idx="810">
                  <c:v>0.6161251688135323</c:v>
                </c:pt>
                <c:pt idx="811">
                  <c:v>0.61647092323060637</c:v>
                </c:pt>
                <c:pt idx="812">
                  <c:v>0.61651762663824894</c:v>
                </c:pt>
                <c:pt idx="813">
                  <c:v>0.6165373173938008</c:v>
                </c:pt>
                <c:pt idx="814">
                  <c:v>0.61666271731953481</c:v>
                </c:pt>
                <c:pt idx="815">
                  <c:v>0.61687413712671979</c:v>
                </c:pt>
                <c:pt idx="816">
                  <c:v>0.61720182414836144</c:v>
                </c:pt>
                <c:pt idx="817">
                  <c:v>0.61721869836248477</c:v>
                </c:pt>
                <c:pt idx="818">
                  <c:v>0.61731627091262309</c:v>
                </c:pt>
                <c:pt idx="819">
                  <c:v>0.61751543821199495</c:v>
                </c:pt>
                <c:pt idx="820">
                  <c:v>0.61759883605626897</c:v>
                </c:pt>
                <c:pt idx="821">
                  <c:v>0.61766443550124805</c:v>
                </c:pt>
                <c:pt idx="822">
                  <c:v>0.61790795341898253</c:v>
                </c:pt>
                <c:pt idx="823">
                  <c:v>0.61793714426527035</c:v>
                </c:pt>
                <c:pt idx="824">
                  <c:v>0.61803740321911194</c:v>
                </c:pt>
                <c:pt idx="825">
                  <c:v>0.61816637355445159</c:v>
                </c:pt>
                <c:pt idx="826">
                  <c:v>0.61824148715915506</c:v>
                </c:pt>
                <c:pt idx="827">
                  <c:v>0.61833436440834877</c:v>
                </c:pt>
                <c:pt idx="828">
                  <c:v>0.61841880317406761</c:v>
                </c:pt>
                <c:pt idx="829">
                  <c:v>0.61846455213715634</c:v>
                </c:pt>
                <c:pt idx="830">
                  <c:v>0.61852648913766861</c:v>
                </c:pt>
                <c:pt idx="831">
                  <c:v>0.61857309771982427</c:v>
                </c:pt>
                <c:pt idx="832">
                  <c:v>0.61861493554357638</c:v>
                </c:pt>
                <c:pt idx="833">
                  <c:v>0.61876168335849002</c:v>
                </c:pt>
                <c:pt idx="834">
                  <c:v>0.61890433005906642</c:v>
                </c:pt>
                <c:pt idx="835">
                  <c:v>0.61914379456860691</c:v>
                </c:pt>
                <c:pt idx="836">
                  <c:v>0.61920083481890531</c:v>
                </c:pt>
                <c:pt idx="837">
                  <c:v>0.61922973943021131</c:v>
                </c:pt>
                <c:pt idx="838">
                  <c:v>0.61934450121950679</c:v>
                </c:pt>
                <c:pt idx="839">
                  <c:v>0.61941725010233617</c:v>
                </c:pt>
                <c:pt idx="840">
                  <c:v>0.61942545826460516</c:v>
                </c:pt>
                <c:pt idx="841">
                  <c:v>0.61954302382109827</c:v>
                </c:pt>
                <c:pt idx="842">
                  <c:v>0.61959773635524262</c:v>
                </c:pt>
                <c:pt idx="843">
                  <c:v>0.61960855641943058</c:v>
                </c:pt>
                <c:pt idx="844">
                  <c:v>0.61978168309415282</c:v>
                </c:pt>
                <c:pt idx="845">
                  <c:v>0.61982371923802437</c:v>
                </c:pt>
                <c:pt idx="846">
                  <c:v>0.62000345767036469</c:v>
                </c:pt>
                <c:pt idx="847">
                  <c:v>0.62000650882759667</c:v>
                </c:pt>
                <c:pt idx="848">
                  <c:v>0.62001673081691377</c:v>
                </c:pt>
                <c:pt idx="849">
                  <c:v>0.62032479296269738</c:v>
                </c:pt>
                <c:pt idx="850">
                  <c:v>0.62036689394724154</c:v>
                </c:pt>
                <c:pt idx="851">
                  <c:v>0.62039510345192039</c:v>
                </c:pt>
                <c:pt idx="852">
                  <c:v>0.62061544879029307</c:v>
                </c:pt>
                <c:pt idx="853">
                  <c:v>0.62074573381710485</c:v>
                </c:pt>
                <c:pt idx="854">
                  <c:v>0.62076215158406955</c:v>
                </c:pt>
                <c:pt idx="855">
                  <c:v>0.620764673078953</c:v>
                </c:pt>
                <c:pt idx="856">
                  <c:v>0.6210457423851129</c:v>
                </c:pt>
                <c:pt idx="857">
                  <c:v>0.62131701655433658</c:v>
                </c:pt>
                <c:pt idx="858">
                  <c:v>0.62133010628222674</c:v>
                </c:pt>
                <c:pt idx="859">
                  <c:v>0.6213933341055129</c:v>
                </c:pt>
                <c:pt idx="860">
                  <c:v>0.62140844861114553</c:v>
                </c:pt>
                <c:pt idx="861">
                  <c:v>0.62144468565104505</c:v>
                </c:pt>
                <c:pt idx="862">
                  <c:v>0.62183160236871082</c:v>
                </c:pt>
                <c:pt idx="863">
                  <c:v>0.62209164853306009</c:v>
                </c:pt>
                <c:pt idx="864">
                  <c:v>0.62218625751284606</c:v>
                </c:pt>
                <c:pt idx="865">
                  <c:v>0.62219207870176241</c:v>
                </c:pt>
                <c:pt idx="866">
                  <c:v>0.62221524496206615</c:v>
                </c:pt>
                <c:pt idx="867">
                  <c:v>0.62222970264978006</c:v>
                </c:pt>
                <c:pt idx="868">
                  <c:v>0.62226553051780931</c:v>
                </c:pt>
                <c:pt idx="869">
                  <c:v>0.62231679696236886</c:v>
                </c:pt>
                <c:pt idx="870">
                  <c:v>0.62236769315876816</c:v>
                </c:pt>
                <c:pt idx="871">
                  <c:v>0.62243360893628219</c:v>
                </c:pt>
                <c:pt idx="872">
                  <c:v>0.62244943700755551</c:v>
                </c:pt>
                <c:pt idx="873">
                  <c:v>0.62258462378858193</c:v>
                </c:pt>
                <c:pt idx="874">
                  <c:v>0.62266029698692493</c:v>
                </c:pt>
                <c:pt idx="875">
                  <c:v>0.62268373722567694</c:v>
                </c:pt>
                <c:pt idx="876">
                  <c:v>0.62269810666855141</c:v>
                </c:pt>
                <c:pt idx="877">
                  <c:v>0.62271386076380264</c:v>
                </c:pt>
                <c:pt idx="878">
                  <c:v>0.6227201476397205</c:v>
                </c:pt>
                <c:pt idx="879">
                  <c:v>0.62293734899435105</c:v>
                </c:pt>
                <c:pt idx="880">
                  <c:v>0.62294373680970028</c:v>
                </c:pt>
                <c:pt idx="881">
                  <c:v>0.62300311911736783</c:v>
                </c:pt>
                <c:pt idx="882">
                  <c:v>0.62304872023783742</c:v>
                </c:pt>
                <c:pt idx="883">
                  <c:v>0.62325966603927896</c:v>
                </c:pt>
                <c:pt idx="884">
                  <c:v>0.62351287338843331</c:v>
                </c:pt>
                <c:pt idx="885">
                  <c:v>0.62351781714884069</c:v>
                </c:pt>
                <c:pt idx="886">
                  <c:v>0.62367062179467592</c:v>
                </c:pt>
                <c:pt idx="887">
                  <c:v>0.62385396108234215</c:v>
                </c:pt>
                <c:pt idx="888">
                  <c:v>0.6240095512293371</c:v>
                </c:pt>
                <c:pt idx="889">
                  <c:v>0.62416488893841249</c:v>
                </c:pt>
                <c:pt idx="890">
                  <c:v>0.62431388948470534</c:v>
                </c:pt>
                <c:pt idx="891">
                  <c:v>0.62432483837538144</c:v>
                </c:pt>
                <c:pt idx="892">
                  <c:v>0.62452318326039913</c:v>
                </c:pt>
                <c:pt idx="893">
                  <c:v>0.62463676828756187</c:v>
                </c:pt>
                <c:pt idx="894">
                  <c:v>0.62482959923043968</c:v>
                </c:pt>
                <c:pt idx="895">
                  <c:v>0.62483940430305995</c:v>
                </c:pt>
                <c:pt idx="896">
                  <c:v>0.62489696938146888</c:v>
                </c:pt>
                <c:pt idx="897">
                  <c:v>0.6249830287048177</c:v>
                </c:pt>
                <c:pt idx="898">
                  <c:v>0.62498610519295184</c:v>
                </c:pt>
                <c:pt idx="899">
                  <c:v>0.62508465069901697</c:v>
                </c:pt>
                <c:pt idx="900">
                  <c:v>0.62510307063945447</c:v>
                </c:pt>
                <c:pt idx="901">
                  <c:v>0.62511822573408649</c:v>
                </c:pt>
                <c:pt idx="902">
                  <c:v>0.62520682024573559</c:v>
                </c:pt>
                <c:pt idx="903">
                  <c:v>0.62524073795668822</c:v>
                </c:pt>
                <c:pt idx="904">
                  <c:v>0.62534217156730121</c:v>
                </c:pt>
                <c:pt idx="905">
                  <c:v>0.62562816129444576</c:v>
                </c:pt>
                <c:pt idx="906">
                  <c:v>0.62583684895726011</c:v>
                </c:pt>
                <c:pt idx="907">
                  <c:v>0.62591024803630924</c:v>
                </c:pt>
                <c:pt idx="908">
                  <c:v>0.62598335029668395</c:v>
                </c:pt>
                <c:pt idx="909">
                  <c:v>0.62605819331420887</c:v>
                </c:pt>
                <c:pt idx="910">
                  <c:v>0.62606392531551902</c:v>
                </c:pt>
                <c:pt idx="911">
                  <c:v>0.62616319752686789</c:v>
                </c:pt>
                <c:pt idx="912">
                  <c:v>0.62628229728104301</c:v>
                </c:pt>
                <c:pt idx="913">
                  <c:v>0.62629743032447127</c:v>
                </c:pt>
                <c:pt idx="914">
                  <c:v>0.62642197596454907</c:v>
                </c:pt>
                <c:pt idx="915">
                  <c:v>0.62645116475393758</c:v>
                </c:pt>
                <c:pt idx="916">
                  <c:v>0.62661156642594629</c:v>
                </c:pt>
                <c:pt idx="917">
                  <c:v>0.62671232876712302</c:v>
                </c:pt>
                <c:pt idx="918">
                  <c:v>0.62671733713497657</c:v>
                </c:pt>
                <c:pt idx="919">
                  <c:v>0.6268058858877058</c:v>
                </c:pt>
                <c:pt idx="920">
                  <c:v>0.62704590494476098</c:v>
                </c:pt>
                <c:pt idx="921">
                  <c:v>0.62727425389206137</c:v>
                </c:pt>
                <c:pt idx="922">
                  <c:v>0.62729806862680038</c:v>
                </c:pt>
                <c:pt idx="923">
                  <c:v>0.62734798915572343</c:v>
                </c:pt>
                <c:pt idx="924">
                  <c:v>0.62747880834300584</c:v>
                </c:pt>
                <c:pt idx="925">
                  <c:v>0.62748284554754996</c:v>
                </c:pt>
                <c:pt idx="926">
                  <c:v>0.62757008702357409</c:v>
                </c:pt>
                <c:pt idx="927">
                  <c:v>0.62758291577189174</c:v>
                </c:pt>
                <c:pt idx="928">
                  <c:v>0.62759700224694392</c:v>
                </c:pt>
                <c:pt idx="929">
                  <c:v>0.62761552617230121</c:v>
                </c:pt>
                <c:pt idx="930">
                  <c:v>0.62767215653123931</c:v>
                </c:pt>
                <c:pt idx="931">
                  <c:v>0.62796392349372565</c:v>
                </c:pt>
                <c:pt idx="932">
                  <c:v>0.62798194713088307</c:v>
                </c:pt>
                <c:pt idx="933">
                  <c:v>0.62798404217520321</c:v>
                </c:pt>
                <c:pt idx="934">
                  <c:v>0.62802172189207295</c:v>
                </c:pt>
                <c:pt idx="935">
                  <c:v>0.62815490990837575</c:v>
                </c:pt>
                <c:pt idx="936">
                  <c:v>0.62836062346181709</c:v>
                </c:pt>
                <c:pt idx="937">
                  <c:v>0.62854265458159142</c:v>
                </c:pt>
                <c:pt idx="938">
                  <c:v>0.62857944072131866</c:v>
                </c:pt>
                <c:pt idx="939">
                  <c:v>0.6287276251926297</c:v>
                </c:pt>
                <c:pt idx="940">
                  <c:v>0.62900025114145841</c:v>
                </c:pt>
                <c:pt idx="941">
                  <c:v>0.62906592619865775</c:v>
                </c:pt>
                <c:pt idx="942">
                  <c:v>0.62912936696506394</c:v>
                </c:pt>
                <c:pt idx="943">
                  <c:v>0.62933534021720705</c:v>
                </c:pt>
                <c:pt idx="944">
                  <c:v>0.62951889130343452</c:v>
                </c:pt>
                <c:pt idx="945">
                  <c:v>0.62958202802673457</c:v>
                </c:pt>
                <c:pt idx="946">
                  <c:v>0.62963220724777813</c:v>
                </c:pt>
                <c:pt idx="947">
                  <c:v>0.62970349516173485</c:v>
                </c:pt>
                <c:pt idx="948">
                  <c:v>0.62981691368788251</c:v>
                </c:pt>
                <c:pt idx="949">
                  <c:v>0.62994352524079056</c:v>
                </c:pt>
                <c:pt idx="950">
                  <c:v>0.63000428269112141</c:v>
                </c:pt>
                <c:pt idx="951">
                  <c:v>0.63008496342706377</c:v>
                </c:pt>
                <c:pt idx="952">
                  <c:v>0.63016630891248682</c:v>
                </c:pt>
                <c:pt idx="953">
                  <c:v>0.63032454361054735</c:v>
                </c:pt>
                <c:pt idx="954">
                  <c:v>0.63045601015525821</c:v>
                </c:pt>
                <c:pt idx="955">
                  <c:v>0.63045723332424664</c:v>
                </c:pt>
                <c:pt idx="956">
                  <c:v>0.63050707254528859</c:v>
                </c:pt>
                <c:pt idx="957">
                  <c:v>0.63051551882411994</c:v>
                </c:pt>
                <c:pt idx="958">
                  <c:v>0.63059533345036711</c:v>
                </c:pt>
                <c:pt idx="959">
                  <c:v>0.63065144581509458</c:v>
                </c:pt>
                <c:pt idx="960">
                  <c:v>0.63066021492953861</c:v>
                </c:pt>
                <c:pt idx="961">
                  <c:v>0.63080220042063773</c:v>
                </c:pt>
                <c:pt idx="962">
                  <c:v>0.63090662440950684</c:v>
                </c:pt>
                <c:pt idx="963">
                  <c:v>0.63091322055137866</c:v>
                </c:pt>
                <c:pt idx="964">
                  <c:v>0.63143668960689303</c:v>
                </c:pt>
                <c:pt idx="965">
                  <c:v>0.63150206140620369</c:v>
                </c:pt>
                <c:pt idx="966">
                  <c:v>0.63150875604146606</c:v>
                </c:pt>
                <c:pt idx="967">
                  <c:v>0.6316886066027303</c:v>
                </c:pt>
                <c:pt idx="968">
                  <c:v>0.6317078743739597</c:v>
                </c:pt>
                <c:pt idx="969">
                  <c:v>0.63189540294648427</c:v>
                </c:pt>
                <c:pt idx="970">
                  <c:v>0.6319105691056911</c:v>
                </c:pt>
                <c:pt idx="971">
                  <c:v>0.63233641434207855</c:v>
                </c:pt>
                <c:pt idx="972">
                  <c:v>0.63237706565879981</c:v>
                </c:pt>
                <c:pt idx="973">
                  <c:v>0.63281214414966491</c:v>
                </c:pt>
                <c:pt idx="974">
                  <c:v>0.63286234748883652</c:v>
                </c:pt>
                <c:pt idx="975">
                  <c:v>0.6329061868799305</c:v>
                </c:pt>
                <c:pt idx="976">
                  <c:v>0.63292706754608719</c:v>
                </c:pt>
                <c:pt idx="977">
                  <c:v>0.63293082254749056</c:v>
                </c:pt>
                <c:pt idx="978">
                  <c:v>0.63293407956166448</c:v>
                </c:pt>
                <c:pt idx="979">
                  <c:v>0.63293428284253994</c:v>
                </c:pt>
                <c:pt idx="980">
                  <c:v>0.63305588470622598</c:v>
                </c:pt>
                <c:pt idx="981">
                  <c:v>0.63315599027329805</c:v>
                </c:pt>
                <c:pt idx="982">
                  <c:v>0.63315754028545479</c:v>
                </c:pt>
                <c:pt idx="983">
                  <c:v>0.63322355289421073</c:v>
                </c:pt>
                <c:pt idx="984">
                  <c:v>0.6332378197693258</c:v>
                </c:pt>
                <c:pt idx="985">
                  <c:v>0.63351735539629972</c:v>
                </c:pt>
                <c:pt idx="986">
                  <c:v>0.63366680792026309</c:v>
                </c:pt>
                <c:pt idx="987">
                  <c:v>0.6337990168111971</c:v>
                </c:pt>
                <c:pt idx="988">
                  <c:v>0.63382210756828217</c:v>
                </c:pt>
                <c:pt idx="989">
                  <c:v>0.63383733434591982</c:v>
                </c:pt>
                <c:pt idx="990">
                  <c:v>0.6343650377671447</c:v>
                </c:pt>
                <c:pt idx="991">
                  <c:v>0.63445165540016146</c:v>
                </c:pt>
                <c:pt idx="992">
                  <c:v>0.63446109670463113</c:v>
                </c:pt>
                <c:pt idx="993">
                  <c:v>0.63452320840930221</c:v>
                </c:pt>
                <c:pt idx="994">
                  <c:v>0.63487050359045472</c:v>
                </c:pt>
                <c:pt idx="995">
                  <c:v>0.63498451961234581</c:v>
                </c:pt>
                <c:pt idx="996">
                  <c:v>0.63518284690204363</c:v>
                </c:pt>
                <c:pt idx="997">
                  <c:v>0.63525213515426804</c:v>
                </c:pt>
                <c:pt idx="998">
                  <c:v>0.6353454474742255</c:v>
                </c:pt>
                <c:pt idx="999">
                  <c:v>0.63539394397444149</c:v>
                </c:pt>
                <c:pt idx="1000">
                  <c:v>0.63546261255382974</c:v>
                </c:pt>
                <c:pt idx="1001">
                  <c:v>0.63546450774210528</c:v>
                </c:pt>
                <c:pt idx="1002">
                  <c:v>0.63547672619884732</c:v>
                </c:pt>
                <c:pt idx="1003">
                  <c:v>0.6355192169883862</c:v>
                </c:pt>
                <c:pt idx="1004">
                  <c:v>0.63552132401412664</c:v>
                </c:pt>
                <c:pt idx="1005">
                  <c:v>0.63559600534949889</c:v>
                </c:pt>
                <c:pt idx="1006">
                  <c:v>0.63560791513667902</c:v>
                </c:pt>
                <c:pt idx="1007">
                  <c:v>0.6356405268724864</c:v>
                </c:pt>
                <c:pt idx="1008">
                  <c:v>0.63572929581776449</c:v>
                </c:pt>
                <c:pt idx="1009">
                  <c:v>0.63575052795664355</c:v>
                </c:pt>
                <c:pt idx="1010">
                  <c:v>0.63595456502611469</c:v>
                </c:pt>
                <c:pt idx="1011">
                  <c:v>0.63620723420817049</c:v>
                </c:pt>
                <c:pt idx="1012">
                  <c:v>0.63667759562841475</c:v>
                </c:pt>
                <c:pt idx="1013">
                  <c:v>0.63704141923968982</c:v>
                </c:pt>
                <c:pt idx="1014">
                  <c:v>0.63742232046787062</c:v>
                </c:pt>
                <c:pt idx="1015">
                  <c:v>0.63755034938193378</c:v>
                </c:pt>
                <c:pt idx="1016">
                  <c:v>0.63774470641423442</c:v>
                </c:pt>
                <c:pt idx="1017">
                  <c:v>0.63789820621570215</c:v>
                </c:pt>
                <c:pt idx="1018">
                  <c:v>0.6378997479054328</c:v>
                </c:pt>
                <c:pt idx="1019">
                  <c:v>0.63805384335774606</c:v>
                </c:pt>
                <c:pt idx="1020">
                  <c:v>0.63811160868668126</c:v>
                </c:pt>
                <c:pt idx="1021">
                  <c:v>0.63835164835164837</c:v>
                </c:pt>
                <c:pt idx="1022">
                  <c:v>0.6384236644375364</c:v>
                </c:pt>
                <c:pt idx="1023">
                  <c:v>0.63860328316873727</c:v>
                </c:pt>
                <c:pt idx="1024">
                  <c:v>0.63861885353113546</c:v>
                </c:pt>
                <c:pt idx="1025">
                  <c:v>0.63867002420489449</c:v>
                </c:pt>
                <c:pt idx="1026">
                  <c:v>0.63872131791680398</c:v>
                </c:pt>
                <c:pt idx="1027">
                  <c:v>0.63875104619320378</c:v>
                </c:pt>
                <c:pt idx="1028">
                  <c:v>0.63884656055688871</c:v>
                </c:pt>
                <c:pt idx="1029">
                  <c:v>0.63908103195344756</c:v>
                </c:pt>
                <c:pt idx="1030">
                  <c:v>0.63912064329937557</c:v>
                </c:pt>
                <c:pt idx="1031">
                  <c:v>0.6391452276131675</c:v>
                </c:pt>
                <c:pt idx="1032">
                  <c:v>0.63929543504753505</c:v>
                </c:pt>
                <c:pt idx="1033">
                  <c:v>0.63931020317881659</c:v>
                </c:pt>
                <c:pt idx="1034">
                  <c:v>0.63939634440974547</c:v>
                </c:pt>
                <c:pt idx="1035">
                  <c:v>0.63953126542470451</c:v>
                </c:pt>
                <c:pt idx="1036">
                  <c:v>0.63966136495137227</c:v>
                </c:pt>
                <c:pt idx="1037">
                  <c:v>0.63972681800692588</c:v>
                </c:pt>
                <c:pt idx="1038">
                  <c:v>0.63973184331137534</c:v>
                </c:pt>
                <c:pt idx="1039">
                  <c:v>0.63992913814522445</c:v>
                </c:pt>
                <c:pt idx="1040">
                  <c:v>0.64017447685327988</c:v>
                </c:pt>
                <c:pt idx="1041">
                  <c:v>0.64033513920622909</c:v>
                </c:pt>
                <c:pt idx="1042">
                  <c:v>0.64034368879416748</c:v>
                </c:pt>
                <c:pt idx="1043">
                  <c:v>0.64034977997892695</c:v>
                </c:pt>
                <c:pt idx="1044">
                  <c:v>0.64038398312772438</c:v>
                </c:pt>
                <c:pt idx="1045">
                  <c:v>0.64040221704687783</c:v>
                </c:pt>
                <c:pt idx="1046">
                  <c:v>0.64048359538482214</c:v>
                </c:pt>
                <c:pt idx="1047">
                  <c:v>0.64051715890297156</c:v>
                </c:pt>
                <c:pt idx="1048">
                  <c:v>0.64058696883852595</c:v>
                </c:pt>
                <c:pt idx="1049">
                  <c:v>0.64059590906881569</c:v>
                </c:pt>
                <c:pt idx="1050">
                  <c:v>0.64086276461957703</c:v>
                </c:pt>
                <c:pt idx="1051">
                  <c:v>0.64089494473925857</c:v>
                </c:pt>
                <c:pt idx="1052">
                  <c:v>0.64094777098827138</c:v>
                </c:pt>
                <c:pt idx="1053">
                  <c:v>0.64108068514762195</c:v>
                </c:pt>
                <c:pt idx="1054">
                  <c:v>0.64108923250552119</c:v>
                </c:pt>
                <c:pt idx="1055">
                  <c:v>0.64151106972892802</c:v>
                </c:pt>
                <c:pt idx="1056">
                  <c:v>0.64173090955236212</c:v>
                </c:pt>
                <c:pt idx="1057">
                  <c:v>0.64188854489164127</c:v>
                </c:pt>
                <c:pt idx="1058">
                  <c:v>0.64208818923054778</c:v>
                </c:pt>
                <c:pt idx="1059">
                  <c:v>0.64210513818573567</c:v>
                </c:pt>
                <c:pt idx="1060">
                  <c:v>0.64211166507549322</c:v>
                </c:pt>
                <c:pt idx="1061">
                  <c:v>0.64225226451329931</c:v>
                </c:pt>
                <c:pt idx="1062">
                  <c:v>0.64231943212811538</c:v>
                </c:pt>
                <c:pt idx="1063">
                  <c:v>0.64246613135082586</c:v>
                </c:pt>
                <c:pt idx="1064">
                  <c:v>0.64251083484489135</c:v>
                </c:pt>
                <c:pt idx="1065">
                  <c:v>0.64279470107369907</c:v>
                </c:pt>
                <c:pt idx="1066">
                  <c:v>0.64279827191902383</c:v>
                </c:pt>
                <c:pt idx="1067">
                  <c:v>0.64283963763094054</c:v>
                </c:pt>
                <c:pt idx="1068">
                  <c:v>0.64298152150750343</c:v>
                </c:pt>
                <c:pt idx="1069">
                  <c:v>0.64299142488305583</c:v>
                </c:pt>
                <c:pt idx="1070">
                  <c:v>0.6430008364818679</c:v>
                </c:pt>
                <c:pt idx="1071">
                  <c:v>0.64306740170584575</c:v>
                </c:pt>
                <c:pt idx="1072">
                  <c:v>0.64308695313991582</c:v>
                </c:pt>
                <c:pt idx="1073">
                  <c:v>0.64311401648869049</c:v>
                </c:pt>
                <c:pt idx="1074">
                  <c:v>0.64338736555067377</c:v>
                </c:pt>
                <c:pt idx="1075">
                  <c:v>0.64351262123879371</c:v>
                </c:pt>
                <c:pt idx="1076">
                  <c:v>0.64359698681732624</c:v>
                </c:pt>
                <c:pt idx="1077">
                  <c:v>0.64363428695429237</c:v>
                </c:pt>
                <c:pt idx="1078">
                  <c:v>0.64364165184074318</c:v>
                </c:pt>
                <c:pt idx="1079">
                  <c:v>0.64374772010887371</c:v>
                </c:pt>
                <c:pt idx="1080">
                  <c:v>0.64378793083705477</c:v>
                </c:pt>
                <c:pt idx="1081">
                  <c:v>0.64381831717957438</c:v>
                </c:pt>
                <c:pt idx="1082">
                  <c:v>0.64407551477606251</c:v>
                </c:pt>
                <c:pt idx="1083">
                  <c:v>0.64410299003322324</c:v>
                </c:pt>
                <c:pt idx="1084">
                  <c:v>0.64411255130497524</c:v>
                </c:pt>
                <c:pt idx="1085">
                  <c:v>0.64411867112843346</c:v>
                </c:pt>
                <c:pt idx="1086">
                  <c:v>0.64419599099778013</c:v>
                </c:pt>
                <c:pt idx="1087">
                  <c:v>0.64424174418956714</c:v>
                </c:pt>
                <c:pt idx="1088">
                  <c:v>0.64444080579155849</c:v>
                </c:pt>
                <c:pt idx="1089">
                  <c:v>0.64477241098695115</c:v>
                </c:pt>
                <c:pt idx="1090">
                  <c:v>0.64508074152126993</c:v>
                </c:pt>
                <c:pt idx="1091">
                  <c:v>0.64508225411270581</c:v>
                </c:pt>
                <c:pt idx="1092">
                  <c:v>0.64522785415431183</c:v>
                </c:pt>
                <c:pt idx="1093">
                  <c:v>0.64528459413167139</c:v>
                </c:pt>
                <c:pt idx="1094">
                  <c:v>0.64536141015626658</c:v>
                </c:pt>
                <c:pt idx="1095">
                  <c:v>0.6453730961865255</c:v>
                </c:pt>
                <c:pt idx="1096">
                  <c:v>0.64554173982632834</c:v>
                </c:pt>
                <c:pt idx="1097">
                  <c:v>0.64567673491895661</c:v>
                </c:pt>
                <c:pt idx="1098">
                  <c:v>0.64583234670408418</c:v>
                </c:pt>
                <c:pt idx="1099">
                  <c:v>0.64598272112120136</c:v>
                </c:pt>
                <c:pt idx="1100">
                  <c:v>0.64598997493734289</c:v>
                </c:pt>
                <c:pt idx="1101">
                  <c:v>0.6461297140866491</c:v>
                </c:pt>
                <c:pt idx="1102">
                  <c:v>0.64613685456609016</c:v>
                </c:pt>
                <c:pt idx="1103">
                  <c:v>0.64622183799037825</c:v>
                </c:pt>
                <c:pt idx="1104">
                  <c:v>0.64639969779409578</c:v>
                </c:pt>
                <c:pt idx="1105">
                  <c:v>0.64641967263711286</c:v>
                </c:pt>
                <c:pt idx="1106">
                  <c:v>0.6464202858091751</c:v>
                </c:pt>
                <c:pt idx="1107">
                  <c:v>0.64667618946222805</c:v>
                </c:pt>
                <c:pt idx="1108">
                  <c:v>0.64678957871802956</c:v>
                </c:pt>
                <c:pt idx="1109">
                  <c:v>0.64702434449611224</c:v>
                </c:pt>
                <c:pt idx="1110">
                  <c:v>0.64705519446349624</c:v>
                </c:pt>
                <c:pt idx="1111">
                  <c:v>0.64722493052108143</c:v>
                </c:pt>
                <c:pt idx="1112">
                  <c:v>0.64729275289978128</c:v>
                </c:pt>
                <c:pt idx="1113">
                  <c:v>0.64745697694133619</c:v>
                </c:pt>
                <c:pt idx="1114">
                  <c:v>0.64748498813014865</c:v>
                </c:pt>
                <c:pt idx="1115">
                  <c:v>0.64750663502152639</c:v>
                </c:pt>
                <c:pt idx="1116">
                  <c:v>0.64780802644020274</c:v>
                </c:pt>
                <c:pt idx="1117">
                  <c:v>0.64787679795239717</c:v>
                </c:pt>
                <c:pt idx="1118">
                  <c:v>0.64791878511356249</c:v>
                </c:pt>
                <c:pt idx="1119">
                  <c:v>0.64796387876792727</c:v>
                </c:pt>
                <c:pt idx="1120">
                  <c:v>0.6481612114371702</c:v>
                </c:pt>
                <c:pt idx="1121">
                  <c:v>0.64817062999277208</c:v>
                </c:pt>
                <c:pt idx="1122">
                  <c:v>0.64828697114530498</c:v>
                </c:pt>
                <c:pt idx="1123">
                  <c:v>0.64832202058068911</c:v>
                </c:pt>
                <c:pt idx="1124">
                  <c:v>0.64837046175449542</c:v>
                </c:pt>
                <c:pt idx="1125">
                  <c:v>0.64844535535595804</c:v>
                </c:pt>
                <c:pt idx="1126">
                  <c:v>0.64846388160007118</c:v>
                </c:pt>
                <c:pt idx="1127">
                  <c:v>0.64849581841286874</c:v>
                </c:pt>
                <c:pt idx="1128">
                  <c:v>0.64853190511085312</c:v>
                </c:pt>
                <c:pt idx="1129">
                  <c:v>0.64859695937391681</c:v>
                </c:pt>
                <c:pt idx="1130">
                  <c:v>0.64865178595988493</c:v>
                </c:pt>
                <c:pt idx="1131">
                  <c:v>0.64868655196576075</c:v>
                </c:pt>
                <c:pt idx="1132">
                  <c:v>0.64876650412578363</c:v>
                </c:pt>
                <c:pt idx="1133">
                  <c:v>0.6487833178592739</c:v>
                </c:pt>
                <c:pt idx="1134">
                  <c:v>0.64878993602361901</c:v>
                </c:pt>
                <c:pt idx="1135">
                  <c:v>0.64884430011222338</c:v>
                </c:pt>
                <c:pt idx="1136">
                  <c:v>0.64886526382295295</c:v>
                </c:pt>
                <c:pt idx="1137">
                  <c:v>0.64887026247745427</c:v>
                </c:pt>
                <c:pt idx="1138">
                  <c:v>0.64891445012248972</c:v>
                </c:pt>
                <c:pt idx="1139">
                  <c:v>0.64915117088089469</c:v>
                </c:pt>
                <c:pt idx="1140">
                  <c:v>0.64920622791097515</c:v>
                </c:pt>
                <c:pt idx="1141">
                  <c:v>0.64923562446892702</c:v>
                </c:pt>
                <c:pt idx="1142">
                  <c:v>0.64953118466003379</c:v>
                </c:pt>
                <c:pt idx="1143">
                  <c:v>0.64961413990540295</c:v>
                </c:pt>
                <c:pt idx="1144">
                  <c:v>0.64964785444911899</c:v>
                </c:pt>
                <c:pt idx="1145">
                  <c:v>0.64975588609886192</c:v>
                </c:pt>
                <c:pt idx="1146">
                  <c:v>0.64992105933282407</c:v>
                </c:pt>
                <c:pt idx="1147">
                  <c:v>0.65000216690984181</c:v>
                </c:pt>
                <c:pt idx="1148">
                  <c:v>0.65001555312473547</c:v>
                </c:pt>
                <c:pt idx="1149">
                  <c:v>0.65009499580260499</c:v>
                </c:pt>
                <c:pt idx="1150">
                  <c:v>0.65011492539998572</c:v>
                </c:pt>
                <c:pt idx="1151">
                  <c:v>0.65016803146370716</c:v>
                </c:pt>
                <c:pt idx="1152">
                  <c:v>0.65038700418547346</c:v>
                </c:pt>
                <c:pt idx="1153">
                  <c:v>0.65059205413894516</c:v>
                </c:pt>
                <c:pt idx="1154">
                  <c:v>0.65062767462158644</c:v>
                </c:pt>
                <c:pt idx="1155">
                  <c:v>0.65072267173157539</c:v>
                </c:pt>
                <c:pt idx="1156">
                  <c:v>0.65092383347293903</c:v>
                </c:pt>
                <c:pt idx="1157">
                  <c:v>0.6510242883337839</c:v>
                </c:pt>
                <c:pt idx="1158">
                  <c:v>0.65108542329310737</c:v>
                </c:pt>
                <c:pt idx="1159">
                  <c:v>0.65114463176575021</c:v>
                </c:pt>
                <c:pt idx="1160">
                  <c:v>0.65123693453681408</c:v>
                </c:pt>
                <c:pt idx="1161">
                  <c:v>0.65123974155889652</c:v>
                </c:pt>
                <c:pt idx="1162">
                  <c:v>0.65130551568001227</c:v>
                </c:pt>
                <c:pt idx="1163">
                  <c:v>0.65137305083007202</c:v>
                </c:pt>
                <c:pt idx="1164">
                  <c:v>0.65147575874885078</c:v>
                </c:pt>
                <c:pt idx="1165">
                  <c:v>0.65148967509517797</c:v>
                </c:pt>
                <c:pt idx="1166">
                  <c:v>0.65156217844109743</c:v>
                </c:pt>
                <c:pt idx="1167">
                  <c:v>0.65182317616246832</c:v>
                </c:pt>
                <c:pt idx="1168">
                  <c:v>0.65192934350659704</c:v>
                </c:pt>
                <c:pt idx="1169">
                  <c:v>0.65195168863494868</c:v>
                </c:pt>
                <c:pt idx="1170">
                  <c:v>0.65213048916366301</c:v>
                </c:pt>
                <c:pt idx="1171">
                  <c:v>0.65220427100877176</c:v>
                </c:pt>
                <c:pt idx="1172">
                  <c:v>0.65226567422021842</c:v>
                </c:pt>
                <c:pt idx="1173">
                  <c:v>0.65231580297353564</c:v>
                </c:pt>
                <c:pt idx="1174">
                  <c:v>0.65241463902286678</c:v>
                </c:pt>
                <c:pt idx="1175">
                  <c:v>0.65244534944791122</c:v>
                </c:pt>
                <c:pt idx="1176">
                  <c:v>0.65269143017205233</c:v>
                </c:pt>
                <c:pt idx="1177">
                  <c:v>0.65269640821815555</c:v>
                </c:pt>
                <c:pt idx="1178">
                  <c:v>0.65286217708593508</c:v>
                </c:pt>
                <c:pt idx="1179">
                  <c:v>0.65295327091279465</c:v>
                </c:pt>
                <c:pt idx="1180">
                  <c:v>0.65302173732983726</c:v>
                </c:pt>
                <c:pt idx="1181">
                  <c:v>0.65302622612243766</c:v>
                </c:pt>
                <c:pt idx="1182">
                  <c:v>0.65307830067220107</c:v>
                </c:pt>
                <c:pt idx="1183">
                  <c:v>0.65314171811478772</c:v>
                </c:pt>
                <c:pt idx="1184">
                  <c:v>0.6532313958819822</c:v>
                </c:pt>
                <c:pt idx="1185">
                  <c:v>0.65347800253786148</c:v>
                </c:pt>
                <c:pt idx="1186">
                  <c:v>0.65374135090793772</c:v>
                </c:pt>
                <c:pt idx="1187">
                  <c:v>0.65378537004875248</c:v>
                </c:pt>
                <c:pt idx="1188">
                  <c:v>0.653811869227236</c:v>
                </c:pt>
                <c:pt idx="1189">
                  <c:v>0.65395317787648177</c:v>
                </c:pt>
                <c:pt idx="1190">
                  <c:v>0.65400222235450545</c:v>
                </c:pt>
                <c:pt idx="1191">
                  <c:v>0.65405270166220231</c:v>
                </c:pt>
                <c:pt idx="1192">
                  <c:v>0.65433413018576636</c:v>
                </c:pt>
                <c:pt idx="1193">
                  <c:v>0.65435389692815449</c:v>
                </c:pt>
                <c:pt idx="1194">
                  <c:v>0.65440291384501148</c:v>
                </c:pt>
                <c:pt idx="1195">
                  <c:v>0.65447778262948808</c:v>
                </c:pt>
                <c:pt idx="1196">
                  <c:v>0.65448477562250085</c:v>
                </c:pt>
                <c:pt idx="1197">
                  <c:v>0.65452256570538969</c:v>
                </c:pt>
                <c:pt idx="1198">
                  <c:v>0.65458087350078342</c:v>
                </c:pt>
                <c:pt idx="1199">
                  <c:v>0.65474733596408563</c:v>
                </c:pt>
                <c:pt idx="1200">
                  <c:v>0.65487031290277475</c:v>
                </c:pt>
                <c:pt idx="1201">
                  <c:v>0.6550419973572803</c:v>
                </c:pt>
                <c:pt idx="1202">
                  <c:v>0.65509196074608411</c:v>
                </c:pt>
                <c:pt idx="1203">
                  <c:v>0.65513585363366778</c:v>
                </c:pt>
                <c:pt idx="1204">
                  <c:v>0.65526677164587033</c:v>
                </c:pt>
                <c:pt idx="1205">
                  <c:v>0.65538824108340332</c:v>
                </c:pt>
                <c:pt idx="1206">
                  <c:v>0.65540784952070863</c:v>
                </c:pt>
                <c:pt idx="1207">
                  <c:v>0.65561783706961796</c:v>
                </c:pt>
                <c:pt idx="1208">
                  <c:v>0.65578096285936871</c:v>
                </c:pt>
                <c:pt idx="1209">
                  <c:v>0.65582859330640242</c:v>
                </c:pt>
                <c:pt idx="1210">
                  <c:v>0.65589221302779455</c:v>
                </c:pt>
                <c:pt idx="1211">
                  <c:v>0.65591940541202454</c:v>
                </c:pt>
                <c:pt idx="1212">
                  <c:v>0.65600547581224822</c:v>
                </c:pt>
                <c:pt idx="1213">
                  <c:v>0.65601546756712537</c:v>
                </c:pt>
                <c:pt idx="1214">
                  <c:v>0.65604890854734854</c:v>
                </c:pt>
                <c:pt idx="1215">
                  <c:v>0.65608498843222951</c:v>
                </c:pt>
                <c:pt idx="1216">
                  <c:v>0.6561640929382917</c:v>
                </c:pt>
                <c:pt idx="1217">
                  <c:v>0.65618370542479021</c:v>
                </c:pt>
                <c:pt idx="1218">
                  <c:v>0.65628190001805042</c:v>
                </c:pt>
                <c:pt idx="1219">
                  <c:v>0.65630469015071757</c:v>
                </c:pt>
                <c:pt idx="1220">
                  <c:v>0.65641397746233232</c:v>
                </c:pt>
                <c:pt idx="1221">
                  <c:v>0.65642243328810568</c:v>
                </c:pt>
                <c:pt idx="1222">
                  <c:v>0.65656291823110413</c:v>
                </c:pt>
                <c:pt idx="1223">
                  <c:v>0.65667046509982518</c:v>
                </c:pt>
                <c:pt idx="1224">
                  <c:v>0.65698464150652269</c:v>
                </c:pt>
                <c:pt idx="1225">
                  <c:v>0.65730258955739274</c:v>
                </c:pt>
                <c:pt idx="1226">
                  <c:v>0.65739647281895019</c:v>
                </c:pt>
                <c:pt idx="1227">
                  <c:v>0.65740273361422119</c:v>
                </c:pt>
                <c:pt idx="1228">
                  <c:v>0.6575318850472156</c:v>
                </c:pt>
                <c:pt idx="1229">
                  <c:v>0.65766256254316624</c:v>
                </c:pt>
                <c:pt idx="1230">
                  <c:v>0.65774413363635587</c:v>
                </c:pt>
                <c:pt idx="1231">
                  <c:v>0.65787413809121531</c:v>
                </c:pt>
                <c:pt idx="1232">
                  <c:v>0.65787705157922916</c:v>
                </c:pt>
                <c:pt idx="1233">
                  <c:v>0.65790924531154071</c:v>
                </c:pt>
                <c:pt idx="1234">
                  <c:v>0.65793923744761185</c:v>
                </c:pt>
                <c:pt idx="1235">
                  <c:v>0.65795446122011902</c:v>
                </c:pt>
                <c:pt idx="1236">
                  <c:v>0.65805801704626921</c:v>
                </c:pt>
                <c:pt idx="1237">
                  <c:v>0.65809121564725159</c:v>
                </c:pt>
                <c:pt idx="1238">
                  <c:v>0.65811164119565568</c:v>
                </c:pt>
                <c:pt idx="1239">
                  <c:v>0.6581830432465835</c:v>
                </c:pt>
                <c:pt idx="1240">
                  <c:v>0.65829203602191211</c:v>
                </c:pt>
                <c:pt idx="1241">
                  <c:v>0.65841214048962382</c:v>
                </c:pt>
                <c:pt idx="1242">
                  <c:v>0.6584685931297789</c:v>
                </c:pt>
                <c:pt idx="1243">
                  <c:v>0.65850401671297221</c:v>
                </c:pt>
                <c:pt idx="1244">
                  <c:v>0.65873787964635799</c:v>
                </c:pt>
                <c:pt idx="1245">
                  <c:v>0.65875330500145324</c:v>
                </c:pt>
                <c:pt idx="1246">
                  <c:v>0.65880818899394811</c:v>
                </c:pt>
                <c:pt idx="1247">
                  <c:v>0.65898598645882567</c:v>
                </c:pt>
                <c:pt idx="1248">
                  <c:v>0.65904442350561909</c:v>
                </c:pt>
                <c:pt idx="1249">
                  <c:v>0.65904877574370269</c:v>
                </c:pt>
                <c:pt idx="1250">
                  <c:v>0.65915235388208504</c:v>
                </c:pt>
                <c:pt idx="1251">
                  <c:v>0.65924825611103766</c:v>
                </c:pt>
                <c:pt idx="1252">
                  <c:v>0.65959815159947999</c:v>
                </c:pt>
                <c:pt idx="1253">
                  <c:v>0.65967837259718043</c:v>
                </c:pt>
                <c:pt idx="1254">
                  <c:v>0.65974376477002128</c:v>
                </c:pt>
                <c:pt idx="1255">
                  <c:v>0.65992985853207065</c:v>
                </c:pt>
                <c:pt idx="1256">
                  <c:v>0.65994441712140028</c:v>
                </c:pt>
                <c:pt idx="1257">
                  <c:v>0.65999358322549484</c:v>
                </c:pt>
                <c:pt idx="1258">
                  <c:v>0.66015090389741748</c:v>
                </c:pt>
                <c:pt idx="1259">
                  <c:v>0.66016198580745855</c:v>
                </c:pt>
                <c:pt idx="1260">
                  <c:v>0.66024505331425032</c:v>
                </c:pt>
                <c:pt idx="1261">
                  <c:v>0.66024759868309579</c:v>
                </c:pt>
                <c:pt idx="1262">
                  <c:v>0.6602798742106144</c:v>
                </c:pt>
                <c:pt idx="1263">
                  <c:v>0.66030040246459365</c:v>
                </c:pt>
                <c:pt idx="1264">
                  <c:v>0.66043678821238427</c:v>
                </c:pt>
                <c:pt idx="1265">
                  <c:v>0.66044063170208611</c:v>
                </c:pt>
                <c:pt idx="1266">
                  <c:v>0.66053491863244462</c:v>
                </c:pt>
                <c:pt idx="1267">
                  <c:v>0.66069732588818342</c:v>
                </c:pt>
                <c:pt idx="1268">
                  <c:v>0.66088404626096298</c:v>
                </c:pt>
                <c:pt idx="1269">
                  <c:v>0.66102311322172391</c:v>
                </c:pt>
                <c:pt idx="1270">
                  <c:v>0.66104818382868447</c:v>
                </c:pt>
                <c:pt idx="1271">
                  <c:v>0.66105771518186918</c:v>
                </c:pt>
                <c:pt idx="1272">
                  <c:v>0.66106461675541506</c:v>
                </c:pt>
                <c:pt idx="1273">
                  <c:v>0.66116761274045943</c:v>
                </c:pt>
                <c:pt idx="1274">
                  <c:v>0.66122991045173241</c:v>
                </c:pt>
                <c:pt idx="1275">
                  <c:v>0.66138531385774935</c:v>
                </c:pt>
                <c:pt idx="1276">
                  <c:v>0.66196550975449797</c:v>
                </c:pt>
                <c:pt idx="1277">
                  <c:v>0.66207725235937598</c:v>
                </c:pt>
                <c:pt idx="1278">
                  <c:v>0.66211419250483849</c:v>
                </c:pt>
                <c:pt idx="1279">
                  <c:v>0.66225090233080641</c:v>
                </c:pt>
                <c:pt idx="1280">
                  <c:v>0.66254494658147189</c:v>
                </c:pt>
                <c:pt idx="1281">
                  <c:v>0.66256875318612241</c:v>
                </c:pt>
                <c:pt idx="1282">
                  <c:v>0.66272788621423362</c:v>
                </c:pt>
                <c:pt idx="1283">
                  <c:v>0.66300107613666903</c:v>
                </c:pt>
                <c:pt idx="1284">
                  <c:v>0.66305511005229611</c:v>
                </c:pt>
                <c:pt idx="1285">
                  <c:v>0.66305986711194775</c:v>
                </c:pt>
                <c:pt idx="1286">
                  <c:v>0.6632709255289857</c:v>
                </c:pt>
                <c:pt idx="1287">
                  <c:v>0.66333098662375567</c:v>
                </c:pt>
                <c:pt idx="1288">
                  <c:v>0.66340100230629162</c:v>
                </c:pt>
                <c:pt idx="1289">
                  <c:v>0.66346072111638421</c:v>
                </c:pt>
                <c:pt idx="1290">
                  <c:v>0.66358402595574029</c:v>
                </c:pt>
                <c:pt idx="1291">
                  <c:v>0.66380102960760701</c:v>
                </c:pt>
                <c:pt idx="1292">
                  <c:v>0.66381452970717125</c:v>
                </c:pt>
                <c:pt idx="1293">
                  <c:v>0.66397203113880943</c:v>
                </c:pt>
                <c:pt idx="1294">
                  <c:v>0.66416345442621239</c:v>
                </c:pt>
                <c:pt idx="1295">
                  <c:v>0.664338776514806</c:v>
                </c:pt>
                <c:pt idx="1296">
                  <c:v>0.66434624886637217</c:v>
                </c:pt>
                <c:pt idx="1297">
                  <c:v>0.66435579771186948</c:v>
                </c:pt>
                <c:pt idx="1298">
                  <c:v>0.66439525862882143</c:v>
                </c:pt>
                <c:pt idx="1299">
                  <c:v>0.6644171779141087</c:v>
                </c:pt>
                <c:pt idx="1300">
                  <c:v>0.66443094201582875</c:v>
                </c:pt>
                <c:pt idx="1301">
                  <c:v>0.66450806618102398</c:v>
                </c:pt>
                <c:pt idx="1302">
                  <c:v>0.66454294584966134</c:v>
                </c:pt>
                <c:pt idx="1303">
                  <c:v>0.66458365828642141</c:v>
                </c:pt>
                <c:pt idx="1304">
                  <c:v>0.66467453388430309</c:v>
                </c:pt>
                <c:pt idx="1305">
                  <c:v>0.66469696969697001</c:v>
                </c:pt>
                <c:pt idx="1306">
                  <c:v>0.66476626904069414</c:v>
                </c:pt>
                <c:pt idx="1307">
                  <c:v>0.66478366016508084</c:v>
                </c:pt>
                <c:pt idx="1308">
                  <c:v>0.66502060923930151</c:v>
                </c:pt>
                <c:pt idx="1309">
                  <c:v>0.66529010116122955</c:v>
                </c:pt>
                <c:pt idx="1310">
                  <c:v>0.6652995902263461</c:v>
                </c:pt>
                <c:pt idx="1311">
                  <c:v>0.66531561511079196</c:v>
                </c:pt>
                <c:pt idx="1312">
                  <c:v>0.66575252164961474</c:v>
                </c:pt>
                <c:pt idx="1313">
                  <c:v>0.66600480369283921</c:v>
                </c:pt>
                <c:pt idx="1314">
                  <c:v>0.66606154647453386</c:v>
                </c:pt>
                <c:pt idx="1315">
                  <c:v>0.66622810114758002</c:v>
                </c:pt>
                <c:pt idx="1316">
                  <c:v>0.66631038248711827</c:v>
                </c:pt>
                <c:pt idx="1317">
                  <c:v>0.66637962122061833</c:v>
                </c:pt>
                <c:pt idx="1318">
                  <c:v>0.66651801921595499</c:v>
                </c:pt>
                <c:pt idx="1319">
                  <c:v>0.66687282253490698</c:v>
                </c:pt>
                <c:pt idx="1320">
                  <c:v>0.667011159906443</c:v>
                </c:pt>
                <c:pt idx="1321">
                  <c:v>0.66722784057108897</c:v>
                </c:pt>
                <c:pt idx="1322">
                  <c:v>0.66724926271465657</c:v>
                </c:pt>
                <c:pt idx="1323">
                  <c:v>0.66728045325779017</c:v>
                </c:pt>
                <c:pt idx="1324">
                  <c:v>0.66733452593917719</c:v>
                </c:pt>
                <c:pt idx="1325">
                  <c:v>0.66743648960739044</c:v>
                </c:pt>
                <c:pt idx="1326">
                  <c:v>0.66757142857142737</c:v>
                </c:pt>
                <c:pt idx="1327">
                  <c:v>0.66758375726197328</c:v>
                </c:pt>
                <c:pt idx="1328">
                  <c:v>0.66758993309186021</c:v>
                </c:pt>
                <c:pt idx="1329">
                  <c:v>0.66768945035875304</c:v>
                </c:pt>
                <c:pt idx="1330">
                  <c:v>0.66781837237050268</c:v>
                </c:pt>
                <c:pt idx="1331">
                  <c:v>0.66794063600632936</c:v>
                </c:pt>
                <c:pt idx="1332">
                  <c:v>0.66825961244904053</c:v>
                </c:pt>
                <c:pt idx="1333">
                  <c:v>0.66831483314216367</c:v>
                </c:pt>
                <c:pt idx="1334">
                  <c:v>0.66882397172546704</c:v>
                </c:pt>
                <c:pt idx="1335">
                  <c:v>0.66884041960970186</c:v>
                </c:pt>
                <c:pt idx="1336">
                  <c:v>0.66906552094522043</c:v>
                </c:pt>
                <c:pt idx="1337">
                  <c:v>0.66908480702207151</c:v>
                </c:pt>
                <c:pt idx="1338">
                  <c:v>0.66926323915014541</c:v>
                </c:pt>
                <c:pt idx="1339">
                  <c:v>0.66929165086043418</c:v>
                </c:pt>
                <c:pt idx="1340">
                  <c:v>0.66943347416326549</c:v>
                </c:pt>
                <c:pt idx="1341">
                  <c:v>0.66955386892733992</c:v>
                </c:pt>
                <c:pt idx="1342">
                  <c:v>0.6696013666151629</c:v>
                </c:pt>
                <c:pt idx="1343">
                  <c:v>0.66960169338392816</c:v>
                </c:pt>
                <c:pt idx="1344">
                  <c:v>0.669636203636092</c:v>
                </c:pt>
                <c:pt idx="1345">
                  <c:v>0.66967054263565884</c:v>
                </c:pt>
                <c:pt idx="1346">
                  <c:v>0.66971107908503913</c:v>
                </c:pt>
                <c:pt idx="1347">
                  <c:v>0.66981877264281431</c:v>
                </c:pt>
                <c:pt idx="1348">
                  <c:v>0.66984390567917673</c:v>
                </c:pt>
                <c:pt idx="1349">
                  <c:v>0.66994170013708187</c:v>
                </c:pt>
                <c:pt idx="1350">
                  <c:v>0.67010513707568042</c:v>
                </c:pt>
                <c:pt idx="1351">
                  <c:v>0.67012193561819433</c:v>
                </c:pt>
                <c:pt idx="1352">
                  <c:v>0.6701239571925891</c:v>
                </c:pt>
                <c:pt idx="1353">
                  <c:v>0.67031215540196942</c:v>
                </c:pt>
                <c:pt idx="1354">
                  <c:v>0.67034399983599147</c:v>
                </c:pt>
                <c:pt idx="1355">
                  <c:v>0.67056351724480512</c:v>
                </c:pt>
                <c:pt idx="1356">
                  <c:v>0.67079780956120838</c:v>
                </c:pt>
                <c:pt idx="1357">
                  <c:v>0.67087853728852109</c:v>
                </c:pt>
                <c:pt idx="1358">
                  <c:v>0.67092282717282692</c:v>
                </c:pt>
                <c:pt idx="1359">
                  <c:v>0.6709570898186491</c:v>
                </c:pt>
                <c:pt idx="1360">
                  <c:v>0.6711356106651718</c:v>
                </c:pt>
                <c:pt idx="1361">
                  <c:v>0.67123198258110883</c:v>
                </c:pt>
                <c:pt idx="1362">
                  <c:v>0.67135897283245016</c:v>
                </c:pt>
                <c:pt idx="1363">
                  <c:v>0.67162358582453019</c:v>
                </c:pt>
                <c:pt idx="1364">
                  <c:v>0.67179491862494267</c:v>
                </c:pt>
                <c:pt idx="1365">
                  <c:v>0.67182146854192815</c:v>
                </c:pt>
                <c:pt idx="1366">
                  <c:v>0.67187304227541</c:v>
                </c:pt>
                <c:pt idx="1367">
                  <c:v>0.67197125256673429</c:v>
                </c:pt>
                <c:pt idx="1368">
                  <c:v>0.67199289835774634</c:v>
                </c:pt>
                <c:pt idx="1369">
                  <c:v>0.6721023582948259</c:v>
                </c:pt>
                <c:pt idx="1370">
                  <c:v>0.67226854762494004</c:v>
                </c:pt>
                <c:pt idx="1371">
                  <c:v>0.67228438550444358</c:v>
                </c:pt>
                <c:pt idx="1372">
                  <c:v>0.67229944677925002</c:v>
                </c:pt>
                <c:pt idx="1373">
                  <c:v>0.67239263213449285</c:v>
                </c:pt>
                <c:pt idx="1374">
                  <c:v>0.67252845352909063</c:v>
                </c:pt>
                <c:pt idx="1375">
                  <c:v>0.67257764970082212</c:v>
                </c:pt>
                <c:pt idx="1376">
                  <c:v>0.67258812137558233</c:v>
                </c:pt>
                <c:pt idx="1377">
                  <c:v>0.67262814188057285</c:v>
                </c:pt>
                <c:pt idx="1378">
                  <c:v>0.67271990898540057</c:v>
                </c:pt>
                <c:pt idx="1379">
                  <c:v>0.67289430369076864</c:v>
                </c:pt>
                <c:pt idx="1380">
                  <c:v>0.67295942770395234</c:v>
                </c:pt>
                <c:pt idx="1381">
                  <c:v>0.6730173968697275</c:v>
                </c:pt>
                <c:pt idx="1382">
                  <c:v>0.67302138089431907</c:v>
                </c:pt>
                <c:pt idx="1383">
                  <c:v>0.6731339812538244</c:v>
                </c:pt>
                <c:pt idx="1384">
                  <c:v>0.67359792835665311</c:v>
                </c:pt>
                <c:pt idx="1385">
                  <c:v>0.673743097936645</c:v>
                </c:pt>
                <c:pt idx="1386">
                  <c:v>0.6737521554330651</c:v>
                </c:pt>
                <c:pt idx="1387">
                  <c:v>0.67388316930473136</c:v>
                </c:pt>
                <c:pt idx="1388">
                  <c:v>0.67404743485200203</c:v>
                </c:pt>
                <c:pt idx="1389">
                  <c:v>0.67418854543074602</c:v>
                </c:pt>
                <c:pt idx="1390">
                  <c:v>0.67421241513043439</c:v>
                </c:pt>
                <c:pt idx="1391">
                  <c:v>0.67421823748086596</c:v>
                </c:pt>
                <c:pt idx="1392">
                  <c:v>0.67430280242962015</c:v>
                </c:pt>
                <c:pt idx="1393">
                  <c:v>0.67436887660844158</c:v>
                </c:pt>
                <c:pt idx="1394">
                  <c:v>0.6744289996211319</c:v>
                </c:pt>
                <c:pt idx="1395">
                  <c:v>0.67444879048217787</c:v>
                </c:pt>
                <c:pt idx="1396">
                  <c:v>0.67446541171709773</c:v>
                </c:pt>
                <c:pt idx="1397">
                  <c:v>0.67457181297334845</c:v>
                </c:pt>
                <c:pt idx="1398">
                  <c:v>0.67459818657019588</c:v>
                </c:pt>
                <c:pt idx="1399">
                  <c:v>0.67487295313382278</c:v>
                </c:pt>
                <c:pt idx="1400">
                  <c:v>0.67489562911557643</c:v>
                </c:pt>
                <c:pt idx="1401">
                  <c:v>0.67495737904659825</c:v>
                </c:pt>
                <c:pt idx="1402">
                  <c:v>0.67506326201978373</c:v>
                </c:pt>
                <c:pt idx="1403">
                  <c:v>0.67513663548499403</c:v>
                </c:pt>
                <c:pt idx="1404">
                  <c:v>0.67518836162972073</c:v>
                </c:pt>
                <c:pt idx="1405">
                  <c:v>0.67523860021208959</c:v>
                </c:pt>
                <c:pt idx="1406">
                  <c:v>0.67524698919770176</c:v>
                </c:pt>
                <c:pt idx="1407">
                  <c:v>0.67530266438193431</c:v>
                </c:pt>
                <c:pt idx="1408">
                  <c:v>0.67536627072511024</c:v>
                </c:pt>
                <c:pt idx="1409">
                  <c:v>0.67557360022660728</c:v>
                </c:pt>
                <c:pt idx="1410">
                  <c:v>0.67567398694743919</c:v>
                </c:pt>
                <c:pt idx="1411">
                  <c:v>0.67575171675311163</c:v>
                </c:pt>
                <c:pt idx="1412">
                  <c:v>0.67579273145282492</c:v>
                </c:pt>
                <c:pt idx="1413">
                  <c:v>0.67586213914299997</c:v>
                </c:pt>
                <c:pt idx="1414">
                  <c:v>0.67597642204538777</c:v>
                </c:pt>
                <c:pt idx="1415">
                  <c:v>0.67602372368335362</c:v>
                </c:pt>
                <c:pt idx="1416">
                  <c:v>0.67610622545856014</c:v>
                </c:pt>
                <c:pt idx="1417">
                  <c:v>0.67615251429757739</c:v>
                </c:pt>
                <c:pt idx="1418">
                  <c:v>0.67635909736269451</c:v>
                </c:pt>
                <c:pt idx="1419">
                  <c:v>0.67638318670576736</c:v>
                </c:pt>
                <c:pt idx="1420">
                  <c:v>0.67645702037850697</c:v>
                </c:pt>
                <c:pt idx="1421">
                  <c:v>0.67652772040241005</c:v>
                </c:pt>
                <c:pt idx="1422">
                  <c:v>0.67673014077249272</c:v>
                </c:pt>
                <c:pt idx="1423">
                  <c:v>0.67691676916768961</c:v>
                </c:pt>
                <c:pt idx="1424">
                  <c:v>0.67706338947325384</c:v>
                </c:pt>
                <c:pt idx="1425">
                  <c:v>0.67709012651623846</c:v>
                </c:pt>
                <c:pt idx="1426">
                  <c:v>0.67709282015407612</c:v>
                </c:pt>
                <c:pt idx="1427">
                  <c:v>0.67725194330132599</c:v>
                </c:pt>
                <c:pt idx="1428">
                  <c:v>0.67732531140684682</c:v>
                </c:pt>
                <c:pt idx="1429">
                  <c:v>0.67741100780991381</c:v>
                </c:pt>
                <c:pt idx="1430">
                  <c:v>0.67744200984743663</c:v>
                </c:pt>
                <c:pt idx="1431">
                  <c:v>0.67748206448083359</c:v>
                </c:pt>
                <c:pt idx="1432">
                  <c:v>0.67755093069406436</c:v>
                </c:pt>
                <c:pt idx="1433">
                  <c:v>0.67756824664521453</c:v>
                </c:pt>
                <c:pt idx="1434">
                  <c:v>0.67756849315068568</c:v>
                </c:pt>
                <c:pt idx="1435">
                  <c:v>0.6777793262208176</c:v>
                </c:pt>
                <c:pt idx="1436">
                  <c:v>0.6778685021481442</c:v>
                </c:pt>
                <c:pt idx="1437">
                  <c:v>0.67790032387977717</c:v>
                </c:pt>
                <c:pt idx="1438">
                  <c:v>0.67800665470301225</c:v>
                </c:pt>
                <c:pt idx="1439">
                  <c:v>0.67805036834275367</c:v>
                </c:pt>
                <c:pt idx="1440">
                  <c:v>0.67812281639777305</c:v>
                </c:pt>
                <c:pt idx="1441">
                  <c:v>0.67821173076591923</c:v>
                </c:pt>
                <c:pt idx="1442">
                  <c:v>0.67828367515350851</c:v>
                </c:pt>
                <c:pt idx="1443">
                  <c:v>0.67835211146469332</c:v>
                </c:pt>
                <c:pt idx="1444">
                  <c:v>0.67845976705422717</c:v>
                </c:pt>
                <c:pt idx="1445">
                  <c:v>0.67849809309378262</c:v>
                </c:pt>
                <c:pt idx="1446">
                  <c:v>0.67849852101820585</c:v>
                </c:pt>
                <c:pt idx="1447">
                  <c:v>0.67851479778602675</c:v>
                </c:pt>
                <c:pt idx="1448">
                  <c:v>0.67852072468627722</c:v>
                </c:pt>
                <c:pt idx="1449">
                  <c:v>0.67852750104683834</c:v>
                </c:pt>
                <c:pt idx="1450">
                  <c:v>0.67856460862412205</c:v>
                </c:pt>
                <c:pt idx="1451">
                  <c:v>0.67865414500029875</c:v>
                </c:pt>
                <c:pt idx="1452">
                  <c:v>0.67870479411379869</c:v>
                </c:pt>
                <c:pt idx="1453">
                  <c:v>0.67872553664180524</c:v>
                </c:pt>
                <c:pt idx="1454">
                  <c:v>0.67876425932691931</c:v>
                </c:pt>
                <c:pt idx="1455">
                  <c:v>0.67879351718293535</c:v>
                </c:pt>
                <c:pt idx="1456">
                  <c:v>0.67880114059013086</c:v>
                </c:pt>
                <c:pt idx="1457">
                  <c:v>0.67887817023036556</c:v>
                </c:pt>
                <c:pt idx="1458">
                  <c:v>0.67899035108114503</c:v>
                </c:pt>
                <c:pt idx="1459">
                  <c:v>0.67924641148325293</c:v>
                </c:pt>
                <c:pt idx="1460">
                  <c:v>0.67936531401680422</c:v>
                </c:pt>
                <c:pt idx="1461">
                  <c:v>0.67945634453795178</c:v>
                </c:pt>
                <c:pt idx="1462">
                  <c:v>0.67957137919115118</c:v>
                </c:pt>
                <c:pt idx="1463">
                  <c:v>0.67971240950986955</c:v>
                </c:pt>
                <c:pt idx="1464">
                  <c:v>0.67978551193848613</c:v>
                </c:pt>
                <c:pt idx="1465">
                  <c:v>0.68001895217751485</c:v>
                </c:pt>
                <c:pt idx="1466">
                  <c:v>0.68010226180263789</c:v>
                </c:pt>
                <c:pt idx="1467">
                  <c:v>0.68011228422214687</c:v>
                </c:pt>
                <c:pt idx="1468">
                  <c:v>0.68023460634090116</c:v>
                </c:pt>
                <c:pt idx="1469">
                  <c:v>0.680337859510318</c:v>
                </c:pt>
                <c:pt idx="1470">
                  <c:v>0.68036637566586378</c:v>
                </c:pt>
                <c:pt idx="1471">
                  <c:v>0.68045872508380856</c:v>
                </c:pt>
                <c:pt idx="1472">
                  <c:v>0.68057896015839392</c:v>
                </c:pt>
                <c:pt idx="1473">
                  <c:v>0.68080929106168342</c:v>
                </c:pt>
                <c:pt idx="1474">
                  <c:v>0.68083045551535804</c:v>
                </c:pt>
                <c:pt idx="1475">
                  <c:v>0.68085973190848903</c:v>
                </c:pt>
                <c:pt idx="1476">
                  <c:v>0.68095250208807689</c:v>
                </c:pt>
                <c:pt idx="1477">
                  <c:v>0.68096502039133711</c:v>
                </c:pt>
                <c:pt idx="1478">
                  <c:v>0.68096514745308345</c:v>
                </c:pt>
                <c:pt idx="1479">
                  <c:v>0.6810583568811085</c:v>
                </c:pt>
                <c:pt idx="1480">
                  <c:v>0.68107087742140549</c:v>
                </c:pt>
                <c:pt idx="1481">
                  <c:v>0.68118262771441984</c:v>
                </c:pt>
                <c:pt idx="1482">
                  <c:v>0.68130055948398383</c:v>
                </c:pt>
                <c:pt idx="1483">
                  <c:v>0.68147773407857481</c:v>
                </c:pt>
                <c:pt idx="1484">
                  <c:v>0.68153477910502003</c:v>
                </c:pt>
                <c:pt idx="1485">
                  <c:v>0.68159628617642509</c:v>
                </c:pt>
                <c:pt idx="1486">
                  <c:v>0.68171432040308366</c:v>
                </c:pt>
                <c:pt idx="1487">
                  <c:v>0.68177591470994914</c:v>
                </c:pt>
                <c:pt idx="1488">
                  <c:v>0.68199230267734601</c:v>
                </c:pt>
                <c:pt idx="1489">
                  <c:v>0.68207181889149071</c:v>
                </c:pt>
                <c:pt idx="1490">
                  <c:v>0.68216632606176386</c:v>
                </c:pt>
                <c:pt idx="1491">
                  <c:v>0.6821758272581403</c:v>
                </c:pt>
                <c:pt idx="1492">
                  <c:v>0.68249168150220452</c:v>
                </c:pt>
                <c:pt idx="1493">
                  <c:v>0.68249468462083707</c:v>
                </c:pt>
                <c:pt idx="1494">
                  <c:v>0.682597333290063</c:v>
                </c:pt>
                <c:pt idx="1495">
                  <c:v>0.68262088958358014</c:v>
                </c:pt>
                <c:pt idx="1496">
                  <c:v>0.68270740012743836</c:v>
                </c:pt>
                <c:pt idx="1497">
                  <c:v>0.68271936178730053</c:v>
                </c:pt>
                <c:pt idx="1498">
                  <c:v>0.68283305809291006</c:v>
                </c:pt>
                <c:pt idx="1499">
                  <c:v>0.68296004564109158</c:v>
                </c:pt>
                <c:pt idx="1500">
                  <c:v>0.68330300126119004</c:v>
                </c:pt>
                <c:pt idx="1501">
                  <c:v>0.68342203740637575</c:v>
                </c:pt>
                <c:pt idx="1502">
                  <c:v>0.68355442283713619</c:v>
                </c:pt>
                <c:pt idx="1503">
                  <c:v>0.68356681504756889</c:v>
                </c:pt>
                <c:pt idx="1504">
                  <c:v>0.68360703449870686</c:v>
                </c:pt>
                <c:pt idx="1505">
                  <c:v>0.68372097515743846</c:v>
                </c:pt>
                <c:pt idx="1506">
                  <c:v>0.68374655647382898</c:v>
                </c:pt>
                <c:pt idx="1507">
                  <c:v>0.68376356327981547</c:v>
                </c:pt>
                <c:pt idx="1508">
                  <c:v>0.68381943143934854</c:v>
                </c:pt>
                <c:pt idx="1509">
                  <c:v>0.68395573162434453</c:v>
                </c:pt>
                <c:pt idx="1510">
                  <c:v>0.68396050161045696</c:v>
                </c:pt>
                <c:pt idx="1511">
                  <c:v>0.68408271795631426</c:v>
                </c:pt>
                <c:pt idx="1512">
                  <c:v>0.68409437580654364</c:v>
                </c:pt>
                <c:pt idx="1513">
                  <c:v>0.68409494043594177</c:v>
                </c:pt>
                <c:pt idx="1514">
                  <c:v>0.68444767305619358</c:v>
                </c:pt>
                <c:pt idx="1515">
                  <c:v>0.68445240622788406</c:v>
                </c:pt>
                <c:pt idx="1516">
                  <c:v>0.68462891688300709</c:v>
                </c:pt>
                <c:pt idx="1517">
                  <c:v>0.68475600135241765</c:v>
                </c:pt>
                <c:pt idx="1518">
                  <c:v>0.6848381336369681</c:v>
                </c:pt>
                <c:pt idx="1519">
                  <c:v>0.68486673438320667</c:v>
                </c:pt>
                <c:pt idx="1520">
                  <c:v>0.68489021408575124</c:v>
                </c:pt>
                <c:pt idx="1521">
                  <c:v>0.68491158409898878</c:v>
                </c:pt>
                <c:pt idx="1522">
                  <c:v>0.68491297905504411</c:v>
                </c:pt>
                <c:pt idx="1523">
                  <c:v>0.68493268158819931</c:v>
                </c:pt>
                <c:pt idx="1524">
                  <c:v>0.68517303301862265</c:v>
                </c:pt>
                <c:pt idx="1525">
                  <c:v>0.68519376439421142</c:v>
                </c:pt>
                <c:pt idx="1526">
                  <c:v>0.68539637901044947</c:v>
                </c:pt>
                <c:pt idx="1527">
                  <c:v>0.68542442528079073</c:v>
                </c:pt>
                <c:pt idx="1528">
                  <c:v>0.68545215268165027</c:v>
                </c:pt>
                <c:pt idx="1529">
                  <c:v>0.68547503016920441</c:v>
                </c:pt>
                <c:pt idx="1530">
                  <c:v>0.68555291439825317</c:v>
                </c:pt>
                <c:pt idx="1531">
                  <c:v>0.68560385119421829</c:v>
                </c:pt>
                <c:pt idx="1532">
                  <c:v>0.68568056142842682</c:v>
                </c:pt>
                <c:pt idx="1533">
                  <c:v>0.68575762629930515</c:v>
                </c:pt>
                <c:pt idx="1534">
                  <c:v>0.68600294562400599</c:v>
                </c:pt>
                <c:pt idx="1535">
                  <c:v>0.68611738011981083</c:v>
                </c:pt>
                <c:pt idx="1536">
                  <c:v>0.68625414211163427</c:v>
                </c:pt>
                <c:pt idx="1537">
                  <c:v>0.6865608878690781</c:v>
                </c:pt>
                <c:pt idx="1538">
                  <c:v>0.68673684210526331</c:v>
                </c:pt>
                <c:pt idx="1539">
                  <c:v>0.68680319810043189</c:v>
                </c:pt>
                <c:pt idx="1540">
                  <c:v>0.68695269262717507</c:v>
                </c:pt>
                <c:pt idx="1541">
                  <c:v>0.68704714110111564</c:v>
                </c:pt>
                <c:pt idx="1542">
                  <c:v>0.68713966070392662</c:v>
                </c:pt>
                <c:pt idx="1543">
                  <c:v>0.6872552493500762</c:v>
                </c:pt>
                <c:pt idx="1544">
                  <c:v>0.68730436877388612</c:v>
                </c:pt>
                <c:pt idx="1545">
                  <c:v>0.68741946497208084</c:v>
                </c:pt>
                <c:pt idx="1546">
                  <c:v>0.68757674250631973</c:v>
                </c:pt>
                <c:pt idx="1547">
                  <c:v>0.68783274938829686</c:v>
                </c:pt>
                <c:pt idx="1548">
                  <c:v>0.6878512760012413</c:v>
                </c:pt>
                <c:pt idx="1549">
                  <c:v>0.68793305770940039</c:v>
                </c:pt>
                <c:pt idx="1550">
                  <c:v>0.68816741278253535</c:v>
                </c:pt>
                <c:pt idx="1551">
                  <c:v>0.68821039099056591</c:v>
                </c:pt>
                <c:pt idx="1552">
                  <c:v>0.68833371886806904</c:v>
                </c:pt>
                <c:pt idx="1553">
                  <c:v>0.68850861300111632</c:v>
                </c:pt>
                <c:pt idx="1554">
                  <c:v>0.68858165057530785</c:v>
                </c:pt>
                <c:pt idx="1555">
                  <c:v>0.68871222934023779</c:v>
                </c:pt>
                <c:pt idx="1556">
                  <c:v>0.68880024906778747</c:v>
                </c:pt>
                <c:pt idx="1557">
                  <c:v>0.68896551724137989</c:v>
                </c:pt>
                <c:pt idx="1558">
                  <c:v>0.68897500206925588</c:v>
                </c:pt>
                <c:pt idx="1559">
                  <c:v>0.68906160328102839</c:v>
                </c:pt>
                <c:pt idx="1560">
                  <c:v>0.68920358078092314</c:v>
                </c:pt>
                <c:pt idx="1561">
                  <c:v>0.68922079433500194</c:v>
                </c:pt>
                <c:pt idx="1562">
                  <c:v>0.6892284346445261</c:v>
                </c:pt>
                <c:pt idx="1563">
                  <c:v>0.68960832415539774</c:v>
                </c:pt>
                <c:pt idx="1564">
                  <c:v>0.68989857956660772</c:v>
                </c:pt>
                <c:pt idx="1565">
                  <c:v>0.68990800264609453</c:v>
                </c:pt>
                <c:pt idx="1566">
                  <c:v>0.68995888885249135</c:v>
                </c:pt>
                <c:pt idx="1567">
                  <c:v>0.69016155482271169</c:v>
                </c:pt>
                <c:pt idx="1568">
                  <c:v>0.69023533012970617</c:v>
                </c:pt>
                <c:pt idx="1569">
                  <c:v>0.69041672829981393</c:v>
                </c:pt>
                <c:pt idx="1570">
                  <c:v>0.69043106475252003</c:v>
                </c:pt>
                <c:pt idx="1571">
                  <c:v>0.69046171660153433</c:v>
                </c:pt>
                <c:pt idx="1572">
                  <c:v>0.69046992168720789</c:v>
                </c:pt>
                <c:pt idx="1573">
                  <c:v>0.69064184596882461</c:v>
                </c:pt>
                <c:pt idx="1574">
                  <c:v>0.69071756463648648</c:v>
                </c:pt>
                <c:pt idx="1575">
                  <c:v>0.69080593239229315</c:v>
                </c:pt>
                <c:pt idx="1576">
                  <c:v>0.6908238025259299</c:v>
                </c:pt>
                <c:pt idx="1577">
                  <c:v>0.6908399103585966</c:v>
                </c:pt>
                <c:pt idx="1578">
                  <c:v>0.69090832622817266</c:v>
                </c:pt>
                <c:pt idx="1579">
                  <c:v>0.69095814952575219</c:v>
                </c:pt>
                <c:pt idx="1580">
                  <c:v>0.69112156280297976</c:v>
                </c:pt>
                <c:pt idx="1581">
                  <c:v>0.69124057214492618</c:v>
                </c:pt>
                <c:pt idx="1582">
                  <c:v>0.69133658330758951</c:v>
                </c:pt>
                <c:pt idx="1583">
                  <c:v>0.69153577812174583</c:v>
                </c:pt>
                <c:pt idx="1584">
                  <c:v>0.69156701956927669</c:v>
                </c:pt>
                <c:pt idx="1585">
                  <c:v>0.69174757642441065</c:v>
                </c:pt>
                <c:pt idx="1586">
                  <c:v>0.69187172068309222</c:v>
                </c:pt>
                <c:pt idx="1587">
                  <c:v>0.69192243956292065</c:v>
                </c:pt>
                <c:pt idx="1588">
                  <c:v>0.69192659033175397</c:v>
                </c:pt>
                <c:pt idx="1589">
                  <c:v>0.69232884629726232</c:v>
                </c:pt>
                <c:pt idx="1590">
                  <c:v>0.69255750565084351</c:v>
                </c:pt>
                <c:pt idx="1591">
                  <c:v>0.69256632519043859</c:v>
                </c:pt>
                <c:pt idx="1592">
                  <c:v>0.69279601009790093</c:v>
                </c:pt>
                <c:pt idx="1593">
                  <c:v>0.69280170159349974</c:v>
                </c:pt>
                <c:pt idx="1594">
                  <c:v>0.69290078624772378</c:v>
                </c:pt>
                <c:pt idx="1595">
                  <c:v>0.69290880909325703</c:v>
                </c:pt>
                <c:pt idx="1596">
                  <c:v>0.69299910950958588</c:v>
                </c:pt>
                <c:pt idx="1597">
                  <c:v>0.69326567700460917</c:v>
                </c:pt>
                <c:pt idx="1598">
                  <c:v>0.69336110446003352</c:v>
                </c:pt>
                <c:pt idx="1599">
                  <c:v>0.69338292197302753</c:v>
                </c:pt>
                <c:pt idx="1600">
                  <c:v>0.69342957383329951</c:v>
                </c:pt>
                <c:pt idx="1601">
                  <c:v>0.69352451433857587</c:v>
                </c:pt>
                <c:pt idx="1602">
                  <c:v>0.69360371267150911</c:v>
                </c:pt>
                <c:pt idx="1603">
                  <c:v>0.693818511397857</c:v>
                </c:pt>
                <c:pt idx="1604">
                  <c:v>0.69383662420469983</c:v>
                </c:pt>
                <c:pt idx="1605">
                  <c:v>0.69395675712027882</c:v>
                </c:pt>
                <c:pt idx="1606">
                  <c:v>0.69395789953486386</c:v>
                </c:pt>
                <c:pt idx="1607">
                  <c:v>0.69396872673119969</c:v>
                </c:pt>
                <c:pt idx="1608">
                  <c:v>0.69397110159203357</c:v>
                </c:pt>
                <c:pt idx="1609">
                  <c:v>0.69403990709252494</c:v>
                </c:pt>
                <c:pt idx="1610">
                  <c:v>0.69405196985328954</c:v>
                </c:pt>
                <c:pt idx="1611">
                  <c:v>0.69414740555091425</c:v>
                </c:pt>
                <c:pt idx="1612">
                  <c:v>0.6941940848311392</c:v>
                </c:pt>
                <c:pt idx="1613">
                  <c:v>0.69422162447764046</c:v>
                </c:pt>
                <c:pt idx="1614">
                  <c:v>0.69423573842178488</c:v>
                </c:pt>
                <c:pt idx="1615">
                  <c:v>0.69433342550470856</c:v>
                </c:pt>
                <c:pt idx="1616">
                  <c:v>0.69436461679522488</c:v>
                </c:pt>
                <c:pt idx="1617">
                  <c:v>0.69438740426339107</c:v>
                </c:pt>
                <c:pt idx="1618">
                  <c:v>0.69440492062247328</c:v>
                </c:pt>
                <c:pt idx="1619">
                  <c:v>0.69443558265988592</c:v>
                </c:pt>
                <c:pt idx="1620">
                  <c:v>0.69445477806409528</c:v>
                </c:pt>
                <c:pt idx="1621">
                  <c:v>0.69450765556960226</c:v>
                </c:pt>
                <c:pt idx="1622">
                  <c:v>0.69457594934658029</c:v>
                </c:pt>
                <c:pt idx="1623">
                  <c:v>0.69462328779730065</c:v>
                </c:pt>
                <c:pt idx="1624">
                  <c:v>0.69463317407743941</c:v>
                </c:pt>
                <c:pt idx="1625">
                  <c:v>0.6946401250642702</c:v>
                </c:pt>
                <c:pt idx="1626">
                  <c:v>0.69469337495154238</c:v>
                </c:pt>
                <c:pt idx="1627">
                  <c:v>0.69474493417134353</c:v>
                </c:pt>
                <c:pt idx="1628">
                  <c:v>0.69475522076560758</c:v>
                </c:pt>
                <c:pt idx="1629">
                  <c:v>0.69489284301807419</c:v>
                </c:pt>
                <c:pt idx="1630">
                  <c:v>0.694897902614803</c:v>
                </c:pt>
                <c:pt idx="1631">
                  <c:v>0.69510462053861555</c:v>
                </c:pt>
                <c:pt idx="1632">
                  <c:v>0.69521806457577362</c:v>
                </c:pt>
                <c:pt idx="1633">
                  <c:v>0.69529790660225521</c:v>
                </c:pt>
                <c:pt idx="1634">
                  <c:v>0.69538367799237333</c:v>
                </c:pt>
                <c:pt idx="1635">
                  <c:v>0.69574624837274524</c:v>
                </c:pt>
                <c:pt idx="1636">
                  <c:v>0.69594125822089492</c:v>
                </c:pt>
                <c:pt idx="1637">
                  <c:v>0.69598770849253533</c:v>
                </c:pt>
                <c:pt idx="1638">
                  <c:v>0.69608592290711435</c:v>
                </c:pt>
                <c:pt idx="1639">
                  <c:v>0.69636457548247188</c:v>
                </c:pt>
                <c:pt idx="1640">
                  <c:v>0.69640114026628863</c:v>
                </c:pt>
                <c:pt idx="1641">
                  <c:v>0.69644417036984374</c:v>
                </c:pt>
                <c:pt idx="1642">
                  <c:v>0.69651039787225943</c:v>
                </c:pt>
                <c:pt idx="1643">
                  <c:v>0.69664127019160205</c:v>
                </c:pt>
                <c:pt idx="1644">
                  <c:v>0.69668636522685745</c:v>
                </c:pt>
                <c:pt idx="1645">
                  <c:v>0.69674289674289691</c:v>
                </c:pt>
                <c:pt idx="1646">
                  <c:v>0.69674901867590433</c:v>
                </c:pt>
                <c:pt idx="1647">
                  <c:v>0.69675261658544818</c:v>
                </c:pt>
                <c:pt idx="1648">
                  <c:v>0.69678022874617485</c:v>
                </c:pt>
                <c:pt idx="1649">
                  <c:v>0.69678808280933846</c:v>
                </c:pt>
                <c:pt idx="1650">
                  <c:v>0.69715097584685559</c:v>
                </c:pt>
                <c:pt idx="1651">
                  <c:v>0.69722866931688621</c:v>
                </c:pt>
                <c:pt idx="1652">
                  <c:v>0.69728453364816956</c:v>
                </c:pt>
                <c:pt idx="1653">
                  <c:v>0.69760499522471708</c:v>
                </c:pt>
                <c:pt idx="1654">
                  <c:v>0.69764911782791694</c:v>
                </c:pt>
                <c:pt idx="1655">
                  <c:v>0.6977644014126182</c:v>
                </c:pt>
                <c:pt idx="1656">
                  <c:v>0.69792808020407748</c:v>
                </c:pt>
                <c:pt idx="1657">
                  <c:v>0.69798579396793736</c:v>
                </c:pt>
                <c:pt idx="1658">
                  <c:v>0.69806582965727815</c:v>
                </c:pt>
                <c:pt idx="1659">
                  <c:v>0.69812195646185804</c:v>
                </c:pt>
                <c:pt idx="1660">
                  <c:v>0.69813818265628214</c:v>
                </c:pt>
                <c:pt idx="1661">
                  <c:v>0.69820041887095263</c:v>
                </c:pt>
                <c:pt idx="1662">
                  <c:v>0.69836291078618873</c:v>
                </c:pt>
                <c:pt idx="1663">
                  <c:v>0.69837007925692285</c:v>
                </c:pt>
                <c:pt idx="1664">
                  <c:v>0.69840982286634457</c:v>
                </c:pt>
                <c:pt idx="1665">
                  <c:v>0.69843629856421896</c:v>
                </c:pt>
                <c:pt idx="1666">
                  <c:v>0.6984412091055443</c:v>
                </c:pt>
                <c:pt idx="1667">
                  <c:v>0.69848876129089676</c:v>
                </c:pt>
                <c:pt idx="1668">
                  <c:v>0.69851653513244649</c:v>
                </c:pt>
                <c:pt idx="1669">
                  <c:v>0.69854701147652443</c:v>
                </c:pt>
                <c:pt idx="1670">
                  <c:v>0.69857162153035657</c:v>
                </c:pt>
                <c:pt idx="1671">
                  <c:v>0.6987198238699347</c:v>
                </c:pt>
                <c:pt idx="1672">
                  <c:v>0.69872060791889246</c:v>
                </c:pt>
                <c:pt idx="1673">
                  <c:v>0.69885777994494469</c:v>
                </c:pt>
                <c:pt idx="1674">
                  <c:v>0.69896433596890939</c:v>
                </c:pt>
                <c:pt idx="1675">
                  <c:v>0.69920832701518587</c:v>
                </c:pt>
                <c:pt idx="1676">
                  <c:v>0.69922288904271324</c:v>
                </c:pt>
                <c:pt idx="1677">
                  <c:v>0.69971473328386546</c:v>
                </c:pt>
                <c:pt idx="1678">
                  <c:v>0.69975007372051812</c:v>
                </c:pt>
                <c:pt idx="1679">
                  <c:v>0.69982907548148854</c:v>
                </c:pt>
                <c:pt idx="1680">
                  <c:v>0.69986864593740639</c:v>
                </c:pt>
                <c:pt idx="1681">
                  <c:v>0.70000260009710913</c:v>
                </c:pt>
                <c:pt idx="1682">
                  <c:v>0.7002728469056626</c:v>
                </c:pt>
                <c:pt idx="1683">
                  <c:v>0.70050943888153194</c:v>
                </c:pt>
                <c:pt idx="1684">
                  <c:v>0.70056626952932244</c:v>
                </c:pt>
                <c:pt idx="1685">
                  <c:v>0.70057688293784048</c:v>
                </c:pt>
                <c:pt idx="1686">
                  <c:v>0.70066835693578033</c:v>
                </c:pt>
                <c:pt idx="1687">
                  <c:v>0.70075113767202124</c:v>
                </c:pt>
                <c:pt idx="1688">
                  <c:v>0.70102514506769753</c:v>
                </c:pt>
                <c:pt idx="1689">
                  <c:v>0.701062469437016</c:v>
                </c:pt>
                <c:pt idx="1690">
                  <c:v>0.70112415340766066</c:v>
                </c:pt>
                <c:pt idx="1691">
                  <c:v>0.70117699311570125</c:v>
                </c:pt>
                <c:pt idx="1692">
                  <c:v>0.70123254288124437</c:v>
                </c:pt>
                <c:pt idx="1693">
                  <c:v>0.70130058388375427</c:v>
                </c:pt>
                <c:pt idx="1694">
                  <c:v>0.70132165983692474</c:v>
                </c:pt>
                <c:pt idx="1695">
                  <c:v>0.70132400514839588</c:v>
                </c:pt>
                <c:pt idx="1696">
                  <c:v>0.70132747206401769</c:v>
                </c:pt>
                <c:pt idx="1697">
                  <c:v>0.70133404621666917</c:v>
                </c:pt>
                <c:pt idx="1698">
                  <c:v>0.70148964543600512</c:v>
                </c:pt>
                <c:pt idx="1699">
                  <c:v>0.701504543423209</c:v>
                </c:pt>
                <c:pt idx="1700">
                  <c:v>0.70165886507349851</c:v>
                </c:pt>
                <c:pt idx="1701">
                  <c:v>0.70206900788211757</c:v>
                </c:pt>
                <c:pt idx="1702">
                  <c:v>0.70213607594936767</c:v>
                </c:pt>
                <c:pt idx="1703">
                  <c:v>0.70218066635086562</c:v>
                </c:pt>
                <c:pt idx="1704">
                  <c:v>0.70252424844870154</c:v>
                </c:pt>
                <c:pt idx="1705">
                  <c:v>0.70265056216764243</c:v>
                </c:pt>
                <c:pt idx="1706">
                  <c:v>0.70265401540153971</c:v>
                </c:pt>
                <c:pt idx="1707">
                  <c:v>0.70287026406429365</c:v>
                </c:pt>
                <c:pt idx="1708">
                  <c:v>0.70303246455530755</c:v>
                </c:pt>
                <c:pt idx="1709">
                  <c:v>0.70322491392031372</c:v>
                </c:pt>
                <c:pt idx="1710">
                  <c:v>0.70344506903667992</c:v>
                </c:pt>
                <c:pt idx="1711">
                  <c:v>0.70348125394854322</c:v>
                </c:pt>
                <c:pt idx="1712">
                  <c:v>0.70361485923704747</c:v>
                </c:pt>
                <c:pt idx="1713">
                  <c:v>0.70362293227916139</c:v>
                </c:pt>
                <c:pt idx="1714">
                  <c:v>0.70365322601858327</c:v>
                </c:pt>
                <c:pt idx="1715">
                  <c:v>0.70366151657061926</c:v>
                </c:pt>
                <c:pt idx="1716">
                  <c:v>0.70366192138956063</c:v>
                </c:pt>
                <c:pt idx="1717">
                  <c:v>0.70369530756354703</c:v>
                </c:pt>
                <c:pt idx="1718">
                  <c:v>0.70377948083985675</c:v>
                </c:pt>
                <c:pt idx="1719">
                  <c:v>0.70399289802786114</c:v>
                </c:pt>
                <c:pt idx="1720">
                  <c:v>0.70404040404040413</c:v>
                </c:pt>
                <c:pt idx="1721">
                  <c:v>0.70413060454220044</c:v>
                </c:pt>
                <c:pt idx="1722">
                  <c:v>0.70418307878058051</c:v>
                </c:pt>
                <c:pt idx="1723">
                  <c:v>0.70427411478301427</c:v>
                </c:pt>
                <c:pt idx="1724">
                  <c:v>0.70428144028115724</c:v>
                </c:pt>
                <c:pt idx="1725">
                  <c:v>0.70429334564400103</c:v>
                </c:pt>
                <c:pt idx="1726">
                  <c:v>0.70430071632467839</c:v>
                </c:pt>
                <c:pt idx="1727">
                  <c:v>0.70431283521528476</c:v>
                </c:pt>
                <c:pt idx="1728">
                  <c:v>0.70446271494593315</c:v>
                </c:pt>
                <c:pt idx="1729">
                  <c:v>0.70459163790223811</c:v>
                </c:pt>
                <c:pt idx="1730">
                  <c:v>0.704652544597825</c:v>
                </c:pt>
                <c:pt idx="1731">
                  <c:v>0.7046586807706019</c:v>
                </c:pt>
                <c:pt idx="1732">
                  <c:v>0.70486712419861575</c:v>
                </c:pt>
                <c:pt idx="1733">
                  <c:v>0.70505462104835948</c:v>
                </c:pt>
                <c:pt idx="1734">
                  <c:v>0.70508091972171516</c:v>
                </c:pt>
                <c:pt idx="1735">
                  <c:v>0.70527923631869083</c:v>
                </c:pt>
                <c:pt idx="1736">
                  <c:v>0.70532674314148125</c:v>
                </c:pt>
                <c:pt idx="1737">
                  <c:v>0.70534796339411243</c:v>
                </c:pt>
                <c:pt idx="1738">
                  <c:v>0.70553248440236949</c:v>
                </c:pt>
                <c:pt idx="1739">
                  <c:v>0.7055398117743491</c:v>
                </c:pt>
                <c:pt idx="1740">
                  <c:v>0.70554553326598368</c:v>
                </c:pt>
                <c:pt idx="1741">
                  <c:v>0.70585238148857121</c:v>
                </c:pt>
                <c:pt idx="1742">
                  <c:v>0.70586225138579994</c:v>
                </c:pt>
                <c:pt idx="1743">
                  <c:v>0.70597944120777856</c:v>
                </c:pt>
                <c:pt idx="1744">
                  <c:v>0.70604440352678766</c:v>
                </c:pt>
                <c:pt idx="1745">
                  <c:v>0.70604914679079578</c:v>
                </c:pt>
                <c:pt idx="1746">
                  <c:v>0.70633202253327754</c:v>
                </c:pt>
                <c:pt idx="1747">
                  <c:v>0.70635954573394666</c:v>
                </c:pt>
                <c:pt idx="1748">
                  <c:v>0.70636064914163077</c:v>
                </c:pt>
                <c:pt idx="1749">
                  <c:v>0.70639499042860321</c:v>
                </c:pt>
                <c:pt idx="1750">
                  <c:v>0.70650544319454955</c:v>
                </c:pt>
                <c:pt idx="1751">
                  <c:v>0.70658319539815484</c:v>
                </c:pt>
                <c:pt idx="1752">
                  <c:v>0.70668344996301957</c:v>
                </c:pt>
                <c:pt idx="1753">
                  <c:v>0.70677831194880414</c:v>
                </c:pt>
                <c:pt idx="1754">
                  <c:v>0.70702054794520519</c:v>
                </c:pt>
                <c:pt idx="1755">
                  <c:v>0.70712229590851272</c:v>
                </c:pt>
                <c:pt idx="1756">
                  <c:v>0.70712798831180568</c:v>
                </c:pt>
                <c:pt idx="1757">
                  <c:v>0.70719160885232357</c:v>
                </c:pt>
                <c:pt idx="1758">
                  <c:v>0.70733554727515369</c:v>
                </c:pt>
                <c:pt idx="1759">
                  <c:v>0.70737300182424134</c:v>
                </c:pt>
                <c:pt idx="1760">
                  <c:v>0.70751828620238122</c:v>
                </c:pt>
                <c:pt idx="1761">
                  <c:v>0.70753233466522869</c:v>
                </c:pt>
                <c:pt idx="1762">
                  <c:v>0.7075574301023918</c:v>
                </c:pt>
                <c:pt idx="1763">
                  <c:v>0.70760880243638891</c:v>
                </c:pt>
                <c:pt idx="1764">
                  <c:v>0.70776269114586443</c:v>
                </c:pt>
                <c:pt idx="1765">
                  <c:v>0.7077773054414217</c:v>
                </c:pt>
                <c:pt idx="1766">
                  <c:v>0.70800196367206558</c:v>
                </c:pt>
                <c:pt idx="1767">
                  <c:v>0.70828499634587982</c:v>
                </c:pt>
                <c:pt idx="1768">
                  <c:v>0.70840629611964379</c:v>
                </c:pt>
                <c:pt idx="1769">
                  <c:v>0.70850756416794158</c:v>
                </c:pt>
                <c:pt idx="1770">
                  <c:v>0.70855040270472258</c:v>
                </c:pt>
                <c:pt idx="1771">
                  <c:v>0.70880904670922851</c:v>
                </c:pt>
                <c:pt idx="1772">
                  <c:v>0.70883725589294599</c:v>
                </c:pt>
                <c:pt idx="1773">
                  <c:v>0.70887775736823033</c:v>
                </c:pt>
                <c:pt idx="1774">
                  <c:v>0.70888177756309612</c:v>
                </c:pt>
                <c:pt idx="1775">
                  <c:v>0.70889613455718781</c:v>
                </c:pt>
                <c:pt idx="1776">
                  <c:v>0.70916160299061803</c:v>
                </c:pt>
                <c:pt idx="1777">
                  <c:v>0.70940411870644526</c:v>
                </c:pt>
                <c:pt idx="1778">
                  <c:v>0.70941339620308386</c:v>
                </c:pt>
                <c:pt idx="1779">
                  <c:v>0.70943863254249906</c:v>
                </c:pt>
                <c:pt idx="1780">
                  <c:v>0.70951932006369922</c:v>
                </c:pt>
                <c:pt idx="1781">
                  <c:v>0.70953584045808626</c:v>
                </c:pt>
                <c:pt idx="1782">
                  <c:v>0.70971021116032762</c:v>
                </c:pt>
                <c:pt idx="1783">
                  <c:v>0.70981026444558404</c:v>
                </c:pt>
                <c:pt idx="1784">
                  <c:v>0.70995366424398421</c:v>
                </c:pt>
                <c:pt idx="1785">
                  <c:v>0.70997306420266648</c:v>
                </c:pt>
                <c:pt idx="1786">
                  <c:v>0.71031816340994136</c:v>
                </c:pt>
                <c:pt idx="1787">
                  <c:v>0.7103744366083431</c:v>
                </c:pt>
                <c:pt idx="1788">
                  <c:v>0.71050823324395906</c:v>
                </c:pt>
                <c:pt idx="1789">
                  <c:v>0.71064168991630128</c:v>
                </c:pt>
                <c:pt idx="1790">
                  <c:v>0.71085210829685985</c:v>
                </c:pt>
                <c:pt idx="1791">
                  <c:v>0.71087322363500294</c:v>
                </c:pt>
                <c:pt idx="1792">
                  <c:v>0.71093470526857416</c:v>
                </c:pt>
                <c:pt idx="1793">
                  <c:v>0.71108343992005341</c:v>
                </c:pt>
                <c:pt idx="1794">
                  <c:v>0.71124741492761723</c:v>
                </c:pt>
                <c:pt idx="1795">
                  <c:v>0.71137285882766677</c:v>
                </c:pt>
                <c:pt idx="1796">
                  <c:v>0.71138133613920951</c:v>
                </c:pt>
                <c:pt idx="1797">
                  <c:v>0.71139527395326863</c:v>
                </c:pt>
                <c:pt idx="1798">
                  <c:v>0.71161334289616351</c:v>
                </c:pt>
                <c:pt idx="1799">
                  <c:v>0.71165488334188742</c:v>
                </c:pt>
                <c:pt idx="1800">
                  <c:v>0.71168867406285763</c:v>
                </c:pt>
                <c:pt idx="1801">
                  <c:v>0.71170913041095163</c:v>
                </c:pt>
                <c:pt idx="1802">
                  <c:v>0.71174082747853196</c:v>
                </c:pt>
                <c:pt idx="1803">
                  <c:v>0.71184137785604806</c:v>
                </c:pt>
                <c:pt idx="1804">
                  <c:v>0.71185120010737202</c:v>
                </c:pt>
                <c:pt idx="1805">
                  <c:v>0.71189234004691471</c:v>
                </c:pt>
                <c:pt idx="1806">
                  <c:v>0.71192163889004934</c:v>
                </c:pt>
                <c:pt idx="1807">
                  <c:v>0.71193450606703002</c:v>
                </c:pt>
                <c:pt idx="1808">
                  <c:v>0.71193906447012101</c:v>
                </c:pt>
                <c:pt idx="1809">
                  <c:v>0.7119741650378173</c:v>
                </c:pt>
                <c:pt idx="1810">
                  <c:v>0.7120784512558952</c:v>
                </c:pt>
                <c:pt idx="1811">
                  <c:v>0.71210219632451766</c:v>
                </c:pt>
                <c:pt idx="1812">
                  <c:v>0.7124179544022079</c:v>
                </c:pt>
                <c:pt idx="1813">
                  <c:v>0.71261878984722726</c:v>
                </c:pt>
                <c:pt idx="1814">
                  <c:v>0.71265141232864604</c:v>
                </c:pt>
                <c:pt idx="1815">
                  <c:v>0.71285944793407496</c:v>
                </c:pt>
                <c:pt idx="1816">
                  <c:v>0.712876047064958</c:v>
                </c:pt>
                <c:pt idx="1817">
                  <c:v>0.71308863824635105</c:v>
                </c:pt>
                <c:pt idx="1818">
                  <c:v>0.71309254949802803</c:v>
                </c:pt>
                <c:pt idx="1819">
                  <c:v>0.71309728449857057</c:v>
                </c:pt>
                <c:pt idx="1820">
                  <c:v>0.71317364075436607</c:v>
                </c:pt>
                <c:pt idx="1821">
                  <c:v>0.71332936822627435</c:v>
                </c:pt>
                <c:pt idx="1822">
                  <c:v>0.7134798869543314</c:v>
                </c:pt>
                <c:pt idx="1823">
                  <c:v>0.71353353878434167</c:v>
                </c:pt>
                <c:pt idx="1824">
                  <c:v>0.71360389116887146</c:v>
                </c:pt>
                <c:pt idx="1825">
                  <c:v>0.71374999999999966</c:v>
                </c:pt>
                <c:pt idx="1826">
                  <c:v>0.71388636089471458</c:v>
                </c:pt>
                <c:pt idx="1827">
                  <c:v>0.71390798489446494</c:v>
                </c:pt>
                <c:pt idx="1828">
                  <c:v>0.71394137105688005</c:v>
                </c:pt>
                <c:pt idx="1829">
                  <c:v>0.71422158189259122</c:v>
                </c:pt>
                <c:pt idx="1830">
                  <c:v>0.71435153408597829</c:v>
                </c:pt>
                <c:pt idx="1831">
                  <c:v>0.71447606828949806</c:v>
                </c:pt>
                <c:pt idx="1832">
                  <c:v>0.71455642147966325</c:v>
                </c:pt>
                <c:pt idx="1833">
                  <c:v>0.71459365748589909</c:v>
                </c:pt>
                <c:pt idx="1834">
                  <c:v>0.71473246108211408</c:v>
                </c:pt>
                <c:pt idx="1835">
                  <c:v>0.71477509995390398</c:v>
                </c:pt>
                <c:pt idx="1836">
                  <c:v>0.71478225833910158</c:v>
                </c:pt>
                <c:pt idx="1837">
                  <c:v>0.71479586491111657</c:v>
                </c:pt>
                <c:pt idx="1838">
                  <c:v>0.71488332722571257</c:v>
                </c:pt>
                <c:pt idx="1839">
                  <c:v>0.71505683092420247</c:v>
                </c:pt>
                <c:pt idx="1840">
                  <c:v>0.71511590995664776</c:v>
                </c:pt>
                <c:pt idx="1841">
                  <c:v>0.71515206607277271</c:v>
                </c:pt>
                <c:pt idx="1842">
                  <c:v>0.71517998518162762</c:v>
                </c:pt>
                <c:pt idx="1843">
                  <c:v>0.71521960877143909</c:v>
                </c:pt>
                <c:pt idx="1844">
                  <c:v>0.71534463774498946</c:v>
                </c:pt>
                <c:pt idx="1845">
                  <c:v>0.71536441700376019</c:v>
                </c:pt>
                <c:pt idx="1846">
                  <c:v>0.71536538675440076</c:v>
                </c:pt>
                <c:pt idx="1847">
                  <c:v>0.71553200244232673</c:v>
                </c:pt>
                <c:pt idx="1848">
                  <c:v>0.71554038491657679</c:v>
                </c:pt>
                <c:pt idx="1849">
                  <c:v>0.71556853682888366</c:v>
                </c:pt>
                <c:pt idx="1850">
                  <c:v>0.71562655416645293</c:v>
                </c:pt>
                <c:pt idx="1851">
                  <c:v>0.71569391792463011</c:v>
                </c:pt>
                <c:pt idx="1852">
                  <c:v>0.71573131724338457</c:v>
                </c:pt>
                <c:pt idx="1853">
                  <c:v>0.71577207024603795</c:v>
                </c:pt>
                <c:pt idx="1854">
                  <c:v>0.71603222602223049</c:v>
                </c:pt>
                <c:pt idx="1855">
                  <c:v>0.71655014276019224</c:v>
                </c:pt>
                <c:pt idx="1856">
                  <c:v>0.716636154115047</c:v>
                </c:pt>
                <c:pt idx="1857">
                  <c:v>0.71665465032444131</c:v>
                </c:pt>
                <c:pt idx="1858">
                  <c:v>0.71666666666666634</c:v>
                </c:pt>
                <c:pt idx="1859">
                  <c:v>0.71671906519923412</c:v>
                </c:pt>
                <c:pt idx="1860">
                  <c:v>0.71683815743028645</c:v>
                </c:pt>
                <c:pt idx="1861">
                  <c:v>0.71690846764392813</c:v>
                </c:pt>
                <c:pt idx="1862">
                  <c:v>0.71692755747314096</c:v>
                </c:pt>
                <c:pt idx="1863">
                  <c:v>0.717030868097013</c:v>
                </c:pt>
                <c:pt idx="1864">
                  <c:v>0.71716797416338296</c:v>
                </c:pt>
                <c:pt idx="1865">
                  <c:v>0.71730992574549257</c:v>
                </c:pt>
                <c:pt idx="1866">
                  <c:v>0.71732410239472844</c:v>
                </c:pt>
                <c:pt idx="1867">
                  <c:v>0.71734103361307</c:v>
                </c:pt>
                <c:pt idx="1868">
                  <c:v>0.71737636599018684</c:v>
                </c:pt>
                <c:pt idx="1869">
                  <c:v>0.71758897349740136</c:v>
                </c:pt>
                <c:pt idx="1870">
                  <c:v>0.71765932102441943</c:v>
                </c:pt>
                <c:pt idx="1871">
                  <c:v>0.71776492614011955</c:v>
                </c:pt>
                <c:pt idx="1872">
                  <c:v>0.71787303072222708</c:v>
                </c:pt>
                <c:pt idx="1873">
                  <c:v>0.71806747074403565</c:v>
                </c:pt>
                <c:pt idx="1874">
                  <c:v>0.71809246464752008</c:v>
                </c:pt>
                <c:pt idx="1875">
                  <c:v>0.71809802726658722</c:v>
                </c:pt>
                <c:pt idx="1876">
                  <c:v>0.7182266419981499</c:v>
                </c:pt>
                <c:pt idx="1877">
                  <c:v>0.7184731182795705</c:v>
                </c:pt>
                <c:pt idx="1878">
                  <c:v>0.71861104066375503</c:v>
                </c:pt>
                <c:pt idx="1879">
                  <c:v>0.71888762220469049</c:v>
                </c:pt>
                <c:pt idx="1880">
                  <c:v>0.71902733417775888</c:v>
                </c:pt>
                <c:pt idx="1881">
                  <c:v>0.71906381655024076</c:v>
                </c:pt>
                <c:pt idx="1882">
                  <c:v>0.71932194148139827</c:v>
                </c:pt>
                <c:pt idx="1883">
                  <c:v>0.7193923327449574</c:v>
                </c:pt>
                <c:pt idx="1884">
                  <c:v>0.71953599012360459</c:v>
                </c:pt>
                <c:pt idx="1885">
                  <c:v>0.72002575875476149</c:v>
                </c:pt>
                <c:pt idx="1886">
                  <c:v>0.72006708952258136</c:v>
                </c:pt>
                <c:pt idx="1887">
                  <c:v>0.72032289374831315</c:v>
                </c:pt>
                <c:pt idx="1888">
                  <c:v>0.72041366251547601</c:v>
                </c:pt>
                <c:pt idx="1889">
                  <c:v>0.72045275785372409</c:v>
                </c:pt>
                <c:pt idx="1890">
                  <c:v>0.72055477218976816</c:v>
                </c:pt>
                <c:pt idx="1891">
                  <c:v>0.7206277631432636</c:v>
                </c:pt>
                <c:pt idx="1892">
                  <c:v>0.72079734113137939</c:v>
                </c:pt>
                <c:pt idx="1893">
                  <c:v>0.72104257558264206</c:v>
                </c:pt>
                <c:pt idx="1894">
                  <c:v>0.72105636542554508</c:v>
                </c:pt>
                <c:pt idx="1895">
                  <c:v>0.72120866140696482</c:v>
                </c:pt>
                <c:pt idx="1896">
                  <c:v>0.72146708368426682</c:v>
                </c:pt>
                <c:pt idx="1897">
                  <c:v>0.72207534600551437</c:v>
                </c:pt>
                <c:pt idx="1898">
                  <c:v>0.72217946518444054</c:v>
                </c:pt>
                <c:pt idx="1899">
                  <c:v>0.72225414134559074</c:v>
                </c:pt>
                <c:pt idx="1900">
                  <c:v>0.72251582714010443</c:v>
                </c:pt>
                <c:pt idx="1901">
                  <c:v>0.72257792422731559</c:v>
                </c:pt>
                <c:pt idx="1902">
                  <c:v>0.72277350260452433</c:v>
                </c:pt>
                <c:pt idx="1903">
                  <c:v>0.72282913012417049</c:v>
                </c:pt>
                <c:pt idx="1904">
                  <c:v>0.72284302495937769</c:v>
                </c:pt>
                <c:pt idx="1905">
                  <c:v>0.72296422782335357</c:v>
                </c:pt>
                <c:pt idx="1906">
                  <c:v>0.72308102345415759</c:v>
                </c:pt>
                <c:pt idx="1907">
                  <c:v>0.72312113709942605</c:v>
                </c:pt>
                <c:pt idx="1908">
                  <c:v>0.72327005728841565</c:v>
                </c:pt>
                <c:pt idx="1909">
                  <c:v>0.72327738294272403</c:v>
                </c:pt>
                <c:pt idx="1910">
                  <c:v>0.72401865825033662</c:v>
                </c:pt>
                <c:pt idx="1911">
                  <c:v>0.72409879289745749</c:v>
                </c:pt>
                <c:pt idx="1912">
                  <c:v>0.72412398435769143</c:v>
                </c:pt>
                <c:pt idx="1913">
                  <c:v>0.72424768970261943</c:v>
                </c:pt>
                <c:pt idx="1914">
                  <c:v>0.72442721445879821</c:v>
                </c:pt>
                <c:pt idx="1915">
                  <c:v>0.72450157349554545</c:v>
                </c:pt>
                <c:pt idx="1916">
                  <c:v>0.7245603823085891</c:v>
                </c:pt>
                <c:pt idx="1917">
                  <c:v>0.72459316180652689</c:v>
                </c:pt>
                <c:pt idx="1918">
                  <c:v>0.72470075473584306</c:v>
                </c:pt>
                <c:pt idx="1919">
                  <c:v>0.72477038608637401</c:v>
                </c:pt>
                <c:pt idx="1920">
                  <c:v>0.72484415572899552</c:v>
                </c:pt>
                <c:pt idx="1921">
                  <c:v>0.72485108648630692</c:v>
                </c:pt>
                <c:pt idx="1922">
                  <c:v>0.72502016409400616</c:v>
                </c:pt>
                <c:pt idx="1923">
                  <c:v>0.72503723854606694</c:v>
                </c:pt>
                <c:pt idx="1924">
                  <c:v>0.72527400444889534</c:v>
                </c:pt>
                <c:pt idx="1925">
                  <c:v>0.72535465089413642</c:v>
                </c:pt>
                <c:pt idx="1926">
                  <c:v>0.7256205089880714</c:v>
                </c:pt>
                <c:pt idx="1927">
                  <c:v>0.72570787041087059</c:v>
                </c:pt>
                <c:pt idx="1928">
                  <c:v>0.72585150698358225</c:v>
                </c:pt>
                <c:pt idx="1929">
                  <c:v>0.7259377697222722</c:v>
                </c:pt>
                <c:pt idx="1930">
                  <c:v>0.72617302172397435</c:v>
                </c:pt>
                <c:pt idx="1931">
                  <c:v>0.72653724383906126</c:v>
                </c:pt>
                <c:pt idx="1932">
                  <c:v>0.72655780555418226</c:v>
                </c:pt>
                <c:pt idx="1933">
                  <c:v>0.72662160846860768</c:v>
                </c:pt>
                <c:pt idx="1934">
                  <c:v>0.72674781160430657</c:v>
                </c:pt>
                <c:pt idx="1935">
                  <c:v>0.7268494320970611</c:v>
                </c:pt>
                <c:pt idx="1936">
                  <c:v>0.72685637234388767</c:v>
                </c:pt>
                <c:pt idx="1937">
                  <c:v>0.72686076913980946</c:v>
                </c:pt>
                <c:pt idx="1938">
                  <c:v>0.72690073093318586</c:v>
                </c:pt>
                <c:pt idx="1939">
                  <c:v>0.72696698278890037</c:v>
                </c:pt>
                <c:pt idx="1940">
                  <c:v>0.72704507512520722</c:v>
                </c:pt>
                <c:pt idx="1941">
                  <c:v>0.72743591299530186</c:v>
                </c:pt>
                <c:pt idx="1942">
                  <c:v>0.72746815190004843</c:v>
                </c:pt>
                <c:pt idx="1943">
                  <c:v>0.72754001832751658</c:v>
                </c:pt>
                <c:pt idx="1944">
                  <c:v>0.72762410772225905</c:v>
                </c:pt>
                <c:pt idx="1945">
                  <c:v>0.72763846335766513</c:v>
                </c:pt>
                <c:pt idx="1946">
                  <c:v>0.72766804245283068</c:v>
                </c:pt>
                <c:pt idx="1947">
                  <c:v>0.72774407733869051</c:v>
                </c:pt>
                <c:pt idx="1948">
                  <c:v>0.72788232578727774</c:v>
                </c:pt>
                <c:pt idx="1949">
                  <c:v>0.72802277899550072</c:v>
                </c:pt>
                <c:pt idx="1950">
                  <c:v>0.72807158832321306</c:v>
                </c:pt>
                <c:pt idx="1951">
                  <c:v>0.72810595564069436</c:v>
                </c:pt>
                <c:pt idx="1952">
                  <c:v>0.72816062299730588</c:v>
                </c:pt>
                <c:pt idx="1953">
                  <c:v>0.72829038084325559</c:v>
                </c:pt>
                <c:pt idx="1954">
                  <c:v>0.72830549018468338</c:v>
                </c:pt>
                <c:pt idx="1955">
                  <c:v>0.72843161348407814</c:v>
                </c:pt>
                <c:pt idx="1956">
                  <c:v>0.72844209172314822</c:v>
                </c:pt>
                <c:pt idx="1957">
                  <c:v>0.72860097939885038</c:v>
                </c:pt>
                <c:pt idx="1958">
                  <c:v>0.72861960860043273</c:v>
                </c:pt>
                <c:pt idx="1959">
                  <c:v>0.72865573840473064</c:v>
                </c:pt>
                <c:pt idx="1960">
                  <c:v>0.72895561430599298</c:v>
                </c:pt>
                <c:pt idx="1961">
                  <c:v>0.72895688758805244</c:v>
                </c:pt>
                <c:pt idx="1962">
                  <c:v>0.72932682352332157</c:v>
                </c:pt>
                <c:pt idx="1963">
                  <c:v>0.72940778595414568</c:v>
                </c:pt>
                <c:pt idx="1964">
                  <c:v>0.72958280657395691</c:v>
                </c:pt>
                <c:pt idx="1965">
                  <c:v>0.72962401703800872</c:v>
                </c:pt>
                <c:pt idx="1966">
                  <c:v>0.7297734627831709</c:v>
                </c:pt>
                <c:pt idx="1967">
                  <c:v>0.72988833470905867</c:v>
                </c:pt>
                <c:pt idx="1968">
                  <c:v>0.73010591878386777</c:v>
                </c:pt>
                <c:pt idx="1969">
                  <c:v>0.73029201250860598</c:v>
                </c:pt>
                <c:pt idx="1970">
                  <c:v>0.73036478953778139</c:v>
                </c:pt>
                <c:pt idx="1971">
                  <c:v>0.73062975544707964</c:v>
                </c:pt>
                <c:pt idx="1972">
                  <c:v>0.73074316266427553</c:v>
                </c:pt>
                <c:pt idx="1973">
                  <c:v>0.73079934017390369</c:v>
                </c:pt>
                <c:pt idx="1974">
                  <c:v>0.73096103554334657</c:v>
                </c:pt>
                <c:pt idx="1975">
                  <c:v>0.73105961989065338</c:v>
                </c:pt>
                <c:pt idx="1976">
                  <c:v>0.73156628884465535</c:v>
                </c:pt>
                <c:pt idx="1977">
                  <c:v>0.73164984262077182</c:v>
                </c:pt>
                <c:pt idx="1978">
                  <c:v>0.73173002719577973</c:v>
                </c:pt>
                <c:pt idx="1979">
                  <c:v>0.73179381250334297</c:v>
                </c:pt>
                <c:pt idx="1980">
                  <c:v>0.73203576304693974</c:v>
                </c:pt>
                <c:pt idx="1981">
                  <c:v>0.73229308820222117</c:v>
                </c:pt>
                <c:pt idx="1982">
                  <c:v>0.73238002635636268</c:v>
                </c:pt>
                <c:pt idx="1983">
                  <c:v>0.73240094741286244</c:v>
                </c:pt>
                <c:pt idx="1984">
                  <c:v>0.73247279500669837</c:v>
                </c:pt>
                <c:pt idx="1985">
                  <c:v>0.73324675202343503</c:v>
                </c:pt>
                <c:pt idx="1986">
                  <c:v>0.73347107438016468</c:v>
                </c:pt>
                <c:pt idx="1987">
                  <c:v>0.73351630716323513</c:v>
                </c:pt>
                <c:pt idx="1988">
                  <c:v>0.73360471984798592</c:v>
                </c:pt>
                <c:pt idx="1989">
                  <c:v>0.73364672571511469</c:v>
                </c:pt>
                <c:pt idx="1990">
                  <c:v>0.73385731915143593</c:v>
                </c:pt>
                <c:pt idx="1991">
                  <c:v>0.73391529265890043</c:v>
                </c:pt>
                <c:pt idx="1992">
                  <c:v>0.73420809865993408</c:v>
                </c:pt>
                <c:pt idx="1993">
                  <c:v>0.73421745401485428</c:v>
                </c:pt>
                <c:pt idx="1994">
                  <c:v>0.73423256959842265</c:v>
                </c:pt>
                <c:pt idx="1995">
                  <c:v>0.73431202265102702</c:v>
                </c:pt>
                <c:pt idx="1996">
                  <c:v>0.73440612364979019</c:v>
                </c:pt>
                <c:pt idx="1997">
                  <c:v>0.73458146043592487</c:v>
                </c:pt>
                <c:pt idx="1998">
                  <c:v>0.73459884029409439</c:v>
                </c:pt>
                <c:pt idx="1999">
                  <c:v>0.73477212538044989</c:v>
                </c:pt>
                <c:pt idx="2000">
                  <c:v>0.73477493007495298</c:v>
                </c:pt>
                <c:pt idx="2001">
                  <c:v>0.73489722495663989</c:v>
                </c:pt>
                <c:pt idx="2002">
                  <c:v>0.73492334370097201</c:v>
                </c:pt>
                <c:pt idx="2003">
                  <c:v>0.73494268771997118</c:v>
                </c:pt>
                <c:pt idx="2004">
                  <c:v>0.7351684503020679</c:v>
                </c:pt>
                <c:pt idx="2005">
                  <c:v>0.73521841081120887</c:v>
                </c:pt>
                <c:pt idx="2006">
                  <c:v>0.73521862267496529</c:v>
                </c:pt>
                <c:pt idx="2007">
                  <c:v>0.73537927514808676</c:v>
                </c:pt>
                <c:pt idx="2008">
                  <c:v>0.73559108630764325</c:v>
                </c:pt>
                <c:pt idx="2009">
                  <c:v>0.7359627706055003</c:v>
                </c:pt>
                <c:pt idx="2010">
                  <c:v>0.73610142144417146</c:v>
                </c:pt>
                <c:pt idx="2011">
                  <c:v>0.7361661011728835</c:v>
                </c:pt>
                <c:pt idx="2012">
                  <c:v>0.73649178789599912</c:v>
                </c:pt>
                <c:pt idx="2013">
                  <c:v>0.73660812496770289</c:v>
                </c:pt>
                <c:pt idx="2014">
                  <c:v>0.73673873950412727</c:v>
                </c:pt>
                <c:pt idx="2015">
                  <c:v>0.73674377032585969</c:v>
                </c:pt>
                <c:pt idx="2016">
                  <c:v>0.7369804684710427</c:v>
                </c:pt>
                <c:pt idx="2017">
                  <c:v>0.73703718761858295</c:v>
                </c:pt>
                <c:pt idx="2018">
                  <c:v>0.73715018948069788</c:v>
                </c:pt>
                <c:pt idx="2019">
                  <c:v>0.73720488828210951</c:v>
                </c:pt>
                <c:pt idx="2020">
                  <c:v>0.73740225336999488</c:v>
                </c:pt>
                <c:pt idx="2021">
                  <c:v>0.73808977393301001</c:v>
                </c:pt>
                <c:pt idx="2022">
                  <c:v>0.7384991273996504</c:v>
                </c:pt>
                <c:pt idx="2023">
                  <c:v>0.73868767962628834</c:v>
                </c:pt>
                <c:pt idx="2024">
                  <c:v>0.73873806184465318</c:v>
                </c:pt>
                <c:pt idx="2025">
                  <c:v>0.73875636595756533</c:v>
                </c:pt>
                <c:pt idx="2026">
                  <c:v>0.73904007588151444</c:v>
                </c:pt>
                <c:pt idx="2027">
                  <c:v>0.73911792738118154</c:v>
                </c:pt>
                <c:pt idx="2028">
                  <c:v>0.7394603514886996</c:v>
                </c:pt>
                <c:pt idx="2029">
                  <c:v>0.73977449983729671</c:v>
                </c:pt>
                <c:pt idx="2030">
                  <c:v>0.74045630398859741</c:v>
                </c:pt>
                <c:pt idx="2031">
                  <c:v>0.74059303528330034</c:v>
                </c:pt>
                <c:pt idx="2032">
                  <c:v>0.74149480656329902</c:v>
                </c:pt>
                <c:pt idx="2033">
                  <c:v>0.74150758884148493</c:v>
                </c:pt>
                <c:pt idx="2034">
                  <c:v>0.7417006299524479</c:v>
                </c:pt>
                <c:pt idx="2035">
                  <c:v>0.74185537309132754</c:v>
                </c:pt>
                <c:pt idx="2036">
                  <c:v>0.74196387444890366</c:v>
                </c:pt>
                <c:pt idx="2037">
                  <c:v>0.74196766425868643</c:v>
                </c:pt>
                <c:pt idx="2038">
                  <c:v>0.74204088675726554</c:v>
                </c:pt>
                <c:pt idx="2039">
                  <c:v>0.74206310965489819</c:v>
                </c:pt>
                <c:pt idx="2040">
                  <c:v>0.74213507625272235</c:v>
                </c:pt>
                <c:pt idx="2041">
                  <c:v>0.74232083486646283</c:v>
                </c:pt>
                <c:pt idx="2042">
                  <c:v>0.74251850158818256</c:v>
                </c:pt>
                <c:pt idx="2043">
                  <c:v>0.74252584873813765</c:v>
                </c:pt>
                <c:pt idx="2044">
                  <c:v>0.742873448785344</c:v>
                </c:pt>
                <c:pt idx="2045">
                  <c:v>0.74302265391374445</c:v>
                </c:pt>
                <c:pt idx="2046">
                  <c:v>0.74345912852154794</c:v>
                </c:pt>
                <c:pt idx="2047">
                  <c:v>0.74349359180924157</c:v>
                </c:pt>
                <c:pt idx="2048">
                  <c:v>0.7436334198359088</c:v>
                </c:pt>
                <c:pt idx="2049">
                  <c:v>0.74389937510357118</c:v>
                </c:pt>
                <c:pt idx="2050">
                  <c:v>0.74391091949746058</c:v>
                </c:pt>
                <c:pt idx="2051">
                  <c:v>0.74398849142160139</c:v>
                </c:pt>
                <c:pt idx="2052">
                  <c:v>0.74434636303094803</c:v>
                </c:pt>
                <c:pt idx="2053">
                  <c:v>0.74441922340406419</c:v>
                </c:pt>
                <c:pt idx="2054">
                  <c:v>0.74447738227240923</c:v>
                </c:pt>
                <c:pt idx="2055">
                  <c:v>0.74447811735983715</c:v>
                </c:pt>
                <c:pt idx="2056">
                  <c:v>0.74453088798380607</c:v>
                </c:pt>
                <c:pt idx="2057">
                  <c:v>0.74488420158223156</c:v>
                </c:pt>
                <c:pt idx="2058">
                  <c:v>0.74526295603816117</c:v>
                </c:pt>
                <c:pt idx="2059">
                  <c:v>0.74542026888067925</c:v>
                </c:pt>
                <c:pt idx="2060">
                  <c:v>0.74543478855143464</c:v>
                </c:pt>
                <c:pt idx="2061">
                  <c:v>0.74566668613580134</c:v>
                </c:pt>
                <c:pt idx="2062">
                  <c:v>0.74587204343415836</c:v>
                </c:pt>
                <c:pt idx="2063">
                  <c:v>0.74640169785838295</c:v>
                </c:pt>
                <c:pt idx="2064">
                  <c:v>0.74646444741253215</c:v>
                </c:pt>
                <c:pt idx="2065">
                  <c:v>0.74655669658499857</c:v>
                </c:pt>
                <c:pt idx="2066">
                  <c:v>0.74665135080117528</c:v>
                </c:pt>
                <c:pt idx="2067">
                  <c:v>0.74673746112350237</c:v>
                </c:pt>
                <c:pt idx="2068">
                  <c:v>0.74691513314014912</c:v>
                </c:pt>
                <c:pt idx="2069">
                  <c:v>0.74704210577673602</c:v>
                </c:pt>
                <c:pt idx="2070">
                  <c:v>0.74716077229623989</c:v>
                </c:pt>
                <c:pt idx="2071">
                  <c:v>0.74717368961973207</c:v>
                </c:pt>
                <c:pt idx="2072">
                  <c:v>0.74726488005620817</c:v>
                </c:pt>
                <c:pt idx="2073">
                  <c:v>0.74733026892798571</c:v>
                </c:pt>
                <c:pt idx="2074">
                  <c:v>0.74734302823229748</c:v>
                </c:pt>
                <c:pt idx="2075">
                  <c:v>0.74758170017969472</c:v>
                </c:pt>
                <c:pt idx="2076">
                  <c:v>0.74759649122806915</c:v>
                </c:pt>
                <c:pt idx="2077">
                  <c:v>0.74785025873843403</c:v>
                </c:pt>
                <c:pt idx="2078">
                  <c:v>0.74790320880576966</c:v>
                </c:pt>
                <c:pt idx="2079">
                  <c:v>0.74799058835371801</c:v>
                </c:pt>
                <c:pt idx="2080">
                  <c:v>0.7481355948782652</c:v>
                </c:pt>
                <c:pt idx="2081">
                  <c:v>0.74831162769774084</c:v>
                </c:pt>
                <c:pt idx="2082">
                  <c:v>0.74852285332669288</c:v>
                </c:pt>
                <c:pt idx="2083">
                  <c:v>0.74858543867897231</c:v>
                </c:pt>
                <c:pt idx="2084">
                  <c:v>0.74884326200115614</c:v>
                </c:pt>
                <c:pt idx="2085">
                  <c:v>0.74978843096490144</c:v>
                </c:pt>
                <c:pt idx="2086">
                  <c:v>0.74992436376915106</c:v>
                </c:pt>
                <c:pt idx="2087">
                  <c:v>0.75015332556956427</c:v>
                </c:pt>
                <c:pt idx="2088">
                  <c:v>0.75016183718858398</c:v>
                </c:pt>
                <c:pt idx="2089">
                  <c:v>0.75042022364164429</c:v>
                </c:pt>
                <c:pt idx="2090">
                  <c:v>0.75094232974536712</c:v>
                </c:pt>
                <c:pt idx="2091">
                  <c:v>0.75102163086486018</c:v>
                </c:pt>
                <c:pt idx="2092">
                  <c:v>0.7513077331781538</c:v>
                </c:pt>
                <c:pt idx="2093">
                  <c:v>0.75209320812469316</c:v>
                </c:pt>
                <c:pt idx="2094">
                  <c:v>0.75221752565765188</c:v>
                </c:pt>
                <c:pt idx="2095">
                  <c:v>0.75223571684511459</c:v>
                </c:pt>
                <c:pt idx="2096">
                  <c:v>0.75234620758494275</c:v>
                </c:pt>
                <c:pt idx="2097">
                  <c:v>0.75283822987132909</c:v>
                </c:pt>
                <c:pt idx="2098">
                  <c:v>0.75286478227654763</c:v>
                </c:pt>
                <c:pt idx="2099">
                  <c:v>0.75289893243432993</c:v>
                </c:pt>
                <c:pt idx="2100">
                  <c:v>0.75319899447662841</c:v>
                </c:pt>
                <c:pt idx="2101">
                  <c:v>0.75320193173644645</c:v>
                </c:pt>
                <c:pt idx="2102">
                  <c:v>0.75323076923076815</c:v>
                </c:pt>
                <c:pt idx="2103">
                  <c:v>0.75327716779707421</c:v>
                </c:pt>
                <c:pt idx="2104">
                  <c:v>0.75328615672716859</c:v>
                </c:pt>
                <c:pt idx="2105">
                  <c:v>0.75342374847260341</c:v>
                </c:pt>
                <c:pt idx="2106">
                  <c:v>0.75355504412369867</c:v>
                </c:pt>
                <c:pt idx="2107">
                  <c:v>0.75363601857885376</c:v>
                </c:pt>
                <c:pt idx="2108">
                  <c:v>0.75369940662703294</c:v>
                </c:pt>
                <c:pt idx="2109">
                  <c:v>0.75369991141641657</c:v>
                </c:pt>
                <c:pt idx="2110">
                  <c:v>0.7538686562131176</c:v>
                </c:pt>
                <c:pt idx="2111">
                  <c:v>0.75398900987076378</c:v>
                </c:pt>
                <c:pt idx="2112">
                  <c:v>0.75411145209105102</c:v>
                </c:pt>
                <c:pt idx="2113">
                  <c:v>0.75432351415230336</c:v>
                </c:pt>
                <c:pt idx="2114">
                  <c:v>0.75437141513869388</c:v>
                </c:pt>
                <c:pt idx="2115">
                  <c:v>0.7545047691795439</c:v>
                </c:pt>
                <c:pt idx="2116">
                  <c:v>0.75484458198698301</c:v>
                </c:pt>
                <c:pt idx="2117">
                  <c:v>0.75486302393611437</c:v>
                </c:pt>
                <c:pt idx="2118">
                  <c:v>0.75488673969740661</c:v>
                </c:pt>
                <c:pt idx="2119">
                  <c:v>0.75510803136740534</c:v>
                </c:pt>
                <c:pt idx="2120">
                  <c:v>0.75633772525375498</c:v>
                </c:pt>
                <c:pt idx="2121">
                  <c:v>0.75635408317748754</c:v>
                </c:pt>
                <c:pt idx="2122">
                  <c:v>0.7564475298384683</c:v>
                </c:pt>
                <c:pt idx="2123">
                  <c:v>0.75679614777595228</c:v>
                </c:pt>
                <c:pt idx="2124">
                  <c:v>0.75704271722132221</c:v>
                </c:pt>
                <c:pt idx="2125">
                  <c:v>0.75722663909641696</c:v>
                </c:pt>
                <c:pt idx="2126">
                  <c:v>0.75726341016958199</c:v>
                </c:pt>
                <c:pt idx="2127">
                  <c:v>0.75727181751378658</c:v>
                </c:pt>
                <c:pt idx="2128">
                  <c:v>0.75764005755957198</c:v>
                </c:pt>
                <c:pt idx="2129">
                  <c:v>0.75794827085149608</c:v>
                </c:pt>
                <c:pt idx="2130">
                  <c:v>0.75824755588095927</c:v>
                </c:pt>
                <c:pt idx="2131">
                  <c:v>0.7582499409030018</c:v>
                </c:pt>
                <c:pt idx="2132">
                  <c:v>0.75876807808174995</c:v>
                </c:pt>
                <c:pt idx="2133">
                  <c:v>0.75887001023541367</c:v>
                </c:pt>
                <c:pt idx="2134">
                  <c:v>0.75914466446644568</c:v>
                </c:pt>
                <c:pt idx="2135">
                  <c:v>0.75977010294572955</c:v>
                </c:pt>
                <c:pt idx="2136">
                  <c:v>0.76014654403847159</c:v>
                </c:pt>
                <c:pt idx="2137">
                  <c:v>0.76020239999023476</c:v>
                </c:pt>
                <c:pt idx="2138">
                  <c:v>0.76034231593559098</c:v>
                </c:pt>
                <c:pt idx="2139">
                  <c:v>0.76084110620193024</c:v>
                </c:pt>
                <c:pt idx="2140">
                  <c:v>0.76092996052054351</c:v>
                </c:pt>
                <c:pt idx="2141">
                  <c:v>0.760938256572389</c:v>
                </c:pt>
                <c:pt idx="2142">
                  <c:v>0.76129355786723774</c:v>
                </c:pt>
                <c:pt idx="2143">
                  <c:v>0.76181178753334977</c:v>
                </c:pt>
                <c:pt idx="2144">
                  <c:v>0.76185265143055592</c:v>
                </c:pt>
                <c:pt idx="2145">
                  <c:v>0.76196756691945677</c:v>
                </c:pt>
                <c:pt idx="2146">
                  <c:v>0.76205115359361741</c:v>
                </c:pt>
                <c:pt idx="2147">
                  <c:v>0.7623406341941813</c:v>
                </c:pt>
                <c:pt idx="2148">
                  <c:v>0.76242871716195093</c:v>
                </c:pt>
                <c:pt idx="2149">
                  <c:v>0.76272984441301306</c:v>
                </c:pt>
                <c:pt idx="2150">
                  <c:v>0.76289183967009133</c:v>
                </c:pt>
                <c:pt idx="2151">
                  <c:v>0.76321353065539144</c:v>
                </c:pt>
                <c:pt idx="2152">
                  <c:v>0.76324406481091844</c:v>
                </c:pt>
                <c:pt idx="2153">
                  <c:v>0.76334370427197495</c:v>
                </c:pt>
                <c:pt idx="2154">
                  <c:v>0.76340584064415484</c:v>
                </c:pt>
                <c:pt idx="2155">
                  <c:v>0.76363846509477551</c:v>
                </c:pt>
                <c:pt idx="2156">
                  <c:v>0.76371578743825519</c:v>
                </c:pt>
                <c:pt idx="2157">
                  <c:v>0.7639595139014691</c:v>
                </c:pt>
                <c:pt idx="2158">
                  <c:v>0.76396393272733343</c:v>
                </c:pt>
                <c:pt idx="2159">
                  <c:v>0.76419916152727507</c:v>
                </c:pt>
                <c:pt idx="2160">
                  <c:v>0.76463446618780462</c:v>
                </c:pt>
                <c:pt idx="2161">
                  <c:v>0.76463599615625877</c:v>
                </c:pt>
                <c:pt idx="2162">
                  <c:v>0.76466237550533112</c:v>
                </c:pt>
                <c:pt idx="2163">
                  <c:v>0.76470543255513268</c:v>
                </c:pt>
                <c:pt idx="2164">
                  <c:v>0.76489854838613536</c:v>
                </c:pt>
                <c:pt idx="2165">
                  <c:v>0.76545604969295844</c:v>
                </c:pt>
                <c:pt idx="2166">
                  <c:v>0.76562965982599673</c:v>
                </c:pt>
                <c:pt idx="2167">
                  <c:v>0.76584501396612636</c:v>
                </c:pt>
                <c:pt idx="2168">
                  <c:v>0.76598740324809655</c:v>
                </c:pt>
                <c:pt idx="2169">
                  <c:v>0.76653707459995468</c:v>
                </c:pt>
                <c:pt idx="2170">
                  <c:v>0.76664544260661982</c:v>
                </c:pt>
                <c:pt idx="2171">
                  <c:v>0.76680782853382967</c:v>
                </c:pt>
                <c:pt idx="2172">
                  <c:v>0.76711686611652075</c:v>
                </c:pt>
                <c:pt idx="2173">
                  <c:v>0.76719565398285705</c:v>
                </c:pt>
                <c:pt idx="2174">
                  <c:v>0.76724975350667035</c:v>
                </c:pt>
                <c:pt idx="2175">
                  <c:v>0.76726080867673829</c:v>
                </c:pt>
                <c:pt idx="2176">
                  <c:v>0.76729423422307452</c:v>
                </c:pt>
                <c:pt idx="2177">
                  <c:v>0.76738801488518604</c:v>
                </c:pt>
                <c:pt idx="2178">
                  <c:v>0.76739943998489657</c:v>
                </c:pt>
                <c:pt idx="2179">
                  <c:v>0.76742804447675927</c:v>
                </c:pt>
                <c:pt idx="2180">
                  <c:v>0.76754385964912297</c:v>
                </c:pt>
                <c:pt idx="2181">
                  <c:v>0.7675587413494307</c:v>
                </c:pt>
                <c:pt idx="2182">
                  <c:v>0.76762566417738876</c:v>
                </c:pt>
                <c:pt idx="2183">
                  <c:v>0.76783857390443044</c:v>
                </c:pt>
                <c:pt idx="2184">
                  <c:v>0.76826358826358798</c:v>
                </c:pt>
                <c:pt idx="2185">
                  <c:v>0.76838462689769993</c:v>
                </c:pt>
                <c:pt idx="2186">
                  <c:v>0.76850409037787271</c:v>
                </c:pt>
                <c:pt idx="2187">
                  <c:v>0.76862909128934431</c:v>
                </c:pt>
                <c:pt idx="2188">
                  <c:v>0.76890903817679435</c:v>
                </c:pt>
                <c:pt idx="2189">
                  <c:v>0.76918634699969424</c:v>
                </c:pt>
                <c:pt idx="2190">
                  <c:v>0.76934004331762074</c:v>
                </c:pt>
                <c:pt idx="2191">
                  <c:v>0.76942291227655468</c:v>
                </c:pt>
                <c:pt idx="2192">
                  <c:v>0.76943400898261638</c:v>
                </c:pt>
                <c:pt idx="2193">
                  <c:v>0.76974191121784807</c:v>
                </c:pt>
                <c:pt idx="2194">
                  <c:v>0.76974496415727434</c:v>
                </c:pt>
                <c:pt idx="2195">
                  <c:v>0.76990076859467016</c:v>
                </c:pt>
                <c:pt idx="2196">
                  <c:v>0.76999999999999991</c:v>
                </c:pt>
                <c:pt idx="2197">
                  <c:v>0.77005498450996035</c:v>
                </c:pt>
                <c:pt idx="2198">
                  <c:v>0.7701319751954423</c:v>
                </c:pt>
                <c:pt idx="2199">
                  <c:v>0.77088100686498817</c:v>
                </c:pt>
                <c:pt idx="2200">
                  <c:v>0.77139639639639623</c:v>
                </c:pt>
                <c:pt idx="2201">
                  <c:v>0.77149976061455272</c:v>
                </c:pt>
                <c:pt idx="2202">
                  <c:v>0.77152777777777737</c:v>
                </c:pt>
                <c:pt idx="2203">
                  <c:v>0.77156848862456262</c:v>
                </c:pt>
                <c:pt idx="2204">
                  <c:v>0.77172124621835314</c:v>
                </c:pt>
                <c:pt idx="2205">
                  <c:v>0.77216108704093911</c:v>
                </c:pt>
                <c:pt idx="2206">
                  <c:v>0.77230414746543818</c:v>
                </c:pt>
                <c:pt idx="2207">
                  <c:v>0.7723948628558831</c:v>
                </c:pt>
                <c:pt idx="2208">
                  <c:v>0.77247106838708124</c:v>
                </c:pt>
                <c:pt idx="2209">
                  <c:v>0.7726273588166177</c:v>
                </c:pt>
                <c:pt idx="2210">
                  <c:v>0.77311731320866239</c:v>
                </c:pt>
                <c:pt idx="2211">
                  <c:v>0.77315883673642261</c:v>
                </c:pt>
                <c:pt idx="2212">
                  <c:v>0.77447409376805232</c:v>
                </c:pt>
                <c:pt idx="2213">
                  <c:v>0.7744844995937854</c:v>
                </c:pt>
                <c:pt idx="2214">
                  <c:v>0.77458265617601907</c:v>
                </c:pt>
                <c:pt idx="2215">
                  <c:v>0.77462756416047895</c:v>
                </c:pt>
                <c:pt idx="2216">
                  <c:v>0.77509293680297442</c:v>
                </c:pt>
                <c:pt idx="2217">
                  <c:v>0.77515451174289218</c:v>
                </c:pt>
                <c:pt idx="2218">
                  <c:v>0.77517988586551945</c:v>
                </c:pt>
                <c:pt idx="2219">
                  <c:v>0.77561581569315463</c:v>
                </c:pt>
                <c:pt idx="2220">
                  <c:v>0.7756585949346817</c:v>
                </c:pt>
                <c:pt idx="2221">
                  <c:v>0.77584409335151161</c:v>
                </c:pt>
                <c:pt idx="2222">
                  <c:v>0.7761791548431618</c:v>
                </c:pt>
                <c:pt idx="2223">
                  <c:v>0.77638103219498578</c:v>
                </c:pt>
                <c:pt idx="2224">
                  <c:v>0.77640434682688231</c:v>
                </c:pt>
                <c:pt idx="2225">
                  <c:v>0.77739827272784412</c:v>
                </c:pt>
                <c:pt idx="2226">
                  <c:v>0.77775595238095263</c:v>
                </c:pt>
                <c:pt idx="2227">
                  <c:v>0.7778305768709004</c:v>
                </c:pt>
                <c:pt idx="2228">
                  <c:v>0.77808819177271449</c:v>
                </c:pt>
                <c:pt idx="2229">
                  <c:v>0.77816202427951287</c:v>
                </c:pt>
                <c:pt idx="2230">
                  <c:v>0.77826342968009654</c:v>
                </c:pt>
                <c:pt idx="2231">
                  <c:v>0.77858327168839114</c:v>
                </c:pt>
                <c:pt idx="2232">
                  <c:v>0.77894969666329672</c:v>
                </c:pt>
                <c:pt idx="2233">
                  <c:v>0.77931609674728897</c:v>
                </c:pt>
                <c:pt idx="2234">
                  <c:v>0.77967079585949373</c:v>
                </c:pt>
                <c:pt idx="2235">
                  <c:v>0.77968472573717174</c:v>
                </c:pt>
                <c:pt idx="2236">
                  <c:v>0.7798635002282418</c:v>
                </c:pt>
                <c:pt idx="2237">
                  <c:v>0.78129606802344553</c:v>
                </c:pt>
                <c:pt idx="2238">
                  <c:v>0.78147811438808479</c:v>
                </c:pt>
                <c:pt idx="2239">
                  <c:v>0.78200281950055384</c:v>
                </c:pt>
                <c:pt idx="2240">
                  <c:v>0.78240347515769337</c:v>
                </c:pt>
                <c:pt idx="2241">
                  <c:v>0.78249345244628699</c:v>
                </c:pt>
                <c:pt idx="2242">
                  <c:v>0.782617880045266</c:v>
                </c:pt>
                <c:pt idx="2243">
                  <c:v>0.78291917133501965</c:v>
                </c:pt>
                <c:pt idx="2244">
                  <c:v>0.78299170612043001</c:v>
                </c:pt>
                <c:pt idx="2245">
                  <c:v>0.78328987343329171</c:v>
                </c:pt>
                <c:pt idx="2246">
                  <c:v>0.78359746320277746</c:v>
                </c:pt>
                <c:pt idx="2247">
                  <c:v>0.78460510597892685</c:v>
                </c:pt>
                <c:pt idx="2248">
                  <c:v>0.7846564464450615</c:v>
                </c:pt>
                <c:pt idx="2249">
                  <c:v>0.78523376280954449</c:v>
                </c:pt>
                <c:pt idx="2250">
                  <c:v>0.78634166907396041</c:v>
                </c:pt>
                <c:pt idx="2251">
                  <c:v>0.78636293534369428</c:v>
                </c:pt>
                <c:pt idx="2252">
                  <c:v>0.78723906779406294</c:v>
                </c:pt>
                <c:pt idx="2253">
                  <c:v>0.78801046524855001</c:v>
                </c:pt>
                <c:pt idx="2254">
                  <c:v>0.78827471614511313</c:v>
                </c:pt>
                <c:pt idx="2255">
                  <c:v>0.78843144336102078</c:v>
                </c:pt>
                <c:pt idx="2256">
                  <c:v>0.78845920116281065</c:v>
                </c:pt>
                <c:pt idx="2257">
                  <c:v>0.78846926981255405</c:v>
                </c:pt>
                <c:pt idx="2258">
                  <c:v>0.78862761792469671</c:v>
                </c:pt>
                <c:pt idx="2259">
                  <c:v>0.7894809592922799</c:v>
                </c:pt>
                <c:pt idx="2260">
                  <c:v>0.78952771569010771</c:v>
                </c:pt>
                <c:pt idx="2261">
                  <c:v>0.79023835506289175</c:v>
                </c:pt>
                <c:pt idx="2262">
                  <c:v>0.79030100744849296</c:v>
                </c:pt>
                <c:pt idx="2263">
                  <c:v>0.79040557441486525</c:v>
                </c:pt>
                <c:pt idx="2264">
                  <c:v>0.7906955911019371</c:v>
                </c:pt>
                <c:pt idx="2265">
                  <c:v>0.79138247102017456</c:v>
                </c:pt>
                <c:pt idx="2266">
                  <c:v>0.79158527954706348</c:v>
                </c:pt>
                <c:pt idx="2267">
                  <c:v>0.79160515533003517</c:v>
                </c:pt>
                <c:pt idx="2268">
                  <c:v>0.79216240625122636</c:v>
                </c:pt>
                <c:pt idx="2269">
                  <c:v>0.7921994134897361</c:v>
                </c:pt>
                <c:pt idx="2270">
                  <c:v>0.79222972972972916</c:v>
                </c:pt>
                <c:pt idx="2271">
                  <c:v>0.79240119829473377</c:v>
                </c:pt>
                <c:pt idx="2272">
                  <c:v>0.79328507438131457</c:v>
                </c:pt>
                <c:pt idx="2273">
                  <c:v>0.79334217897685433</c:v>
                </c:pt>
                <c:pt idx="2274">
                  <c:v>0.79414208558371457</c:v>
                </c:pt>
                <c:pt idx="2275">
                  <c:v>0.79534736794602778</c:v>
                </c:pt>
                <c:pt idx="2276">
                  <c:v>0.79577942747107699</c:v>
                </c:pt>
                <c:pt idx="2277">
                  <c:v>0.79613095238095311</c:v>
                </c:pt>
                <c:pt idx="2278">
                  <c:v>0.79736376155813438</c:v>
                </c:pt>
                <c:pt idx="2279">
                  <c:v>0.79773224833739487</c:v>
                </c:pt>
                <c:pt idx="2280">
                  <c:v>0.7982812001576195</c:v>
                </c:pt>
                <c:pt idx="2281">
                  <c:v>0.79883336774726277</c:v>
                </c:pt>
                <c:pt idx="2282">
                  <c:v>0.79987706357569366</c:v>
                </c:pt>
                <c:pt idx="2283">
                  <c:v>0.80141889712995729</c:v>
                </c:pt>
                <c:pt idx="2284">
                  <c:v>0.80297211867638263</c:v>
                </c:pt>
                <c:pt idx="2285">
                  <c:v>0.80412929660823984</c:v>
                </c:pt>
                <c:pt idx="2286">
                  <c:v>0.80460947366167934</c:v>
                </c:pt>
                <c:pt idx="2287">
                  <c:v>0.80466908237889456</c:v>
                </c:pt>
                <c:pt idx="2288">
                  <c:v>0.80524347214081748</c:v>
                </c:pt>
                <c:pt idx="2289">
                  <c:v>0.80544552040276396</c:v>
                </c:pt>
                <c:pt idx="2290">
                  <c:v>0.80617464377055126</c:v>
                </c:pt>
                <c:pt idx="2291">
                  <c:v>0.80880457102866576</c:v>
                </c:pt>
                <c:pt idx="2292">
                  <c:v>0.80919397278888017</c:v>
                </c:pt>
                <c:pt idx="2293">
                  <c:v>0.81039272271919349</c:v>
                </c:pt>
                <c:pt idx="2294">
                  <c:v>0.81093600843141533</c:v>
                </c:pt>
                <c:pt idx="2295">
                  <c:v>0.81141627730833232</c:v>
                </c:pt>
                <c:pt idx="2296">
                  <c:v>0.81359947093431606</c:v>
                </c:pt>
                <c:pt idx="2297">
                  <c:v>0.81724709819492691</c:v>
                </c:pt>
                <c:pt idx="2298">
                  <c:v>0.8182125080471685</c:v>
                </c:pt>
                <c:pt idx="2299">
                  <c:v>0.81847661473366196</c:v>
                </c:pt>
                <c:pt idx="2300">
                  <c:v>0.82033158813263596</c:v>
                </c:pt>
                <c:pt idx="2301">
                  <c:v>0.8227480399878373</c:v>
                </c:pt>
                <c:pt idx="2302">
                  <c:v>0.82331999343525497</c:v>
                </c:pt>
                <c:pt idx="2303">
                  <c:v>0.82554600835591085</c:v>
                </c:pt>
                <c:pt idx="2304">
                  <c:v>0.82585651717969266</c:v>
                </c:pt>
                <c:pt idx="2305">
                  <c:v>0.82616451509655375</c:v>
                </c:pt>
                <c:pt idx="2306">
                  <c:v>0.8284169124877091</c:v>
                </c:pt>
                <c:pt idx="2307">
                  <c:v>0.83135940970522926</c:v>
                </c:pt>
                <c:pt idx="2308">
                  <c:v>0.83416258717181391</c:v>
                </c:pt>
                <c:pt idx="2309">
                  <c:v>0.83664954624873877</c:v>
                </c:pt>
                <c:pt idx="2310">
                  <c:v>0.84309504004175317</c:v>
                </c:pt>
                <c:pt idx="2311">
                  <c:v>0.86489100318887613</c:v>
                </c:pt>
                <c:pt idx="2312">
                  <c:v>0.87137607186606891</c:v>
                </c:pt>
              </c:numCache>
            </c:numRef>
          </c:yVal>
          <c:smooth val="0"/>
          <c:extLst>
            <c:ext xmlns:c16="http://schemas.microsoft.com/office/drawing/2014/chart" uri="{C3380CC4-5D6E-409C-BE32-E72D297353CC}">
              <c16:uniqueId val="{00000001-538E-45C0-9566-83155F10FEF1}"/>
            </c:ext>
          </c:extLst>
        </c:ser>
        <c:ser>
          <c:idx val="2"/>
          <c:order val="2"/>
          <c:tx>
            <c:strRef>
              <c:f>'Pasted values for chart'!$L$2</c:f>
              <c:strCache>
                <c:ptCount val="1"/>
                <c:pt idx="0">
                  <c:v>Regional</c:v>
                </c:pt>
              </c:strCache>
            </c:strRef>
          </c:tx>
          <c:spPr>
            <a:ln w="25400" cap="rnd">
              <a:noFill/>
              <a:round/>
            </a:ln>
            <a:effectLst/>
          </c:spPr>
          <c:marker>
            <c:symbol val="circle"/>
            <c:size val="5"/>
            <c:spPr>
              <a:solidFill>
                <a:srgbClr val="012749"/>
              </a:solidFill>
              <a:ln w="9525">
                <a:noFill/>
              </a:ln>
              <a:effectLst/>
            </c:spPr>
          </c:marker>
          <c:xVal>
            <c:numRef>
              <c:f>'Pasted values for chart'!$L$3:$L$2315</c:f>
              <c:numCache>
                <c:formatCode>General</c:formatCode>
                <c:ptCount val="2313"/>
                <c:pt idx="244">
                  <c:v>2022.6112444236871</c:v>
                </c:pt>
                <c:pt idx="302">
                  <c:v>87.247031678123363</c:v>
                </c:pt>
                <c:pt idx="379">
                  <c:v>1347.6267928434127</c:v>
                </c:pt>
                <c:pt idx="388">
                  <c:v>1024.5629983144897</c:v>
                </c:pt>
                <c:pt idx="427">
                  <c:v>274.75607824602599</c:v>
                </c:pt>
                <c:pt idx="448">
                  <c:v>979.98982122516907</c:v>
                </c:pt>
                <c:pt idx="463">
                  <c:v>2.0389417828691734</c:v>
                </c:pt>
                <c:pt idx="498">
                  <c:v>159.23069843010296</c:v>
                </c:pt>
                <c:pt idx="505">
                  <c:v>135.18553159750314</c:v>
                </c:pt>
                <c:pt idx="531">
                  <c:v>240.27913574065269</c:v>
                </c:pt>
                <c:pt idx="539">
                  <c:v>542.79416157641549</c:v>
                </c:pt>
                <c:pt idx="548">
                  <c:v>928.13254061046302</c:v>
                </c:pt>
                <c:pt idx="563">
                  <c:v>286.87759142355537</c:v>
                </c:pt>
                <c:pt idx="567">
                  <c:v>1161.6145500957241</c:v>
                </c:pt>
                <c:pt idx="572">
                  <c:v>932.44508146371413</c:v>
                </c:pt>
                <c:pt idx="581">
                  <c:v>715.82758333396464</c:v>
                </c:pt>
                <c:pt idx="591">
                  <c:v>10.79871266920436</c:v>
                </c:pt>
                <c:pt idx="601">
                  <c:v>2.0899679235766677</c:v>
                </c:pt>
                <c:pt idx="609">
                  <c:v>390.22057791857748</c:v>
                </c:pt>
                <c:pt idx="616">
                  <c:v>245.19542215504205</c:v>
                </c:pt>
                <c:pt idx="619">
                  <c:v>2.2367475261635734</c:v>
                </c:pt>
                <c:pt idx="621">
                  <c:v>1657.4562269151606</c:v>
                </c:pt>
                <c:pt idx="622">
                  <c:v>493.53328799300465</c:v>
                </c:pt>
                <c:pt idx="624">
                  <c:v>37.302450606955574</c:v>
                </c:pt>
                <c:pt idx="627">
                  <c:v>3.9834742598374113</c:v>
                </c:pt>
                <c:pt idx="634">
                  <c:v>201.4303702802361</c:v>
                </c:pt>
                <c:pt idx="637">
                  <c:v>705.25306987471174</c:v>
                </c:pt>
                <c:pt idx="646">
                  <c:v>335.49359636316154</c:v>
                </c:pt>
                <c:pt idx="657">
                  <c:v>99.686666480912479</c:v>
                </c:pt>
                <c:pt idx="679">
                  <c:v>515.26263682169906</c:v>
                </c:pt>
                <c:pt idx="683">
                  <c:v>29.406668846888881</c:v>
                </c:pt>
                <c:pt idx="693">
                  <c:v>2378.4124317513647</c:v>
                </c:pt>
                <c:pt idx="702">
                  <c:v>12.792297635638617</c:v>
                </c:pt>
                <c:pt idx="703">
                  <c:v>815.79576532605597</c:v>
                </c:pt>
                <c:pt idx="705">
                  <c:v>1470.0721797875581</c:v>
                </c:pt>
                <c:pt idx="707">
                  <c:v>1207.0633419483388</c:v>
                </c:pt>
                <c:pt idx="713">
                  <c:v>5.4296581195487477</c:v>
                </c:pt>
                <c:pt idx="719">
                  <c:v>1018.8179947074391</c:v>
                </c:pt>
                <c:pt idx="725">
                  <c:v>2.6575655119449335</c:v>
                </c:pt>
                <c:pt idx="726">
                  <c:v>303.13091606366925</c:v>
                </c:pt>
                <c:pt idx="727">
                  <c:v>218.67639300268777</c:v>
                </c:pt>
                <c:pt idx="735">
                  <c:v>53.529977490470557</c:v>
                </c:pt>
                <c:pt idx="746">
                  <c:v>514.60721941013855</c:v>
                </c:pt>
                <c:pt idx="748">
                  <c:v>243.7245679860487</c:v>
                </c:pt>
                <c:pt idx="751">
                  <c:v>1298.2940127786383</c:v>
                </c:pt>
                <c:pt idx="757">
                  <c:v>217.22149017256208</c:v>
                </c:pt>
                <c:pt idx="768">
                  <c:v>538.90886315797809</c:v>
                </c:pt>
                <c:pt idx="776">
                  <c:v>168.38888133800103</c:v>
                </c:pt>
                <c:pt idx="781">
                  <c:v>33.184743075631815</c:v>
                </c:pt>
                <c:pt idx="788">
                  <c:v>137.17385662766682</c:v>
                </c:pt>
                <c:pt idx="804">
                  <c:v>0.10230892253528803</c:v>
                </c:pt>
                <c:pt idx="805">
                  <c:v>761.16783156519705</c:v>
                </c:pt>
                <c:pt idx="806">
                  <c:v>899.74553235787414</c:v>
                </c:pt>
                <c:pt idx="829">
                  <c:v>549.41453252397537</c:v>
                </c:pt>
                <c:pt idx="832">
                  <c:v>169.66786240823652</c:v>
                </c:pt>
                <c:pt idx="833">
                  <c:v>1478.8197646037859</c:v>
                </c:pt>
                <c:pt idx="834">
                  <c:v>365.13104173027625</c:v>
                </c:pt>
                <c:pt idx="838">
                  <c:v>420.68601256577364</c:v>
                </c:pt>
                <c:pt idx="840">
                  <c:v>385.44693892949044</c:v>
                </c:pt>
                <c:pt idx="841">
                  <c:v>389.67331118493911</c:v>
                </c:pt>
                <c:pt idx="856">
                  <c:v>847.67221346723989</c:v>
                </c:pt>
                <c:pt idx="869">
                  <c:v>45.106538308089121</c:v>
                </c:pt>
                <c:pt idx="870">
                  <c:v>495.77592327718384</c:v>
                </c:pt>
                <c:pt idx="872">
                  <c:v>319.26982844155572</c:v>
                </c:pt>
                <c:pt idx="883">
                  <c:v>177.83532854205885</c:v>
                </c:pt>
                <c:pt idx="884">
                  <c:v>0.53925489909030644</c:v>
                </c:pt>
                <c:pt idx="903">
                  <c:v>37.499799403212762</c:v>
                </c:pt>
                <c:pt idx="904">
                  <c:v>229.99259385058477</c:v>
                </c:pt>
                <c:pt idx="915">
                  <c:v>1061.2481711316282</c:v>
                </c:pt>
                <c:pt idx="918">
                  <c:v>36.745848373667897</c:v>
                </c:pt>
                <c:pt idx="927">
                  <c:v>48.424020034289754</c:v>
                </c:pt>
                <c:pt idx="936">
                  <c:v>335.55325060358797</c:v>
                </c:pt>
                <c:pt idx="946">
                  <c:v>140.79537854629694</c:v>
                </c:pt>
                <c:pt idx="947">
                  <c:v>313.14347050962203</c:v>
                </c:pt>
                <c:pt idx="955">
                  <c:v>229.43417615932856</c:v>
                </c:pt>
                <c:pt idx="958">
                  <c:v>434.83010067015027</c:v>
                </c:pt>
                <c:pt idx="961">
                  <c:v>359.14828444134002</c:v>
                </c:pt>
                <c:pt idx="964">
                  <c:v>0.9615027407094684</c:v>
                </c:pt>
                <c:pt idx="966">
                  <c:v>765.36054736069673</c:v>
                </c:pt>
                <c:pt idx="981">
                  <c:v>232.21823900747796</c:v>
                </c:pt>
                <c:pt idx="984">
                  <c:v>1746.2718824292197</c:v>
                </c:pt>
                <c:pt idx="989">
                  <c:v>408.81809396246246</c:v>
                </c:pt>
                <c:pt idx="990">
                  <c:v>174.47077239677563</c:v>
                </c:pt>
                <c:pt idx="991">
                  <c:v>0.92713287420037982</c:v>
                </c:pt>
                <c:pt idx="993">
                  <c:v>47.778351069759559</c:v>
                </c:pt>
                <c:pt idx="995">
                  <c:v>189.98762722860553</c:v>
                </c:pt>
                <c:pt idx="1004">
                  <c:v>110.9607082449705</c:v>
                </c:pt>
                <c:pt idx="1012">
                  <c:v>18.988671308741203</c:v>
                </c:pt>
                <c:pt idx="1017">
                  <c:v>344.99406080898041</c:v>
                </c:pt>
                <c:pt idx="1018">
                  <c:v>6.3021784481242511</c:v>
                </c:pt>
                <c:pt idx="1022">
                  <c:v>297.06541765632977</c:v>
                </c:pt>
                <c:pt idx="1027">
                  <c:v>75.854845500707455</c:v>
                </c:pt>
                <c:pt idx="1029">
                  <c:v>175.71242757479015</c:v>
                </c:pt>
                <c:pt idx="1034">
                  <c:v>2.1429886920103671</c:v>
                </c:pt>
                <c:pt idx="1036">
                  <c:v>0.30850336532063194</c:v>
                </c:pt>
                <c:pt idx="1039">
                  <c:v>313.0661011899806</c:v>
                </c:pt>
                <c:pt idx="1042">
                  <c:v>209.03185144733936</c:v>
                </c:pt>
                <c:pt idx="1045">
                  <c:v>6.0957884339625794</c:v>
                </c:pt>
                <c:pt idx="1050">
                  <c:v>0.31163151649170201</c:v>
                </c:pt>
                <c:pt idx="1052">
                  <c:v>1051.2475612268395</c:v>
                </c:pt>
                <c:pt idx="1054">
                  <c:v>1727.9505210539692</c:v>
                </c:pt>
                <c:pt idx="1055">
                  <c:v>168.88775929398182</c:v>
                </c:pt>
                <c:pt idx="1057">
                  <c:v>0.38389795050170938</c:v>
                </c:pt>
                <c:pt idx="1068">
                  <c:v>2.1230506610944953</c:v>
                </c:pt>
                <c:pt idx="1073">
                  <c:v>181.32074459524702</c:v>
                </c:pt>
                <c:pt idx="1074">
                  <c:v>0.35299239166279256</c:v>
                </c:pt>
                <c:pt idx="1079">
                  <c:v>875.55586276813892</c:v>
                </c:pt>
                <c:pt idx="1094">
                  <c:v>1065.4914081479501</c:v>
                </c:pt>
                <c:pt idx="1096">
                  <c:v>292.23920404774674</c:v>
                </c:pt>
                <c:pt idx="1097">
                  <c:v>503.59337840017906</c:v>
                </c:pt>
                <c:pt idx="1099">
                  <c:v>148.20328430734526</c:v>
                </c:pt>
                <c:pt idx="1100">
                  <c:v>0.37201550398334154</c:v>
                </c:pt>
                <c:pt idx="1107">
                  <c:v>1746.5233316458709</c:v>
                </c:pt>
                <c:pt idx="1112">
                  <c:v>131.45884676341973</c:v>
                </c:pt>
                <c:pt idx="1116">
                  <c:v>101.28280804972535</c:v>
                </c:pt>
                <c:pt idx="1119">
                  <c:v>1450.849801652291</c:v>
                </c:pt>
                <c:pt idx="1146">
                  <c:v>2774.043201577485</c:v>
                </c:pt>
                <c:pt idx="1147">
                  <c:v>118.18429311841545</c:v>
                </c:pt>
                <c:pt idx="1152">
                  <c:v>217.82300765756997</c:v>
                </c:pt>
                <c:pt idx="1155">
                  <c:v>1083.1298231903877</c:v>
                </c:pt>
                <c:pt idx="1158">
                  <c:v>379.24567618253803</c:v>
                </c:pt>
                <c:pt idx="1159">
                  <c:v>670.6959819914274</c:v>
                </c:pt>
                <c:pt idx="1163">
                  <c:v>222.23664657419999</c:v>
                </c:pt>
                <c:pt idx="1166">
                  <c:v>2.0283125079023621</c:v>
                </c:pt>
                <c:pt idx="1168">
                  <c:v>0.75011571233764851</c:v>
                </c:pt>
                <c:pt idx="1169">
                  <c:v>150.53514176962102</c:v>
                </c:pt>
                <c:pt idx="1173">
                  <c:v>0.32949414393625409</c:v>
                </c:pt>
                <c:pt idx="1177">
                  <c:v>204.77068093270927</c:v>
                </c:pt>
                <c:pt idx="1178">
                  <c:v>7.2487274487244351</c:v>
                </c:pt>
                <c:pt idx="1182">
                  <c:v>535.82425516553019</c:v>
                </c:pt>
                <c:pt idx="1187">
                  <c:v>1442.3586612805932</c:v>
                </c:pt>
                <c:pt idx="1190">
                  <c:v>368.58899160058183</c:v>
                </c:pt>
                <c:pt idx="1199">
                  <c:v>2.4219064092226956</c:v>
                </c:pt>
                <c:pt idx="1201">
                  <c:v>13.432773921675187</c:v>
                </c:pt>
                <c:pt idx="1203">
                  <c:v>65.455332244304088</c:v>
                </c:pt>
                <c:pt idx="1207">
                  <c:v>168.76197176566535</c:v>
                </c:pt>
                <c:pt idx="1210">
                  <c:v>161.29258671757657</c:v>
                </c:pt>
                <c:pt idx="1217">
                  <c:v>0.29170744110326069</c:v>
                </c:pt>
                <c:pt idx="1218">
                  <c:v>220.1393313944175</c:v>
                </c:pt>
                <c:pt idx="1222">
                  <c:v>250.58255583269789</c:v>
                </c:pt>
                <c:pt idx="1223">
                  <c:v>1598.3558300596221</c:v>
                </c:pt>
                <c:pt idx="1228">
                  <c:v>232.81519483176942</c:v>
                </c:pt>
                <c:pt idx="1229">
                  <c:v>74.436500961926697</c:v>
                </c:pt>
                <c:pt idx="1232">
                  <c:v>3.0906191797537397</c:v>
                </c:pt>
                <c:pt idx="1236">
                  <c:v>1.1257327293351391</c:v>
                </c:pt>
                <c:pt idx="1244">
                  <c:v>0.18295478035065654</c:v>
                </c:pt>
                <c:pt idx="1246">
                  <c:v>1810.228195183548</c:v>
                </c:pt>
                <c:pt idx="1260">
                  <c:v>496.84789744367941</c:v>
                </c:pt>
                <c:pt idx="1263">
                  <c:v>2.6767637910490789</c:v>
                </c:pt>
                <c:pt idx="1268">
                  <c:v>48.358223888842971</c:v>
                </c:pt>
                <c:pt idx="1272">
                  <c:v>435.84818175796499</c:v>
                </c:pt>
                <c:pt idx="1281">
                  <c:v>3.3636155922874171</c:v>
                </c:pt>
                <c:pt idx="1282">
                  <c:v>391.24133274041861</c:v>
                </c:pt>
                <c:pt idx="1283">
                  <c:v>1478.8181960293887</c:v>
                </c:pt>
                <c:pt idx="1285">
                  <c:v>24.683239263437851</c:v>
                </c:pt>
                <c:pt idx="1286">
                  <c:v>623.56890596499397</c:v>
                </c:pt>
                <c:pt idx="1287">
                  <c:v>639.67684954280969</c:v>
                </c:pt>
                <c:pt idx="1289">
                  <c:v>39.128920412266673</c:v>
                </c:pt>
                <c:pt idx="1292">
                  <c:v>11.408859868217871</c:v>
                </c:pt>
                <c:pt idx="1294">
                  <c:v>312.46432303787674</c:v>
                </c:pt>
                <c:pt idx="1312">
                  <c:v>97.900053615384266</c:v>
                </c:pt>
                <c:pt idx="1313">
                  <c:v>730.00419248148353</c:v>
                </c:pt>
                <c:pt idx="1319">
                  <c:v>1363.9463514435097</c:v>
                </c:pt>
                <c:pt idx="1325">
                  <c:v>1449.3936919773807</c:v>
                </c:pt>
                <c:pt idx="1327">
                  <c:v>1.1777230599240798</c:v>
                </c:pt>
                <c:pt idx="1339">
                  <c:v>168.82276767802017</c:v>
                </c:pt>
                <c:pt idx="1340">
                  <c:v>80.228084082434506</c:v>
                </c:pt>
                <c:pt idx="1343">
                  <c:v>0.46584850656992483</c:v>
                </c:pt>
                <c:pt idx="1346">
                  <c:v>3.1330231798618757</c:v>
                </c:pt>
                <c:pt idx="1347">
                  <c:v>9.6775718299941982</c:v>
                </c:pt>
                <c:pt idx="1348">
                  <c:v>226.8637456047924</c:v>
                </c:pt>
                <c:pt idx="1352">
                  <c:v>65.304799150111293</c:v>
                </c:pt>
                <c:pt idx="1355">
                  <c:v>1222.8555278157239</c:v>
                </c:pt>
                <c:pt idx="1357">
                  <c:v>407.20512398773178</c:v>
                </c:pt>
                <c:pt idx="1358">
                  <c:v>0.92937117656670665</c:v>
                </c:pt>
                <c:pt idx="1362">
                  <c:v>665.3151492812384</c:v>
                </c:pt>
                <c:pt idx="1363">
                  <c:v>363.77240708475404</c:v>
                </c:pt>
                <c:pt idx="1364">
                  <c:v>51.35666314321427</c:v>
                </c:pt>
                <c:pt idx="1368">
                  <c:v>90.14927799301023</c:v>
                </c:pt>
                <c:pt idx="1374">
                  <c:v>85.005316569649239</c:v>
                </c:pt>
                <c:pt idx="1375">
                  <c:v>6.1575462757483885</c:v>
                </c:pt>
                <c:pt idx="1377">
                  <c:v>1236.1430070029201</c:v>
                </c:pt>
                <c:pt idx="1378">
                  <c:v>1.5296970748220757</c:v>
                </c:pt>
                <c:pt idx="1379">
                  <c:v>179.45491557581707</c:v>
                </c:pt>
                <c:pt idx="1389">
                  <c:v>1396.8278490138525</c:v>
                </c:pt>
                <c:pt idx="1390">
                  <c:v>97.836018660185786</c:v>
                </c:pt>
                <c:pt idx="1393">
                  <c:v>5.4083470043010378</c:v>
                </c:pt>
                <c:pt idx="1396">
                  <c:v>319.94810455034491</c:v>
                </c:pt>
                <c:pt idx="1402">
                  <c:v>1.6310287433688131</c:v>
                </c:pt>
                <c:pt idx="1405">
                  <c:v>0.75478751994216442</c:v>
                </c:pt>
                <c:pt idx="1408">
                  <c:v>393.18813997837896</c:v>
                </c:pt>
                <c:pt idx="1415">
                  <c:v>150.28178725489641</c:v>
                </c:pt>
                <c:pt idx="1418">
                  <c:v>1.9068662117169561</c:v>
                </c:pt>
                <c:pt idx="1421">
                  <c:v>187.42838901651402</c:v>
                </c:pt>
                <c:pt idx="1422">
                  <c:v>52.143600106687167</c:v>
                </c:pt>
                <c:pt idx="1424">
                  <c:v>213.18472813008563</c:v>
                </c:pt>
                <c:pt idx="1426">
                  <c:v>134.69414023196717</c:v>
                </c:pt>
                <c:pt idx="1429">
                  <c:v>58.147458101325384</c:v>
                </c:pt>
                <c:pt idx="1437">
                  <c:v>1284.6310228672332</c:v>
                </c:pt>
                <c:pt idx="1439">
                  <c:v>0.59022989010602878</c:v>
                </c:pt>
                <c:pt idx="1442">
                  <c:v>2.1198189082034005</c:v>
                </c:pt>
                <c:pt idx="1450">
                  <c:v>1133.0263812842209</c:v>
                </c:pt>
                <c:pt idx="1454">
                  <c:v>434.83413598801934</c:v>
                </c:pt>
                <c:pt idx="1456">
                  <c:v>1219.4766382389389</c:v>
                </c:pt>
                <c:pt idx="1458">
                  <c:v>807.99604565884601</c:v>
                </c:pt>
                <c:pt idx="1460">
                  <c:v>1.0919744795786173</c:v>
                </c:pt>
                <c:pt idx="1462">
                  <c:v>0.14051375841658167</c:v>
                </c:pt>
                <c:pt idx="1471">
                  <c:v>17.643278089789316</c:v>
                </c:pt>
                <c:pt idx="1473">
                  <c:v>7.9963449771297785</c:v>
                </c:pt>
                <c:pt idx="1477">
                  <c:v>35.219625906495295</c:v>
                </c:pt>
                <c:pt idx="1483">
                  <c:v>117.15637852111541</c:v>
                </c:pt>
                <c:pt idx="1488">
                  <c:v>59.427091731538553</c:v>
                </c:pt>
                <c:pt idx="1489">
                  <c:v>8.1732644116145927</c:v>
                </c:pt>
                <c:pt idx="1492">
                  <c:v>0.74332979575255165</c:v>
                </c:pt>
                <c:pt idx="1493">
                  <c:v>2.9302950633420402</c:v>
                </c:pt>
                <c:pt idx="1495">
                  <c:v>4.9176484051675091</c:v>
                </c:pt>
                <c:pt idx="1502">
                  <c:v>882.89664041150922</c:v>
                </c:pt>
                <c:pt idx="1503">
                  <c:v>995.00957877060625</c:v>
                </c:pt>
                <c:pt idx="1504">
                  <c:v>247.58402180168142</c:v>
                </c:pt>
                <c:pt idx="1514">
                  <c:v>15.043404587054146</c:v>
                </c:pt>
                <c:pt idx="1515">
                  <c:v>67.930627538625203</c:v>
                </c:pt>
                <c:pt idx="1516">
                  <c:v>100.04548999220169</c:v>
                </c:pt>
                <c:pt idx="1517">
                  <c:v>14.389360412529951</c:v>
                </c:pt>
                <c:pt idx="1518">
                  <c:v>156.86252485201118</c:v>
                </c:pt>
                <c:pt idx="1522">
                  <c:v>131.14377534981955</c:v>
                </c:pt>
                <c:pt idx="1532">
                  <c:v>1.4583204040196058</c:v>
                </c:pt>
                <c:pt idx="1534">
                  <c:v>0.55981881372408671</c:v>
                </c:pt>
                <c:pt idx="1536">
                  <c:v>2.1850596551516097</c:v>
                </c:pt>
                <c:pt idx="1540">
                  <c:v>52.098907095655278</c:v>
                </c:pt>
                <c:pt idx="1546">
                  <c:v>3.218095104786066</c:v>
                </c:pt>
                <c:pt idx="1559">
                  <c:v>292.69360958633456</c:v>
                </c:pt>
                <c:pt idx="1565">
                  <c:v>98.254689696091205</c:v>
                </c:pt>
                <c:pt idx="1566">
                  <c:v>2178.3555189736894</c:v>
                </c:pt>
                <c:pt idx="1567">
                  <c:v>1.9996706090571139</c:v>
                </c:pt>
                <c:pt idx="1568">
                  <c:v>5.4887083025328784E-2</c:v>
                </c:pt>
                <c:pt idx="1570">
                  <c:v>110.80956337118064</c:v>
                </c:pt>
                <c:pt idx="1573">
                  <c:v>52.051909235012253</c:v>
                </c:pt>
                <c:pt idx="1575">
                  <c:v>2.3916515561624978</c:v>
                </c:pt>
                <c:pt idx="1578">
                  <c:v>381.75639501135578</c:v>
                </c:pt>
                <c:pt idx="1579">
                  <c:v>3.9038152304938607</c:v>
                </c:pt>
                <c:pt idx="1582">
                  <c:v>7.3568261771787699E-2</c:v>
                </c:pt>
                <c:pt idx="1585">
                  <c:v>2.77182660139606</c:v>
                </c:pt>
                <c:pt idx="1599">
                  <c:v>5.1315835489404753</c:v>
                </c:pt>
                <c:pt idx="1600">
                  <c:v>1219.3340494092374</c:v>
                </c:pt>
                <c:pt idx="1604">
                  <c:v>65.734002322680126</c:v>
                </c:pt>
                <c:pt idx="1605">
                  <c:v>776.83438155136275</c:v>
                </c:pt>
                <c:pt idx="1607">
                  <c:v>1.9226838815059504</c:v>
                </c:pt>
                <c:pt idx="1608">
                  <c:v>2.1879654100649732</c:v>
                </c:pt>
                <c:pt idx="1614">
                  <c:v>421.90259537324397</c:v>
                </c:pt>
                <c:pt idx="1621">
                  <c:v>698.96442324959594</c:v>
                </c:pt>
                <c:pt idx="1623">
                  <c:v>1010.7650999974908</c:v>
                </c:pt>
                <c:pt idx="1628">
                  <c:v>34.312884410393394</c:v>
                </c:pt>
                <c:pt idx="1631">
                  <c:v>10.472438099043538</c:v>
                </c:pt>
                <c:pt idx="1635">
                  <c:v>2.6140950339059041</c:v>
                </c:pt>
                <c:pt idx="1637">
                  <c:v>2.6392293950155885</c:v>
                </c:pt>
                <c:pt idx="1639">
                  <c:v>49.453990695965743</c:v>
                </c:pt>
                <c:pt idx="1644">
                  <c:v>24.602085117300344</c:v>
                </c:pt>
                <c:pt idx="1646">
                  <c:v>257.66397898054635</c:v>
                </c:pt>
                <c:pt idx="1647">
                  <c:v>9.4118833430673483</c:v>
                </c:pt>
                <c:pt idx="1648">
                  <c:v>2.8992742134689897</c:v>
                </c:pt>
                <c:pt idx="1650">
                  <c:v>95.870100332522426</c:v>
                </c:pt>
                <c:pt idx="1652">
                  <c:v>872.37158958317809</c:v>
                </c:pt>
                <c:pt idx="1659">
                  <c:v>0.55438256423829768</c:v>
                </c:pt>
                <c:pt idx="1660">
                  <c:v>2.984211938237145</c:v>
                </c:pt>
                <c:pt idx="1668">
                  <c:v>5.9803902193556997</c:v>
                </c:pt>
                <c:pt idx="1671">
                  <c:v>5.7609807033862239</c:v>
                </c:pt>
                <c:pt idx="1673">
                  <c:v>60.537444232969989</c:v>
                </c:pt>
                <c:pt idx="1675">
                  <c:v>347.86825564533325</c:v>
                </c:pt>
                <c:pt idx="1677">
                  <c:v>603.35053561654536</c:v>
                </c:pt>
                <c:pt idx="1679">
                  <c:v>1180.998369755876</c:v>
                </c:pt>
                <c:pt idx="1684">
                  <c:v>3.5900533597943705</c:v>
                </c:pt>
                <c:pt idx="1685">
                  <c:v>1013.5917442738485</c:v>
                </c:pt>
                <c:pt idx="1686">
                  <c:v>14.947463544999509</c:v>
                </c:pt>
                <c:pt idx="1688">
                  <c:v>2.04568041652466</c:v>
                </c:pt>
                <c:pt idx="1691">
                  <c:v>7.3736440938833478</c:v>
                </c:pt>
                <c:pt idx="1694">
                  <c:v>156.56401008546231</c:v>
                </c:pt>
                <c:pt idx="1699">
                  <c:v>0.57723925344001981</c:v>
                </c:pt>
                <c:pt idx="1701">
                  <c:v>0.69087986309013749</c:v>
                </c:pt>
                <c:pt idx="1702">
                  <c:v>114.62650776752213</c:v>
                </c:pt>
                <c:pt idx="1703">
                  <c:v>5.8231194110285518</c:v>
                </c:pt>
                <c:pt idx="1712">
                  <c:v>192.21534999390815</c:v>
                </c:pt>
                <c:pt idx="1713">
                  <c:v>10.068249647873735</c:v>
                </c:pt>
                <c:pt idx="1720">
                  <c:v>29.141803069195806</c:v>
                </c:pt>
                <c:pt idx="1725">
                  <c:v>2.386971726107324</c:v>
                </c:pt>
                <c:pt idx="1735">
                  <c:v>164.54604515803035</c:v>
                </c:pt>
                <c:pt idx="1738">
                  <c:v>61.93834807203465</c:v>
                </c:pt>
                <c:pt idx="1739">
                  <c:v>299.49896223047733</c:v>
                </c:pt>
                <c:pt idx="1740">
                  <c:v>104.38246121287091</c:v>
                </c:pt>
                <c:pt idx="1742">
                  <c:v>45.290022174585197</c:v>
                </c:pt>
                <c:pt idx="1744">
                  <c:v>1.2722503018632514</c:v>
                </c:pt>
                <c:pt idx="1745">
                  <c:v>1.0940850616527862</c:v>
                </c:pt>
                <c:pt idx="1749">
                  <c:v>2.6753070990096712</c:v>
                </c:pt>
                <c:pt idx="1752">
                  <c:v>113.78624145474593</c:v>
                </c:pt>
                <c:pt idx="1753">
                  <c:v>0.55191029912290424</c:v>
                </c:pt>
                <c:pt idx="1756">
                  <c:v>156.29584963094572</c:v>
                </c:pt>
                <c:pt idx="1758">
                  <c:v>612.17542856364798</c:v>
                </c:pt>
                <c:pt idx="1759">
                  <c:v>0.71418985433316429</c:v>
                </c:pt>
                <c:pt idx="1760">
                  <c:v>901.05946684894047</c:v>
                </c:pt>
                <c:pt idx="1771">
                  <c:v>3.8448759249649131</c:v>
                </c:pt>
                <c:pt idx="1772">
                  <c:v>700.81363236696438</c:v>
                </c:pt>
                <c:pt idx="1777">
                  <c:v>1535.7316677482154</c:v>
                </c:pt>
                <c:pt idx="1782">
                  <c:v>5.0822971776729586</c:v>
                </c:pt>
                <c:pt idx="1783">
                  <c:v>0.77643284321544681</c:v>
                </c:pt>
                <c:pt idx="1793">
                  <c:v>1.8665338903619311</c:v>
                </c:pt>
                <c:pt idx="1795">
                  <c:v>198.55736578739885</c:v>
                </c:pt>
                <c:pt idx="1798">
                  <c:v>157.50605506768306</c:v>
                </c:pt>
                <c:pt idx="1800">
                  <c:v>2.3114717215982452</c:v>
                </c:pt>
                <c:pt idx="1802">
                  <c:v>0.26979929633374911</c:v>
                </c:pt>
                <c:pt idx="1804">
                  <c:v>2.5736188097811712</c:v>
                </c:pt>
                <c:pt idx="1806">
                  <c:v>439.09107217061376</c:v>
                </c:pt>
                <c:pt idx="1808">
                  <c:v>858.49728246713789</c:v>
                </c:pt>
                <c:pt idx="1810">
                  <c:v>0.23198002956116096</c:v>
                </c:pt>
                <c:pt idx="1813">
                  <c:v>563.66175752552044</c:v>
                </c:pt>
                <c:pt idx="1815">
                  <c:v>88.436730208602427</c:v>
                </c:pt>
                <c:pt idx="1818">
                  <c:v>621.55696508131609</c:v>
                </c:pt>
                <c:pt idx="1820">
                  <c:v>7.2671023630566145</c:v>
                </c:pt>
                <c:pt idx="1823">
                  <c:v>1.8803778113969527</c:v>
                </c:pt>
                <c:pt idx="1826">
                  <c:v>2.8169420499001427</c:v>
                </c:pt>
                <c:pt idx="1827">
                  <c:v>361.21799805038222</c:v>
                </c:pt>
                <c:pt idx="1828">
                  <c:v>745.02620841097314</c:v>
                </c:pt>
                <c:pt idx="1834">
                  <c:v>16.662454987680835</c:v>
                </c:pt>
                <c:pt idx="1835">
                  <c:v>8.0663772319003755</c:v>
                </c:pt>
                <c:pt idx="1836">
                  <c:v>82.714967500330971</c:v>
                </c:pt>
                <c:pt idx="1841">
                  <c:v>1.1769037987528672</c:v>
                </c:pt>
                <c:pt idx="1842">
                  <c:v>21.771497153748964</c:v>
                </c:pt>
                <c:pt idx="1844">
                  <c:v>8.6081354775604044</c:v>
                </c:pt>
                <c:pt idx="1845">
                  <c:v>1.7980176809339887</c:v>
                </c:pt>
                <c:pt idx="1846">
                  <c:v>577.84072339034742</c:v>
                </c:pt>
                <c:pt idx="1847">
                  <c:v>46.546300299673504</c:v>
                </c:pt>
                <c:pt idx="1848">
                  <c:v>1.9518438748401317</c:v>
                </c:pt>
                <c:pt idx="1855">
                  <c:v>2.3551567319547124</c:v>
                </c:pt>
                <c:pt idx="1856">
                  <c:v>406.96116095929744</c:v>
                </c:pt>
                <c:pt idx="1861">
                  <c:v>1.636588422009795</c:v>
                </c:pt>
                <c:pt idx="1862">
                  <c:v>1.307564148338118</c:v>
                </c:pt>
                <c:pt idx="1865">
                  <c:v>174.64318233660666</c:v>
                </c:pt>
                <c:pt idx="1867">
                  <c:v>4.8849627959928634</c:v>
                </c:pt>
                <c:pt idx="1871">
                  <c:v>103.34676841322707</c:v>
                </c:pt>
                <c:pt idx="1872">
                  <c:v>301.00776999131972</c:v>
                </c:pt>
                <c:pt idx="1876">
                  <c:v>16.374469943957894</c:v>
                </c:pt>
                <c:pt idx="1879">
                  <c:v>141.49627563284568</c:v>
                </c:pt>
                <c:pt idx="1881">
                  <c:v>1.7921232927626958</c:v>
                </c:pt>
                <c:pt idx="1887">
                  <c:v>16.635129773153697</c:v>
                </c:pt>
                <c:pt idx="1890">
                  <c:v>2.0621386845725249</c:v>
                </c:pt>
                <c:pt idx="1894">
                  <c:v>9.3091545267615157</c:v>
                </c:pt>
                <c:pt idx="1895">
                  <c:v>516.91384069607557</c:v>
                </c:pt>
                <c:pt idx="1899">
                  <c:v>6.0701046134735943</c:v>
                </c:pt>
                <c:pt idx="1900">
                  <c:v>0.60223342408792313</c:v>
                </c:pt>
                <c:pt idx="1906">
                  <c:v>80.142609656280598</c:v>
                </c:pt>
                <c:pt idx="1909">
                  <c:v>7.7092186246537331</c:v>
                </c:pt>
                <c:pt idx="1913">
                  <c:v>175.47862780339139</c:v>
                </c:pt>
                <c:pt idx="1914">
                  <c:v>3.5984786875100547</c:v>
                </c:pt>
                <c:pt idx="1918">
                  <c:v>263.27183635538</c:v>
                </c:pt>
                <c:pt idx="1922">
                  <c:v>66.791707514361605</c:v>
                </c:pt>
                <c:pt idx="1923">
                  <c:v>38.381344420543272</c:v>
                </c:pt>
                <c:pt idx="1925">
                  <c:v>27.602830573986417</c:v>
                </c:pt>
                <c:pt idx="1927">
                  <c:v>4.5766818849354722</c:v>
                </c:pt>
                <c:pt idx="1934">
                  <c:v>329.83076500646268</c:v>
                </c:pt>
                <c:pt idx="1935">
                  <c:v>170.62722510058174</c:v>
                </c:pt>
                <c:pt idx="1941">
                  <c:v>233.72189499086906</c:v>
                </c:pt>
                <c:pt idx="1945">
                  <c:v>1.8226753556915545</c:v>
                </c:pt>
                <c:pt idx="1946">
                  <c:v>122.67416184983672</c:v>
                </c:pt>
                <c:pt idx="1950">
                  <c:v>286.1455628123681</c:v>
                </c:pt>
                <c:pt idx="1952">
                  <c:v>1.6972397578713487</c:v>
                </c:pt>
                <c:pt idx="1955">
                  <c:v>908.73573995936874</c:v>
                </c:pt>
                <c:pt idx="1956">
                  <c:v>3.223442019091423</c:v>
                </c:pt>
                <c:pt idx="1960">
                  <c:v>1.4858673045859003</c:v>
                </c:pt>
                <c:pt idx="1961">
                  <c:v>598.26338285182419</c:v>
                </c:pt>
                <c:pt idx="1963">
                  <c:v>33.744775182531413</c:v>
                </c:pt>
                <c:pt idx="1966">
                  <c:v>34.657871085552543</c:v>
                </c:pt>
                <c:pt idx="1968">
                  <c:v>72.684086126622773</c:v>
                </c:pt>
                <c:pt idx="1971">
                  <c:v>205.44354301252039</c:v>
                </c:pt>
                <c:pt idx="1972">
                  <c:v>138.04014193958096</c:v>
                </c:pt>
                <c:pt idx="1977">
                  <c:v>1.8617680091039637</c:v>
                </c:pt>
                <c:pt idx="1978">
                  <c:v>190.54585407975426</c:v>
                </c:pt>
                <c:pt idx="1980">
                  <c:v>112.77128294986393</c:v>
                </c:pt>
                <c:pt idx="1982">
                  <c:v>1238.6206064990656</c:v>
                </c:pt>
                <c:pt idx="1983">
                  <c:v>0.40229902669740841</c:v>
                </c:pt>
                <c:pt idx="1984">
                  <c:v>5.6002737751042062</c:v>
                </c:pt>
                <c:pt idx="1986">
                  <c:v>207.41344847685832</c:v>
                </c:pt>
                <c:pt idx="1995">
                  <c:v>8.4403978699353424</c:v>
                </c:pt>
                <c:pt idx="1999">
                  <c:v>10.383852998199568</c:v>
                </c:pt>
                <c:pt idx="2002">
                  <c:v>3.0530482340027993</c:v>
                </c:pt>
                <c:pt idx="2007">
                  <c:v>2.1343140488711128</c:v>
                </c:pt>
                <c:pt idx="2010">
                  <c:v>0.18528144229750124</c:v>
                </c:pt>
                <c:pt idx="2011">
                  <c:v>62.621619955798572</c:v>
                </c:pt>
                <c:pt idx="2012">
                  <c:v>17.755566484635619</c:v>
                </c:pt>
                <c:pt idx="2013">
                  <c:v>1.7496752154835962</c:v>
                </c:pt>
                <c:pt idx="2014">
                  <c:v>1.3749612080056111</c:v>
                </c:pt>
                <c:pt idx="2018">
                  <c:v>2.2437639364968107</c:v>
                </c:pt>
                <c:pt idx="2019">
                  <c:v>1.8466109465829392</c:v>
                </c:pt>
                <c:pt idx="2020">
                  <c:v>8.229106893577093</c:v>
                </c:pt>
                <c:pt idx="2021">
                  <c:v>41.579145280311941</c:v>
                </c:pt>
                <c:pt idx="2024">
                  <c:v>128.44467920243298</c:v>
                </c:pt>
                <c:pt idx="2028">
                  <c:v>0.66282150840766163</c:v>
                </c:pt>
                <c:pt idx="2030">
                  <c:v>3.8425065233271356</c:v>
                </c:pt>
                <c:pt idx="2031">
                  <c:v>2.4996737863981786</c:v>
                </c:pt>
                <c:pt idx="2035">
                  <c:v>3.4300374769783035</c:v>
                </c:pt>
                <c:pt idx="2036">
                  <c:v>1.8023744162493593</c:v>
                </c:pt>
                <c:pt idx="2038">
                  <c:v>11.426309404438459</c:v>
                </c:pt>
                <c:pt idx="2042">
                  <c:v>8.6037415884917685</c:v>
                </c:pt>
                <c:pt idx="2045">
                  <c:v>282.19511648578191</c:v>
                </c:pt>
                <c:pt idx="2049">
                  <c:v>1.6296697869819059</c:v>
                </c:pt>
                <c:pt idx="2051">
                  <c:v>893.17476371499333</c:v>
                </c:pt>
                <c:pt idx="2059">
                  <c:v>2.2904161981290252</c:v>
                </c:pt>
                <c:pt idx="2060">
                  <c:v>1926.5603465249064</c:v>
                </c:pt>
                <c:pt idx="2061">
                  <c:v>80.475156934354004</c:v>
                </c:pt>
                <c:pt idx="2065">
                  <c:v>0.77608896964711227</c:v>
                </c:pt>
                <c:pt idx="2066">
                  <c:v>271.59328204277614</c:v>
                </c:pt>
                <c:pt idx="2068">
                  <c:v>91.259683537352885</c:v>
                </c:pt>
                <c:pt idx="2069">
                  <c:v>6.1821658110319531</c:v>
                </c:pt>
                <c:pt idx="2070">
                  <c:v>85.13670442303119</c:v>
                </c:pt>
                <c:pt idx="2072">
                  <c:v>95.909518846566826</c:v>
                </c:pt>
                <c:pt idx="2074">
                  <c:v>570.95138562470629</c:v>
                </c:pt>
                <c:pt idx="2075">
                  <c:v>3.9484413945902692</c:v>
                </c:pt>
                <c:pt idx="2078">
                  <c:v>3.3971262732541709</c:v>
                </c:pt>
                <c:pt idx="2081">
                  <c:v>87.64701962753675</c:v>
                </c:pt>
                <c:pt idx="2082">
                  <c:v>65.724286325713379</c:v>
                </c:pt>
                <c:pt idx="2084">
                  <c:v>3.8102358547362263</c:v>
                </c:pt>
                <c:pt idx="2086">
                  <c:v>49.156221127837306</c:v>
                </c:pt>
                <c:pt idx="2087">
                  <c:v>312.68639496358088</c:v>
                </c:pt>
                <c:pt idx="2089">
                  <c:v>1.8126244006375751</c:v>
                </c:pt>
                <c:pt idx="2094">
                  <c:v>1.574587112148401</c:v>
                </c:pt>
                <c:pt idx="2097">
                  <c:v>1.6172965933082146</c:v>
                </c:pt>
                <c:pt idx="2100">
                  <c:v>24.200753363102145</c:v>
                </c:pt>
                <c:pt idx="2105">
                  <c:v>3.497508942327646</c:v>
                </c:pt>
                <c:pt idx="2106">
                  <c:v>7.5019372262260395</c:v>
                </c:pt>
                <c:pt idx="2107">
                  <c:v>1097.7568253639329</c:v>
                </c:pt>
                <c:pt idx="2108">
                  <c:v>621.58511505652427</c:v>
                </c:pt>
                <c:pt idx="2110">
                  <c:v>128.6140018989218</c:v>
                </c:pt>
                <c:pt idx="2112">
                  <c:v>49.075436375456412</c:v>
                </c:pt>
                <c:pt idx="2114">
                  <c:v>38.367070851560463</c:v>
                </c:pt>
                <c:pt idx="2126">
                  <c:v>1.7825649403488035</c:v>
                </c:pt>
                <c:pt idx="2127">
                  <c:v>6.3062409163080675</c:v>
                </c:pt>
                <c:pt idx="2128">
                  <c:v>382.23810997833186</c:v>
                </c:pt>
                <c:pt idx="2132">
                  <c:v>1.0907188991119032</c:v>
                </c:pt>
                <c:pt idx="2134">
                  <c:v>682.79167078980493</c:v>
                </c:pt>
                <c:pt idx="2135">
                  <c:v>1.0254147007014762</c:v>
                </c:pt>
                <c:pt idx="2136">
                  <c:v>4.040517521699881</c:v>
                </c:pt>
                <c:pt idx="2139">
                  <c:v>0.68727823892888473</c:v>
                </c:pt>
                <c:pt idx="2142">
                  <c:v>290.29743736203585</c:v>
                </c:pt>
                <c:pt idx="2143">
                  <c:v>2.4054600106656676</c:v>
                </c:pt>
                <c:pt idx="2144">
                  <c:v>4.6560573851373999</c:v>
                </c:pt>
                <c:pt idx="2146">
                  <c:v>16.790259487793627</c:v>
                </c:pt>
                <c:pt idx="2147">
                  <c:v>0.60718978201279361</c:v>
                </c:pt>
                <c:pt idx="2148">
                  <c:v>9.5333324678429054</c:v>
                </c:pt>
                <c:pt idx="2152">
                  <c:v>30.028726319741427</c:v>
                </c:pt>
                <c:pt idx="2154">
                  <c:v>157.40291879702067</c:v>
                </c:pt>
                <c:pt idx="2155">
                  <c:v>0.38552041160509198</c:v>
                </c:pt>
                <c:pt idx="2157">
                  <c:v>1004.0778417913481</c:v>
                </c:pt>
                <c:pt idx="2158">
                  <c:v>2.9943495937437148</c:v>
                </c:pt>
                <c:pt idx="2164">
                  <c:v>122.06040593709699</c:v>
                </c:pt>
                <c:pt idx="2165">
                  <c:v>1066.269065704902</c:v>
                </c:pt>
                <c:pt idx="2166">
                  <c:v>142.00079338260139</c:v>
                </c:pt>
                <c:pt idx="2169">
                  <c:v>36.070698569195621</c:v>
                </c:pt>
                <c:pt idx="2170">
                  <c:v>108.01385612128429</c:v>
                </c:pt>
                <c:pt idx="2175">
                  <c:v>275.59520024707291</c:v>
                </c:pt>
                <c:pt idx="2178">
                  <c:v>3.8910006530151331</c:v>
                </c:pt>
                <c:pt idx="2183">
                  <c:v>20.19495950929225</c:v>
                </c:pt>
                <c:pt idx="2186">
                  <c:v>35.579644488926078</c:v>
                </c:pt>
                <c:pt idx="2188">
                  <c:v>10.862605761330444</c:v>
                </c:pt>
                <c:pt idx="2189">
                  <c:v>3.41032558680558</c:v>
                </c:pt>
                <c:pt idx="2192">
                  <c:v>87.673206165960096</c:v>
                </c:pt>
                <c:pt idx="2193">
                  <c:v>0.13924216018814842</c:v>
                </c:pt>
                <c:pt idx="2194">
                  <c:v>36.452971750841542</c:v>
                </c:pt>
                <c:pt idx="2200">
                  <c:v>1.1882537974070402</c:v>
                </c:pt>
                <c:pt idx="2203">
                  <c:v>4.2778285520545696</c:v>
                </c:pt>
                <c:pt idx="2204">
                  <c:v>10.777804467552794</c:v>
                </c:pt>
                <c:pt idx="2206">
                  <c:v>2.4997446504431307</c:v>
                </c:pt>
                <c:pt idx="2211">
                  <c:v>648.57942516033745</c:v>
                </c:pt>
                <c:pt idx="2212">
                  <c:v>7.514110491203092</c:v>
                </c:pt>
                <c:pt idx="2214">
                  <c:v>341.26997462739234</c:v>
                </c:pt>
                <c:pt idx="2215">
                  <c:v>81.889417974357215</c:v>
                </c:pt>
                <c:pt idx="2217">
                  <c:v>2.7474629193167246</c:v>
                </c:pt>
                <c:pt idx="2218">
                  <c:v>718.44020547451623</c:v>
                </c:pt>
                <c:pt idx="2220">
                  <c:v>6.6806075018888302</c:v>
                </c:pt>
                <c:pt idx="2224">
                  <c:v>5.3032205840440074</c:v>
                </c:pt>
                <c:pt idx="2225">
                  <c:v>19.906274250942179</c:v>
                </c:pt>
                <c:pt idx="2228">
                  <c:v>71.325692849653706</c:v>
                </c:pt>
                <c:pt idx="2230">
                  <c:v>106.63255694043688</c:v>
                </c:pt>
                <c:pt idx="2232">
                  <c:v>3.35790199619756</c:v>
                </c:pt>
                <c:pt idx="2235">
                  <c:v>36.73687542723966</c:v>
                </c:pt>
                <c:pt idx="2237">
                  <c:v>6.1918997789275441</c:v>
                </c:pt>
                <c:pt idx="2242">
                  <c:v>20.617966594543851</c:v>
                </c:pt>
                <c:pt idx="2244">
                  <c:v>21.820286395752412</c:v>
                </c:pt>
                <c:pt idx="2247">
                  <c:v>1.5684730199785786</c:v>
                </c:pt>
                <c:pt idx="2249">
                  <c:v>7.4922467528479739</c:v>
                </c:pt>
                <c:pt idx="2250">
                  <c:v>9.8570095279992547</c:v>
                </c:pt>
                <c:pt idx="2253">
                  <c:v>15.576378077318562</c:v>
                </c:pt>
                <c:pt idx="2254">
                  <c:v>116.20746705311812</c:v>
                </c:pt>
                <c:pt idx="2255">
                  <c:v>40.352381516203017</c:v>
                </c:pt>
                <c:pt idx="2256">
                  <c:v>388.73271112110643</c:v>
                </c:pt>
                <c:pt idx="2259">
                  <c:v>2.8277880470776173</c:v>
                </c:pt>
                <c:pt idx="2260">
                  <c:v>165.52257949276458</c:v>
                </c:pt>
                <c:pt idx="2264">
                  <c:v>0.20807450460653037</c:v>
                </c:pt>
                <c:pt idx="2265">
                  <c:v>87.236036000449332</c:v>
                </c:pt>
                <c:pt idx="2266">
                  <c:v>6.4027783463573229</c:v>
                </c:pt>
                <c:pt idx="2270">
                  <c:v>6.3472269657740972</c:v>
                </c:pt>
                <c:pt idx="2271">
                  <c:v>816.06133454616327</c:v>
                </c:pt>
                <c:pt idx="2272">
                  <c:v>5.1520193705166948</c:v>
                </c:pt>
                <c:pt idx="2273">
                  <c:v>2.337312272404489</c:v>
                </c:pt>
                <c:pt idx="2274">
                  <c:v>15.76447968088261</c:v>
                </c:pt>
                <c:pt idx="2276">
                  <c:v>0.61501539794052551</c:v>
                </c:pt>
                <c:pt idx="2280">
                  <c:v>107.25818852837151</c:v>
                </c:pt>
                <c:pt idx="2283">
                  <c:v>6.8097943881436356</c:v>
                </c:pt>
                <c:pt idx="2287">
                  <c:v>6.5154149244640154</c:v>
                </c:pt>
                <c:pt idx="2289">
                  <c:v>25.124070224347808</c:v>
                </c:pt>
                <c:pt idx="2290">
                  <c:v>1.442784797081512</c:v>
                </c:pt>
                <c:pt idx="2293">
                  <c:v>1.8968149987560283</c:v>
                </c:pt>
                <c:pt idx="2295">
                  <c:v>5.4780927478355892</c:v>
                </c:pt>
                <c:pt idx="2296">
                  <c:v>13.526343125980675</c:v>
                </c:pt>
                <c:pt idx="2297">
                  <c:v>13.737887067448417</c:v>
                </c:pt>
                <c:pt idx="2299">
                  <c:v>1315.9950887375821</c:v>
                </c:pt>
                <c:pt idx="2301">
                  <c:v>5.0803355088175897</c:v>
                </c:pt>
                <c:pt idx="2302">
                  <c:v>62.411376457506613</c:v>
                </c:pt>
                <c:pt idx="2303">
                  <c:v>2.3032362181218238</c:v>
                </c:pt>
                <c:pt idx="2304">
                  <c:v>5.1389838852686225</c:v>
                </c:pt>
                <c:pt idx="2310">
                  <c:v>46.648481319152857</c:v>
                </c:pt>
                <c:pt idx="2312">
                  <c:v>5.9837098797449588</c:v>
                </c:pt>
              </c:numCache>
            </c:numRef>
          </c:xVal>
          <c:yVal>
            <c:numRef>
              <c:f>'Pasted values for chart'!$D$3:$D$2315</c:f>
              <c:numCache>
                <c:formatCode>General</c:formatCode>
                <c:ptCount val="2313"/>
                <c:pt idx="0">
                  <c:v>0.32662040087724692</c:v>
                </c:pt>
                <c:pt idx="1">
                  <c:v>0.34393186498138811</c:v>
                </c:pt>
                <c:pt idx="2">
                  <c:v>0.36144274410513511</c:v>
                </c:pt>
                <c:pt idx="3">
                  <c:v>0.36837786280677709</c:v>
                </c:pt>
                <c:pt idx="4">
                  <c:v>0.36920658469592421</c:v>
                </c:pt>
                <c:pt idx="5">
                  <c:v>0.37805620640848536</c:v>
                </c:pt>
                <c:pt idx="6">
                  <c:v>0.38374123520772752</c:v>
                </c:pt>
                <c:pt idx="7">
                  <c:v>0.38419725659342624</c:v>
                </c:pt>
                <c:pt idx="8">
                  <c:v>0.38686518712738399</c:v>
                </c:pt>
                <c:pt idx="9">
                  <c:v>0.3901035430937761</c:v>
                </c:pt>
                <c:pt idx="10">
                  <c:v>0.39030253110841417</c:v>
                </c:pt>
                <c:pt idx="11">
                  <c:v>0.39165075516065845</c:v>
                </c:pt>
                <c:pt idx="12">
                  <c:v>0.39373326249241997</c:v>
                </c:pt>
                <c:pt idx="13">
                  <c:v>0.39494604218135604</c:v>
                </c:pt>
                <c:pt idx="14">
                  <c:v>0.39551287263587986</c:v>
                </c:pt>
                <c:pt idx="15">
                  <c:v>0.40057528073331367</c:v>
                </c:pt>
                <c:pt idx="16">
                  <c:v>0.40062471779783743</c:v>
                </c:pt>
                <c:pt idx="17">
                  <c:v>0.40424357517048415</c:v>
                </c:pt>
                <c:pt idx="18">
                  <c:v>0.40617039907168989</c:v>
                </c:pt>
                <c:pt idx="19">
                  <c:v>0.40781838242900093</c:v>
                </c:pt>
                <c:pt idx="20">
                  <c:v>0.40815762160981139</c:v>
                </c:pt>
                <c:pt idx="21">
                  <c:v>0.40818520487322124</c:v>
                </c:pt>
                <c:pt idx="22">
                  <c:v>0.40839763452392436</c:v>
                </c:pt>
                <c:pt idx="23">
                  <c:v>0.41044576819457307</c:v>
                </c:pt>
                <c:pt idx="24">
                  <c:v>0.41053824284705298</c:v>
                </c:pt>
                <c:pt idx="25">
                  <c:v>0.4109166895001804</c:v>
                </c:pt>
                <c:pt idx="26">
                  <c:v>0.41110650082257399</c:v>
                </c:pt>
                <c:pt idx="27">
                  <c:v>0.41239381783860357</c:v>
                </c:pt>
                <c:pt idx="28">
                  <c:v>0.41252128402982036</c:v>
                </c:pt>
                <c:pt idx="29">
                  <c:v>0.41528666177976792</c:v>
                </c:pt>
                <c:pt idx="30">
                  <c:v>0.41744217752208418</c:v>
                </c:pt>
                <c:pt idx="31">
                  <c:v>0.41778324832756847</c:v>
                </c:pt>
                <c:pt idx="32">
                  <c:v>0.41803273727616275</c:v>
                </c:pt>
                <c:pt idx="33">
                  <c:v>0.41820389424779625</c:v>
                </c:pt>
                <c:pt idx="34">
                  <c:v>0.41900774955892139</c:v>
                </c:pt>
                <c:pt idx="35">
                  <c:v>0.41978123193629491</c:v>
                </c:pt>
                <c:pt idx="36">
                  <c:v>0.41987419931905962</c:v>
                </c:pt>
                <c:pt idx="37">
                  <c:v>0.42082708677914482</c:v>
                </c:pt>
                <c:pt idx="38">
                  <c:v>0.42134593826642941</c:v>
                </c:pt>
                <c:pt idx="39">
                  <c:v>0.42329838177236956</c:v>
                </c:pt>
                <c:pt idx="40">
                  <c:v>0.42481888030878062</c:v>
                </c:pt>
                <c:pt idx="41">
                  <c:v>0.42486149997376704</c:v>
                </c:pt>
                <c:pt idx="42">
                  <c:v>0.42637238814632811</c:v>
                </c:pt>
                <c:pt idx="43">
                  <c:v>0.43029835681877321</c:v>
                </c:pt>
                <c:pt idx="44">
                  <c:v>0.4330903264310717</c:v>
                </c:pt>
                <c:pt idx="45">
                  <c:v>0.43384313656896295</c:v>
                </c:pt>
                <c:pt idx="46">
                  <c:v>0.43470093928019593</c:v>
                </c:pt>
                <c:pt idx="47">
                  <c:v>0.43530458235691161</c:v>
                </c:pt>
                <c:pt idx="48">
                  <c:v>0.43587324003856254</c:v>
                </c:pt>
                <c:pt idx="49">
                  <c:v>0.43601515618646797</c:v>
                </c:pt>
                <c:pt idx="50">
                  <c:v>0.43745522973903128</c:v>
                </c:pt>
                <c:pt idx="51">
                  <c:v>0.43748535397119059</c:v>
                </c:pt>
                <c:pt idx="52">
                  <c:v>0.43758686190164442</c:v>
                </c:pt>
                <c:pt idx="53">
                  <c:v>0.43764692463771582</c:v>
                </c:pt>
                <c:pt idx="54">
                  <c:v>0.43826269597442979</c:v>
                </c:pt>
                <c:pt idx="55">
                  <c:v>0.43905172589959884</c:v>
                </c:pt>
                <c:pt idx="56">
                  <c:v>0.43919505326062935</c:v>
                </c:pt>
                <c:pt idx="57">
                  <c:v>0.4392022521633886</c:v>
                </c:pt>
                <c:pt idx="58">
                  <c:v>0.43974016212107037</c:v>
                </c:pt>
                <c:pt idx="59">
                  <c:v>0.43997162517260907</c:v>
                </c:pt>
                <c:pt idx="60">
                  <c:v>0.44020592139305315</c:v>
                </c:pt>
                <c:pt idx="61">
                  <c:v>0.44220159527891195</c:v>
                </c:pt>
                <c:pt idx="62">
                  <c:v>0.44319300879982143</c:v>
                </c:pt>
                <c:pt idx="63">
                  <c:v>0.4434550525872929</c:v>
                </c:pt>
                <c:pt idx="64">
                  <c:v>0.44384971089359465</c:v>
                </c:pt>
                <c:pt idx="65">
                  <c:v>0.44481419027323144</c:v>
                </c:pt>
                <c:pt idx="66">
                  <c:v>0.44578916148336639</c:v>
                </c:pt>
                <c:pt idx="67">
                  <c:v>0.44584736930041585</c:v>
                </c:pt>
                <c:pt idx="68">
                  <c:v>0.44604154697050447</c:v>
                </c:pt>
                <c:pt idx="69">
                  <c:v>0.44660658099474421</c:v>
                </c:pt>
                <c:pt idx="70">
                  <c:v>0.44805347885483615</c:v>
                </c:pt>
                <c:pt idx="71">
                  <c:v>0.44920290278227504</c:v>
                </c:pt>
                <c:pt idx="72">
                  <c:v>0.44989775051124781</c:v>
                </c:pt>
                <c:pt idx="73">
                  <c:v>0.4502310586542751</c:v>
                </c:pt>
                <c:pt idx="74">
                  <c:v>0.4510666907907625</c:v>
                </c:pt>
                <c:pt idx="75">
                  <c:v>0.45200638887252897</c:v>
                </c:pt>
                <c:pt idx="76">
                  <c:v>0.45299283451903599</c:v>
                </c:pt>
                <c:pt idx="77">
                  <c:v>0.45317662085448113</c:v>
                </c:pt>
                <c:pt idx="78">
                  <c:v>0.45325241131273358</c:v>
                </c:pt>
                <c:pt idx="79">
                  <c:v>0.45381772247071572</c:v>
                </c:pt>
                <c:pt idx="80">
                  <c:v>0.45394639473780141</c:v>
                </c:pt>
                <c:pt idx="81">
                  <c:v>0.4542488130747403</c:v>
                </c:pt>
                <c:pt idx="82">
                  <c:v>0.45441592093753896</c:v>
                </c:pt>
                <c:pt idx="83">
                  <c:v>0.45486475071512233</c:v>
                </c:pt>
                <c:pt idx="84">
                  <c:v>0.4551239191808592</c:v>
                </c:pt>
                <c:pt idx="85">
                  <c:v>0.45584328732817303</c:v>
                </c:pt>
                <c:pt idx="86">
                  <c:v>0.45635937837517537</c:v>
                </c:pt>
                <c:pt idx="87">
                  <c:v>0.45706378686641658</c:v>
                </c:pt>
                <c:pt idx="88">
                  <c:v>0.45737839498408567</c:v>
                </c:pt>
                <c:pt idx="89">
                  <c:v>0.45768131183620248</c:v>
                </c:pt>
                <c:pt idx="90">
                  <c:v>0.45844958536774416</c:v>
                </c:pt>
                <c:pt idx="91">
                  <c:v>0.45862631137959758</c:v>
                </c:pt>
                <c:pt idx="92">
                  <c:v>0.45908556778121862</c:v>
                </c:pt>
                <c:pt idx="93">
                  <c:v>0.46009983670631061</c:v>
                </c:pt>
                <c:pt idx="94">
                  <c:v>0.4602028664487362</c:v>
                </c:pt>
                <c:pt idx="95">
                  <c:v>0.46073103331541104</c:v>
                </c:pt>
                <c:pt idx="96">
                  <c:v>0.46128162818591933</c:v>
                </c:pt>
                <c:pt idx="97">
                  <c:v>0.46152235641918826</c:v>
                </c:pt>
                <c:pt idx="98">
                  <c:v>0.46316240859978364</c:v>
                </c:pt>
                <c:pt idx="99">
                  <c:v>0.46435923607151014</c:v>
                </c:pt>
                <c:pt idx="100">
                  <c:v>0.46447624865981507</c:v>
                </c:pt>
                <c:pt idx="101">
                  <c:v>0.46455979193454244</c:v>
                </c:pt>
                <c:pt idx="102">
                  <c:v>0.4645949611392215</c:v>
                </c:pt>
                <c:pt idx="103">
                  <c:v>0.46481602250450926</c:v>
                </c:pt>
                <c:pt idx="104">
                  <c:v>0.46486605182257423</c:v>
                </c:pt>
                <c:pt idx="105">
                  <c:v>0.46495515267067816</c:v>
                </c:pt>
                <c:pt idx="106">
                  <c:v>0.46547840880797126</c:v>
                </c:pt>
                <c:pt idx="107">
                  <c:v>0.46559609295780524</c:v>
                </c:pt>
                <c:pt idx="108">
                  <c:v>0.46651504400379823</c:v>
                </c:pt>
                <c:pt idx="109">
                  <c:v>0.46717973275995639</c:v>
                </c:pt>
                <c:pt idx="110">
                  <c:v>0.46718441995408633</c:v>
                </c:pt>
                <c:pt idx="111">
                  <c:v>0.4673622964132601</c:v>
                </c:pt>
                <c:pt idx="112">
                  <c:v>0.46877429785908653</c:v>
                </c:pt>
                <c:pt idx="113">
                  <c:v>0.46881605655491027</c:v>
                </c:pt>
                <c:pt idx="114">
                  <c:v>0.46884039456922405</c:v>
                </c:pt>
                <c:pt idx="115">
                  <c:v>0.46924889954667903</c:v>
                </c:pt>
                <c:pt idx="116">
                  <c:v>0.46942500463627251</c:v>
                </c:pt>
                <c:pt idx="117">
                  <c:v>0.46960177060360142</c:v>
                </c:pt>
                <c:pt idx="118">
                  <c:v>0.47003819167893157</c:v>
                </c:pt>
                <c:pt idx="119">
                  <c:v>0.47023152796587836</c:v>
                </c:pt>
                <c:pt idx="120">
                  <c:v>0.47024539734885279</c:v>
                </c:pt>
                <c:pt idx="121">
                  <c:v>0.47129017230794068</c:v>
                </c:pt>
                <c:pt idx="122">
                  <c:v>0.47129670433308846</c:v>
                </c:pt>
                <c:pt idx="123">
                  <c:v>0.47189008262635812</c:v>
                </c:pt>
                <c:pt idx="124">
                  <c:v>0.47206094185634245</c:v>
                </c:pt>
                <c:pt idx="125">
                  <c:v>0.47206333780894166</c:v>
                </c:pt>
                <c:pt idx="126">
                  <c:v>0.47237104538716934</c:v>
                </c:pt>
                <c:pt idx="127">
                  <c:v>0.47253090537345521</c:v>
                </c:pt>
                <c:pt idx="128">
                  <c:v>0.47300657683270853</c:v>
                </c:pt>
                <c:pt idx="129">
                  <c:v>0.47388673482114313</c:v>
                </c:pt>
                <c:pt idx="130">
                  <c:v>0.47434621614022415</c:v>
                </c:pt>
                <c:pt idx="131">
                  <c:v>0.47443312516084879</c:v>
                </c:pt>
                <c:pt idx="132">
                  <c:v>0.47445686830143269</c:v>
                </c:pt>
                <c:pt idx="133">
                  <c:v>0.47502542322186947</c:v>
                </c:pt>
                <c:pt idx="134">
                  <c:v>0.47560635425788123</c:v>
                </c:pt>
                <c:pt idx="135">
                  <c:v>0.47562914298510345</c:v>
                </c:pt>
                <c:pt idx="136">
                  <c:v>0.47609810767705463</c:v>
                </c:pt>
                <c:pt idx="137">
                  <c:v>0.4761409355159324</c:v>
                </c:pt>
                <c:pt idx="138">
                  <c:v>0.47653916562289239</c:v>
                </c:pt>
                <c:pt idx="139">
                  <c:v>0.476691917343677</c:v>
                </c:pt>
                <c:pt idx="140">
                  <c:v>0.47696956637208437</c:v>
                </c:pt>
                <c:pt idx="141">
                  <c:v>0.47717315919132697</c:v>
                </c:pt>
                <c:pt idx="142">
                  <c:v>0.47737581634523851</c:v>
                </c:pt>
                <c:pt idx="143">
                  <c:v>0.47761634431814937</c:v>
                </c:pt>
                <c:pt idx="144">
                  <c:v>0.47769639591950619</c:v>
                </c:pt>
                <c:pt idx="145">
                  <c:v>0.47772858876607266</c:v>
                </c:pt>
                <c:pt idx="146">
                  <c:v>0.47796859643979611</c:v>
                </c:pt>
                <c:pt idx="147">
                  <c:v>0.47807333397658897</c:v>
                </c:pt>
                <c:pt idx="148">
                  <c:v>0.47824816556358296</c:v>
                </c:pt>
                <c:pt idx="149">
                  <c:v>0.47833162304211652</c:v>
                </c:pt>
                <c:pt idx="150">
                  <c:v>0.4784018492967031</c:v>
                </c:pt>
                <c:pt idx="151">
                  <c:v>0.4791392952886</c:v>
                </c:pt>
                <c:pt idx="152">
                  <c:v>0.48093578947443094</c:v>
                </c:pt>
                <c:pt idx="153">
                  <c:v>0.48148730481441898</c:v>
                </c:pt>
                <c:pt idx="154">
                  <c:v>0.48148813631172405</c:v>
                </c:pt>
                <c:pt idx="155">
                  <c:v>0.48179046543121351</c:v>
                </c:pt>
                <c:pt idx="156">
                  <c:v>0.48212659210206182</c:v>
                </c:pt>
                <c:pt idx="157">
                  <c:v>0.48263811679885638</c:v>
                </c:pt>
                <c:pt idx="158">
                  <c:v>0.48302048372885154</c:v>
                </c:pt>
                <c:pt idx="159">
                  <c:v>0.48319520492007062</c:v>
                </c:pt>
                <c:pt idx="160">
                  <c:v>0.4838102356243234</c:v>
                </c:pt>
                <c:pt idx="161">
                  <c:v>0.48469971028110559</c:v>
                </c:pt>
                <c:pt idx="162">
                  <c:v>0.48490760761147289</c:v>
                </c:pt>
                <c:pt idx="163">
                  <c:v>0.48492057142266171</c:v>
                </c:pt>
                <c:pt idx="164">
                  <c:v>0.48599638208245427</c:v>
                </c:pt>
                <c:pt idx="165">
                  <c:v>0.48658428085909011</c:v>
                </c:pt>
                <c:pt idx="166">
                  <c:v>0.48662253003517014</c:v>
                </c:pt>
                <c:pt idx="167">
                  <c:v>0.48676529569843108</c:v>
                </c:pt>
                <c:pt idx="168">
                  <c:v>0.48692018181850072</c:v>
                </c:pt>
                <c:pt idx="169">
                  <c:v>0.48741989985782519</c:v>
                </c:pt>
                <c:pt idx="170">
                  <c:v>0.48755711602461782</c:v>
                </c:pt>
                <c:pt idx="171">
                  <c:v>0.48812554899349608</c:v>
                </c:pt>
                <c:pt idx="172">
                  <c:v>0.4892865417194342</c:v>
                </c:pt>
                <c:pt idx="173">
                  <c:v>0.48932574731087936</c:v>
                </c:pt>
                <c:pt idx="174">
                  <c:v>0.48940829376806788</c:v>
                </c:pt>
                <c:pt idx="175">
                  <c:v>0.48954909906419281</c:v>
                </c:pt>
                <c:pt idx="176">
                  <c:v>0.49036809410520676</c:v>
                </c:pt>
                <c:pt idx="177">
                  <c:v>0.49039091642302618</c:v>
                </c:pt>
                <c:pt idx="178">
                  <c:v>0.49056530525308434</c:v>
                </c:pt>
                <c:pt idx="179">
                  <c:v>0.49071970140278015</c:v>
                </c:pt>
                <c:pt idx="180">
                  <c:v>0.49083352428649007</c:v>
                </c:pt>
                <c:pt idx="181">
                  <c:v>0.49093160140413949</c:v>
                </c:pt>
                <c:pt idx="182">
                  <c:v>0.49126613087472498</c:v>
                </c:pt>
                <c:pt idx="183">
                  <c:v>0.49129238023315586</c:v>
                </c:pt>
                <c:pt idx="184">
                  <c:v>0.49137002561718618</c:v>
                </c:pt>
                <c:pt idx="185">
                  <c:v>0.49207886956070757</c:v>
                </c:pt>
                <c:pt idx="186">
                  <c:v>0.49225456139525464</c:v>
                </c:pt>
                <c:pt idx="187">
                  <c:v>0.49225467883912727</c:v>
                </c:pt>
                <c:pt idx="188">
                  <c:v>0.49260776857645361</c:v>
                </c:pt>
                <c:pt idx="189">
                  <c:v>0.49305517864978615</c:v>
                </c:pt>
                <c:pt idx="190">
                  <c:v>0.49337770468626624</c:v>
                </c:pt>
                <c:pt idx="191">
                  <c:v>0.49373727593153061</c:v>
                </c:pt>
                <c:pt idx="192">
                  <c:v>0.49448683160415025</c:v>
                </c:pt>
                <c:pt idx="193">
                  <c:v>0.49461727705607839</c:v>
                </c:pt>
                <c:pt idx="194">
                  <c:v>0.49494428262091317</c:v>
                </c:pt>
                <c:pt idx="195">
                  <c:v>0.49502475342518326</c:v>
                </c:pt>
                <c:pt idx="196">
                  <c:v>0.49616337814772438</c:v>
                </c:pt>
                <c:pt idx="197">
                  <c:v>0.49637166752699263</c:v>
                </c:pt>
                <c:pt idx="198">
                  <c:v>0.49661362150988642</c:v>
                </c:pt>
                <c:pt idx="199">
                  <c:v>0.49691658915422227</c:v>
                </c:pt>
                <c:pt idx="200">
                  <c:v>0.49788181785648439</c:v>
                </c:pt>
                <c:pt idx="201">
                  <c:v>0.49803354836818897</c:v>
                </c:pt>
                <c:pt idx="202">
                  <c:v>0.49807179273463986</c:v>
                </c:pt>
                <c:pt idx="203">
                  <c:v>0.49905468925496776</c:v>
                </c:pt>
                <c:pt idx="204">
                  <c:v>0.49911466042750979</c:v>
                </c:pt>
                <c:pt idx="205">
                  <c:v>0.49915553558879289</c:v>
                </c:pt>
                <c:pt idx="206">
                  <c:v>0.49929322032562806</c:v>
                </c:pt>
                <c:pt idx="207">
                  <c:v>0.49968961441454968</c:v>
                </c:pt>
                <c:pt idx="208">
                  <c:v>0.49986611890171473</c:v>
                </c:pt>
                <c:pt idx="209">
                  <c:v>0.50012293821494458</c:v>
                </c:pt>
                <c:pt idx="210">
                  <c:v>0.5007489752284775</c:v>
                </c:pt>
                <c:pt idx="211">
                  <c:v>0.5010299359000423</c:v>
                </c:pt>
                <c:pt idx="212">
                  <c:v>0.50184275184275184</c:v>
                </c:pt>
                <c:pt idx="213">
                  <c:v>0.50190890572175284</c:v>
                </c:pt>
                <c:pt idx="214">
                  <c:v>0.50252600028889138</c:v>
                </c:pt>
                <c:pt idx="215">
                  <c:v>0.50344497946188227</c:v>
                </c:pt>
                <c:pt idx="216">
                  <c:v>0.50355457172357931</c:v>
                </c:pt>
                <c:pt idx="217">
                  <c:v>0.50378411350081376</c:v>
                </c:pt>
                <c:pt idx="218">
                  <c:v>0.50406782871995814</c:v>
                </c:pt>
                <c:pt idx="219">
                  <c:v>0.50440213062093842</c:v>
                </c:pt>
                <c:pt idx="220">
                  <c:v>0.50577048322110085</c:v>
                </c:pt>
                <c:pt idx="221">
                  <c:v>0.50672805007170352</c:v>
                </c:pt>
                <c:pt idx="222">
                  <c:v>0.50718492665103287</c:v>
                </c:pt>
                <c:pt idx="223">
                  <c:v>0.50727705385606647</c:v>
                </c:pt>
                <c:pt idx="224">
                  <c:v>0.50851753577342662</c:v>
                </c:pt>
                <c:pt idx="225">
                  <c:v>0.50856609596966806</c:v>
                </c:pt>
                <c:pt idx="226">
                  <c:v>0.5087228439763003</c:v>
                </c:pt>
                <c:pt idx="227">
                  <c:v>0.50882822884917478</c:v>
                </c:pt>
                <c:pt idx="228">
                  <c:v>0.50886523424607366</c:v>
                </c:pt>
                <c:pt idx="229">
                  <c:v>0.5090891572456312</c:v>
                </c:pt>
                <c:pt idx="230">
                  <c:v>0.50970055061262132</c:v>
                </c:pt>
                <c:pt idx="231">
                  <c:v>0.5099331593122709</c:v>
                </c:pt>
                <c:pt idx="232">
                  <c:v>0.51013349600175983</c:v>
                </c:pt>
                <c:pt idx="233">
                  <c:v>0.51024853932734138</c:v>
                </c:pt>
                <c:pt idx="234">
                  <c:v>0.51103271452365528</c:v>
                </c:pt>
                <c:pt idx="235">
                  <c:v>0.51163887798951058</c:v>
                </c:pt>
                <c:pt idx="236">
                  <c:v>0.51175468732541829</c:v>
                </c:pt>
                <c:pt idx="237">
                  <c:v>0.51210754069969644</c:v>
                </c:pt>
                <c:pt idx="238">
                  <c:v>0.5122913275115184</c:v>
                </c:pt>
                <c:pt idx="239">
                  <c:v>0.51240346962256522</c:v>
                </c:pt>
                <c:pt idx="240">
                  <c:v>0.51300841442623624</c:v>
                </c:pt>
                <c:pt idx="241">
                  <c:v>0.51300912653109243</c:v>
                </c:pt>
                <c:pt idx="242">
                  <c:v>0.5135627869306244</c:v>
                </c:pt>
                <c:pt idx="243">
                  <c:v>0.51422310737085941</c:v>
                </c:pt>
                <c:pt idx="244">
                  <c:v>0.51422397955464738</c:v>
                </c:pt>
                <c:pt idx="245">
                  <c:v>0.51432662006774998</c:v>
                </c:pt>
                <c:pt idx="246">
                  <c:v>0.51467629084367505</c:v>
                </c:pt>
                <c:pt idx="247">
                  <c:v>0.51473972043929139</c:v>
                </c:pt>
                <c:pt idx="248">
                  <c:v>0.51484997702710789</c:v>
                </c:pt>
                <c:pt idx="249">
                  <c:v>0.51507388593666459</c:v>
                </c:pt>
                <c:pt idx="250">
                  <c:v>0.5152223010974637</c:v>
                </c:pt>
                <c:pt idx="251">
                  <c:v>0.51537655346279854</c:v>
                </c:pt>
                <c:pt idx="252">
                  <c:v>0.51581870550812359</c:v>
                </c:pt>
                <c:pt idx="253">
                  <c:v>0.51629711569019099</c:v>
                </c:pt>
                <c:pt idx="254">
                  <c:v>0.51631150243217627</c:v>
                </c:pt>
                <c:pt idx="255">
                  <c:v>0.51657653760184619</c:v>
                </c:pt>
                <c:pt idx="256">
                  <c:v>0.51717869307837205</c:v>
                </c:pt>
                <c:pt idx="257">
                  <c:v>0.51725732018227255</c:v>
                </c:pt>
                <c:pt idx="258">
                  <c:v>0.51752577388242127</c:v>
                </c:pt>
                <c:pt idx="259">
                  <c:v>0.51766836756209644</c:v>
                </c:pt>
                <c:pt idx="260">
                  <c:v>0.51790521306330661</c:v>
                </c:pt>
                <c:pt idx="261">
                  <c:v>0.51796967686142825</c:v>
                </c:pt>
                <c:pt idx="262">
                  <c:v>0.5181872172395271</c:v>
                </c:pt>
                <c:pt idx="263">
                  <c:v>0.51856311388382581</c:v>
                </c:pt>
                <c:pt idx="264">
                  <c:v>0.51867227266246541</c:v>
                </c:pt>
                <c:pt idx="265">
                  <c:v>0.51902809633027569</c:v>
                </c:pt>
                <c:pt idx="266">
                  <c:v>0.51924966353772029</c:v>
                </c:pt>
                <c:pt idx="267">
                  <c:v>0.51947128600975701</c:v>
                </c:pt>
                <c:pt idx="268">
                  <c:v>0.51948432940900069</c:v>
                </c:pt>
                <c:pt idx="269">
                  <c:v>0.51949030688846753</c:v>
                </c:pt>
                <c:pt idx="270">
                  <c:v>0.52043027935460684</c:v>
                </c:pt>
                <c:pt idx="271">
                  <c:v>0.52077604694381885</c:v>
                </c:pt>
                <c:pt idx="272">
                  <c:v>0.52112985349419394</c:v>
                </c:pt>
                <c:pt idx="273">
                  <c:v>0.5215845606907078</c:v>
                </c:pt>
                <c:pt idx="274">
                  <c:v>0.52195933942206674</c:v>
                </c:pt>
                <c:pt idx="275">
                  <c:v>0.52199035878358802</c:v>
                </c:pt>
                <c:pt idx="276">
                  <c:v>0.52222844129448387</c:v>
                </c:pt>
                <c:pt idx="277">
                  <c:v>0.52306983280080299</c:v>
                </c:pt>
                <c:pt idx="278">
                  <c:v>0.52325443522443893</c:v>
                </c:pt>
                <c:pt idx="279">
                  <c:v>0.52357087488681253</c:v>
                </c:pt>
                <c:pt idx="280">
                  <c:v>0.52386508180661828</c:v>
                </c:pt>
                <c:pt idx="281">
                  <c:v>0.52398640101201743</c:v>
                </c:pt>
                <c:pt idx="282">
                  <c:v>0.52435257004471081</c:v>
                </c:pt>
                <c:pt idx="283">
                  <c:v>0.52487680069817155</c:v>
                </c:pt>
                <c:pt idx="284">
                  <c:v>0.52534419256473608</c:v>
                </c:pt>
                <c:pt idx="285">
                  <c:v>0.52543314646761907</c:v>
                </c:pt>
                <c:pt idx="286">
                  <c:v>0.52617805007185503</c:v>
                </c:pt>
                <c:pt idx="287">
                  <c:v>0.5264795491761759</c:v>
                </c:pt>
                <c:pt idx="288">
                  <c:v>0.52649791471867191</c:v>
                </c:pt>
                <c:pt idx="289">
                  <c:v>0.5271751615931568</c:v>
                </c:pt>
                <c:pt idx="290">
                  <c:v>0.5276350302211531</c:v>
                </c:pt>
                <c:pt idx="291">
                  <c:v>0.52784543587707311</c:v>
                </c:pt>
                <c:pt idx="292">
                  <c:v>0.5279046723573606</c:v>
                </c:pt>
                <c:pt idx="293">
                  <c:v>0.52824680038314242</c:v>
                </c:pt>
                <c:pt idx="294">
                  <c:v>0.52871996390027387</c:v>
                </c:pt>
                <c:pt idx="295">
                  <c:v>0.53083565490526896</c:v>
                </c:pt>
                <c:pt idx="296">
                  <c:v>0.53087302301273176</c:v>
                </c:pt>
                <c:pt idx="297">
                  <c:v>0.53106607734221811</c:v>
                </c:pt>
                <c:pt idx="298">
                  <c:v>0.53128319765424792</c:v>
                </c:pt>
                <c:pt idx="299">
                  <c:v>0.53133997129039068</c:v>
                </c:pt>
                <c:pt idx="300">
                  <c:v>0.53136661480063774</c:v>
                </c:pt>
                <c:pt idx="301">
                  <c:v>0.53147718634821928</c:v>
                </c:pt>
                <c:pt idx="302">
                  <c:v>0.53150913358367113</c:v>
                </c:pt>
                <c:pt idx="303">
                  <c:v>0.53164694281665303</c:v>
                </c:pt>
                <c:pt idx="304">
                  <c:v>0.53176234293988511</c:v>
                </c:pt>
                <c:pt idx="305">
                  <c:v>0.53236657788300368</c:v>
                </c:pt>
                <c:pt idx="306">
                  <c:v>0.53276167290174026</c:v>
                </c:pt>
                <c:pt idx="307">
                  <c:v>0.5330082870382622</c:v>
                </c:pt>
                <c:pt idx="308">
                  <c:v>0.53323958281738382</c:v>
                </c:pt>
                <c:pt idx="309">
                  <c:v>0.53326783540681921</c:v>
                </c:pt>
                <c:pt idx="310">
                  <c:v>0.53333471010986688</c:v>
                </c:pt>
                <c:pt idx="311">
                  <c:v>0.5334996979413541</c:v>
                </c:pt>
                <c:pt idx="312">
                  <c:v>0.53373217373067361</c:v>
                </c:pt>
                <c:pt idx="313">
                  <c:v>0.53379962739417541</c:v>
                </c:pt>
                <c:pt idx="314">
                  <c:v>0.53393984771215031</c:v>
                </c:pt>
                <c:pt idx="315">
                  <c:v>0.5340853658536584</c:v>
                </c:pt>
                <c:pt idx="316">
                  <c:v>0.53420987996367764</c:v>
                </c:pt>
                <c:pt idx="317">
                  <c:v>0.53502552112434643</c:v>
                </c:pt>
                <c:pt idx="318">
                  <c:v>0.53532136259513863</c:v>
                </c:pt>
                <c:pt idx="319">
                  <c:v>0.53543688443119153</c:v>
                </c:pt>
                <c:pt idx="320">
                  <c:v>0.53588593262471595</c:v>
                </c:pt>
                <c:pt idx="321">
                  <c:v>0.5358969886804692</c:v>
                </c:pt>
                <c:pt idx="322">
                  <c:v>0.53594081795868775</c:v>
                </c:pt>
                <c:pt idx="323">
                  <c:v>0.53603935392951541</c:v>
                </c:pt>
                <c:pt idx="324">
                  <c:v>0.5363678224660462</c:v>
                </c:pt>
                <c:pt idx="325">
                  <c:v>0.53658953650032126</c:v>
                </c:pt>
                <c:pt idx="326">
                  <c:v>0.53677252712999435</c:v>
                </c:pt>
                <c:pt idx="327">
                  <c:v>0.53711181187777934</c:v>
                </c:pt>
                <c:pt idx="328">
                  <c:v>0.53732240050894253</c:v>
                </c:pt>
                <c:pt idx="329">
                  <c:v>0.53738418889120698</c:v>
                </c:pt>
                <c:pt idx="330">
                  <c:v>0.53740706319702558</c:v>
                </c:pt>
                <c:pt idx="331">
                  <c:v>0.53743502570223267</c:v>
                </c:pt>
                <c:pt idx="332">
                  <c:v>0.53754506534474944</c:v>
                </c:pt>
                <c:pt idx="333">
                  <c:v>0.53778533444271615</c:v>
                </c:pt>
                <c:pt idx="334">
                  <c:v>0.53785445183686964</c:v>
                </c:pt>
                <c:pt idx="335">
                  <c:v>0.53832403612044233</c:v>
                </c:pt>
                <c:pt idx="336">
                  <c:v>0.53913721936977721</c:v>
                </c:pt>
                <c:pt idx="337">
                  <c:v>0.5391457724841634</c:v>
                </c:pt>
                <c:pt idx="338">
                  <c:v>0.53962019102531922</c:v>
                </c:pt>
                <c:pt idx="339">
                  <c:v>0.54045597940136092</c:v>
                </c:pt>
                <c:pt idx="340">
                  <c:v>0.54055851039297298</c:v>
                </c:pt>
                <c:pt idx="341">
                  <c:v>0.54090218740517393</c:v>
                </c:pt>
                <c:pt idx="342">
                  <c:v>0.54097412656757604</c:v>
                </c:pt>
                <c:pt idx="343">
                  <c:v>0.54100053151574723</c:v>
                </c:pt>
                <c:pt idx="344">
                  <c:v>0.54109353414705896</c:v>
                </c:pt>
                <c:pt idx="345">
                  <c:v>0.54137881645297292</c:v>
                </c:pt>
                <c:pt idx="346">
                  <c:v>0.54207870715659667</c:v>
                </c:pt>
                <c:pt idx="347">
                  <c:v>0.54233432380876023</c:v>
                </c:pt>
                <c:pt idx="348">
                  <c:v>0.54234205429050653</c:v>
                </c:pt>
                <c:pt idx="349">
                  <c:v>0.54250723742211171</c:v>
                </c:pt>
                <c:pt idx="350">
                  <c:v>0.54283143021660196</c:v>
                </c:pt>
                <c:pt idx="351">
                  <c:v>0.5428699391104127</c:v>
                </c:pt>
                <c:pt idx="352">
                  <c:v>0.54333420411006683</c:v>
                </c:pt>
                <c:pt idx="353">
                  <c:v>0.54359521790798826</c:v>
                </c:pt>
                <c:pt idx="354">
                  <c:v>0.54362446032212053</c:v>
                </c:pt>
                <c:pt idx="355">
                  <c:v>0.5437342951777675</c:v>
                </c:pt>
                <c:pt idx="356">
                  <c:v>0.54374440476623087</c:v>
                </c:pt>
                <c:pt idx="357">
                  <c:v>0.5439012256467729</c:v>
                </c:pt>
                <c:pt idx="358">
                  <c:v>0.54421616011248253</c:v>
                </c:pt>
                <c:pt idx="359">
                  <c:v>0.54430967996408164</c:v>
                </c:pt>
                <c:pt idx="360">
                  <c:v>0.54475993862256555</c:v>
                </c:pt>
                <c:pt idx="361">
                  <c:v>0.54477706508814083</c:v>
                </c:pt>
                <c:pt idx="362">
                  <c:v>0.54523566760943443</c:v>
                </c:pt>
                <c:pt idx="363">
                  <c:v>0.54546687935797911</c:v>
                </c:pt>
                <c:pt idx="364">
                  <c:v>0.54580548344646307</c:v>
                </c:pt>
                <c:pt idx="365">
                  <c:v>0.54591661393517532</c:v>
                </c:pt>
                <c:pt idx="366">
                  <c:v>0.54592034849257587</c:v>
                </c:pt>
                <c:pt idx="367">
                  <c:v>0.54647773137945399</c:v>
                </c:pt>
                <c:pt idx="368">
                  <c:v>0.54691043083900148</c:v>
                </c:pt>
                <c:pt idx="369">
                  <c:v>0.5469770010746039</c:v>
                </c:pt>
                <c:pt idx="370">
                  <c:v>0.54697896715613259</c:v>
                </c:pt>
                <c:pt idx="371">
                  <c:v>0.5472763464209548</c:v>
                </c:pt>
                <c:pt idx="372">
                  <c:v>0.5473388733404444</c:v>
                </c:pt>
                <c:pt idx="373">
                  <c:v>0.54743282931965254</c:v>
                </c:pt>
                <c:pt idx="374">
                  <c:v>0.54801242468876232</c:v>
                </c:pt>
                <c:pt idx="375">
                  <c:v>0.54811088383700446</c:v>
                </c:pt>
                <c:pt idx="376">
                  <c:v>0.54813561835541502</c:v>
                </c:pt>
                <c:pt idx="377">
                  <c:v>0.54826621748362547</c:v>
                </c:pt>
                <c:pt idx="378">
                  <c:v>0.54843803277243863</c:v>
                </c:pt>
                <c:pt idx="379">
                  <c:v>0.54853745750054816</c:v>
                </c:pt>
                <c:pt idx="380">
                  <c:v>0.54887444244586203</c:v>
                </c:pt>
                <c:pt idx="381">
                  <c:v>0.54913974841601909</c:v>
                </c:pt>
                <c:pt idx="382">
                  <c:v>0.54918010524155725</c:v>
                </c:pt>
                <c:pt idx="383">
                  <c:v>0.54923657380369972</c:v>
                </c:pt>
                <c:pt idx="384">
                  <c:v>0.54951685783802651</c:v>
                </c:pt>
                <c:pt idx="385">
                  <c:v>0.54961017797105927</c:v>
                </c:pt>
                <c:pt idx="386">
                  <c:v>0.55012305960592667</c:v>
                </c:pt>
                <c:pt idx="387">
                  <c:v>0.55025451696960226</c:v>
                </c:pt>
                <c:pt idx="388">
                  <c:v>0.55070543679739636</c:v>
                </c:pt>
                <c:pt idx="389">
                  <c:v>0.5510860139571373</c:v>
                </c:pt>
                <c:pt idx="390">
                  <c:v>0.55128196333361246</c:v>
                </c:pt>
                <c:pt idx="391">
                  <c:v>0.55218649269330122</c:v>
                </c:pt>
                <c:pt idx="392">
                  <c:v>0.55237401647141537</c:v>
                </c:pt>
                <c:pt idx="393">
                  <c:v>0.55248748008426796</c:v>
                </c:pt>
                <c:pt idx="394">
                  <c:v>0.55252400897630205</c:v>
                </c:pt>
                <c:pt idx="395">
                  <c:v>0.55259720739937268</c:v>
                </c:pt>
                <c:pt idx="396">
                  <c:v>0.55370940434046512</c:v>
                </c:pt>
                <c:pt idx="397">
                  <c:v>0.55374410721392731</c:v>
                </c:pt>
                <c:pt idx="398">
                  <c:v>0.55442960022951548</c:v>
                </c:pt>
                <c:pt idx="399">
                  <c:v>0.55499781430780182</c:v>
                </c:pt>
                <c:pt idx="400">
                  <c:v>0.55516812047818531</c:v>
                </c:pt>
                <c:pt idx="401">
                  <c:v>0.55521695016804518</c:v>
                </c:pt>
                <c:pt idx="402">
                  <c:v>0.55566967781114651</c:v>
                </c:pt>
                <c:pt idx="403">
                  <c:v>0.55582410874443389</c:v>
                </c:pt>
                <c:pt idx="404">
                  <c:v>0.55587361212782194</c:v>
                </c:pt>
                <c:pt idx="405">
                  <c:v>0.55600649666186985</c:v>
                </c:pt>
                <c:pt idx="406">
                  <c:v>0.55601692407414738</c:v>
                </c:pt>
                <c:pt idx="407">
                  <c:v>0.55602288267868594</c:v>
                </c:pt>
                <c:pt idx="408">
                  <c:v>0.55609370836980943</c:v>
                </c:pt>
                <c:pt idx="409">
                  <c:v>0.55617622220395613</c:v>
                </c:pt>
                <c:pt idx="410">
                  <c:v>0.55643440024542434</c:v>
                </c:pt>
                <c:pt idx="411">
                  <c:v>0.55647132725601156</c:v>
                </c:pt>
                <c:pt idx="412">
                  <c:v>0.55726458193696427</c:v>
                </c:pt>
                <c:pt idx="413">
                  <c:v>0.55729717217416808</c:v>
                </c:pt>
                <c:pt idx="414">
                  <c:v>0.5572998773865836</c:v>
                </c:pt>
                <c:pt idx="415">
                  <c:v>0.5574457588036057</c:v>
                </c:pt>
                <c:pt idx="416">
                  <c:v>0.55789905621666136</c:v>
                </c:pt>
                <c:pt idx="417">
                  <c:v>0.5582011074301001</c:v>
                </c:pt>
                <c:pt idx="418">
                  <c:v>0.55821542578502104</c:v>
                </c:pt>
                <c:pt idx="419">
                  <c:v>0.55851885099607779</c:v>
                </c:pt>
                <c:pt idx="420">
                  <c:v>0.55865539652221341</c:v>
                </c:pt>
                <c:pt idx="421">
                  <c:v>0.5589150661241703</c:v>
                </c:pt>
                <c:pt idx="422">
                  <c:v>0.55893199260756465</c:v>
                </c:pt>
                <c:pt idx="423">
                  <c:v>0.55952694066455377</c:v>
                </c:pt>
                <c:pt idx="424">
                  <c:v>0.55953822081229865</c:v>
                </c:pt>
                <c:pt idx="425">
                  <c:v>0.55966310924205376</c:v>
                </c:pt>
                <c:pt idx="426">
                  <c:v>0.55987546176246838</c:v>
                </c:pt>
                <c:pt idx="427">
                  <c:v>0.55989103044167843</c:v>
                </c:pt>
                <c:pt idx="428">
                  <c:v>0.55993963352598752</c:v>
                </c:pt>
                <c:pt idx="429">
                  <c:v>0.56045783813405481</c:v>
                </c:pt>
                <c:pt idx="430">
                  <c:v>0.56081200440413315</c:v>
                </c:pt>
                <c:pt idx="431">
                  <c:v>0.56106667712172342</c:v>
                </c:pt>
                <c:pt idx="432">
                  <c:v>0.56126757977453756</c:v>
                </c:pt>
                <c:pt idx="433">
                  <c:v>0.5614930465218293</c:v>
                </c:pt>
                <c:pt idx="434">
                  <c:v>0.56156173473532722</c:v>
                </c:pt>
                <c:pt idx="435">
                  <c:v>0.56156770075293871</c:v>
                </c:pt>
                <c:pt idx="436">
                  <c:v>0.56184502867348796</c:v>
                </c:pt>
                <c:pt idx="437">
                  <c:v>0.56351439145424875</c:v>
                </c:pt>
                <c:pt idx="438">
                  <c:v>0.56354197243736004</c:v>
                </c:pt>
                <c:pt idx="439">
                  <c:v>0.56369724894612094</c:v>
                </c:pt>
                <c:pt idx="440">
                  <c:v>0.56380749286262877</c:v>
                </c:pt>
                <c:pt idx="441">
                  <c:v>0.56398359633035322</c:v>
                </c:pt>
                <c:pt idx="442">
                  <c:v>0.56417294449585353</c:v>
                </c:pt>
                <c:pt idx="443">
                  <c:v>0.56424376249369479</c:v>
                </c:pt>
                <c:pt idx="444">
                  <c:v>0.56438804033143608</c:v>
                </c:pt>
                <c:pt idx="445">
                  <c:v>0.56450647682417576</c:v>
                </c:pt>
                <c:pt idx="446">
                  <c:v>0.56481571734680547</c:v>
                </c:pt>
                <c:pt idx="447">
                  <c:v>0.56501628976619378</c:v>
                </c:pt>
                <c:pt idx="448">
                  <c:v>0.56507202367397635</c:v>
                </c:pt>
                <c:pt idx="449">
                  <c:v>0.56532393043181384</c:v>
                </c:pt>
                <c:pt idx="450">
                  <c:v>0.56536655024688942</c:v>
                </c:pt>
                <c:pt idx="451">
                  <c:v>0.56537301417385644</c:v>
                </c:pt>
                <c:pt idx="452">
                  <c:v>0.56601275287666675</c:v>
                </c:pt>
                <c:pt idx="453">
                  <c:v>0.56616363853693463</c:v>
                </c:pt>
                <c:pt idx="454">
                  <c:v>0.56619183796549255</c:v>
                </c:pt>
                <c:pt idx="455">
                  <c:v>0.56636415306373689</c:v>
                </c:pt>
                <c:pt idx="456">
                  <c:v>0.56650650803335301</c:v>
                </c:pt>
                <c:pt idx="457">
                  <c:v>0.56653115762537776</c:v>
                </c:pt>
                <c:pt idx="458">
                  <c:v>0.56659459459459394</c:v>
                </c:pt>
                <c:pt idx="459">
                  <c:v>0.56670435807398944</c:v>
                </c:pt>
                <c:pt idx="460">
                  <c:v>0.56698096773462292</c:v>
                </c:pt>
                <c:pt idx="461">
                  <c:v>0.56699524055090034</c:v>
                </c:pt>
                <c:pt idx="462">
                  <c:v>0.56714163261896011</c:v>
                </c:pt>
                <c:pt idx="463">
                  <c:v>0.56717617801680364</c:v>
                </c:pt>
                <c:pt idx="464">
                  <c:v>0.56724467859868755</c:v>
                </c:pt>
                <c:pt idx="465">
                  <c:v>0.5677169584417634</c:v>
                </c:pt>
                <c:pt idx="466">
                  <c:v>0.56821174322287871</c:v>
                </c:pt>
                <c:pt idx="467">
                  <c:v>0.5684328495102019</c:v>
                </c:pt>
                <c:pt idx="468">
                  <c:v>0.56854205037924777</c:v>
                </c:pt>
                <c:pt idx="469">
                  <c:v>0.5685718022131514</c:v>
                </c:pt>
                <c:pt idx="470">
                  <c:v>0.5686048565830466</c:v>
                </c:pt>
                <c:pt idx="471">
                  <c:v>0.56913560825544141</c:v>
                </c:pt>
                <c:pt idx="472">
                  <c:v>0.56914962598033048</c:v>
                </c:pt>
                <c:pt idx="473">
                  <c:v>0.56927565000245506</c:v>
                </c:pt>
                <c:pt idx="474">
                  <c:v>0.56940241500670852</c:v>
                </c:pt>
                <c:pt idx="475">
                  <c:v>0.56952025163945708</c:v>
                </c:pt>
                <c:pt idx="476">
                  <c:v>0.56959931959931831</c:v>
                </c:pt>
                <c:pt idx="477">
                  <c:v>0.56974999629855605</c:v>
                </c:pt>
                <c:pt idx="478">
                  <c:v>0.5700204120228759</c:v>
                </c:pt>
                <c:pt idx="479">
                  <c:v>0.57016156021002851</c:v>
                </c:pt>
                <c:pt idx="480">
                  <c:v>0.57031858190298379</c:v>
                </c:pt>
                <c:pt idx="481">
                  <c:v>0.57044056339332405</c:v>
                </c:pt>
                <c:pt idx="482">
                  <c:v>0.57051416056940885</c:v>
                </c:pt>
                <c:pt idx="483">
                  <c:v>0.57075610251768749</c:v>
                </c:pt>
                <c:pt idx="484">
                  <c:v>0.57078246769064289</c:v>
                </c:pt>
                <c:pt idx="485">
                  <c:v>0.57090087140024415</c:v>
                </c:pt>
                <c:pt idx="486">
                  <c:v>0.57090528519099948</c:v>
                </c:pt>
                <c:pt idx="487">
                  <c:v>0.57090651790169866</c:v>
                </c:pt>
                <c:pt idx="488">
                  <c:v>0.57129864049323831</c:v>
                </c:pt>
                <c:pt idx="489">
                  <c:v>0.57145064990237315</c:v>
                </c:pt>
                <c:pt idx="490">
                  <c:v>0.5715851160131491</c:v>
                </c:pt>
                <c:pt idx="491">
                  <c:v>0.57174016737620581</c:v>
                </c:pt>
                <c:pt idx="492">
                  <c:v>0.57175266224621479</c:v>
                </c:pt>
                <c:pt idx="493">
                  <c:v>0.57183238592240515</c:v>
                </c:pt>
                <c:pt idx="494">
                  <c:v>0.57188050719965711</c:v>
                </c:pt>
                <c:pt idx="495">
                  <c:v>0.57189616057856218</c:v>
                </c:pt>
                <c:pt idx="496">
                  <c:v>0.57200153867259906</c:v>
                </c:pt>
                <c:pt idx="497">
                  <c:v>0.57223035662129673</c:v>
                </c:pt>
                <c:pt idx="498">
                  <c:v>0.57224285657401741</c:v>
                </c:pt>
                <c:pt idx="499">
                  <c:v>0.57240088633369268</c:v>
                </c:pt>
                <c:pt idx="500">
                  <c:v>0.57268758277457443</c:v>
                </c:pt>
                <c:pt idx="501">
                  <c:v>0.57312696263400886</c:v>
                </c:pt>
                <c:pt idx="502">
                  <c:v>0.57347242921013519</c:v>
                </c:pt>
                <c:pt idx="503">
                  <c:v>0.57357865208179615</c:v>
                </c:pt>
                <c:pt idx="504">
                  <c:v>0.57363864646074403</c:v>
                </c:pt>
                <c:pt idx="505">
                  <c:v>0.57364133502648418</c:v>
                </c:pt>
                <c:pt idx="506">
                  <c:v>0.57378587428828021</c:v>
                </c:pt>
                <c:pt idx="507">
                  <c:v>0.57380952380952388</c:v>
                </c:pt>
                <c:pt idx="508">
                  <c:v>0.57406037740135207</c:v>
                </c:pt>
                <c:pt idx="509">
                  <c:v>0.57425689146385739</c:v>
                </c:pt>
                <c:pt idx="510">
                  <c:v>0.57440538413491216</c:v>
                </c:pt>
                <c:pt idx="511">
                  <c:v>0.57462647911966425</c:v>
                </c:pt>
                <c:pt idx="512">
                  <c:v>0.57471387367805038</c:v>
                </c:pt>
                <c:pt idx="513">
                  <c:v>0.5747753113795051</c:v>
                </c:pt>
                <c:pt idx="514">
                  <c:v>0.57526087898616163</c:v>
                </c:pt>
                <c:pt idx="515">
                  <c:v>0.57531578366808345</c:v>
                </c:pt>
                <c:pt idx="516">
                  <c:v>0.57571463902227737</c:v>
                </c:pt>
                <c:pt idx="517">
                  <c:v>0.57590256981041532</c:v>
                </c:pt>
                <c:pt idx="518">
                  <c:v>0.57599715980094635</c:v>
                </c:pt>
                <c:pt idx="519">
                  <c:v>0.57620363338665459</c:v>
                </c:pt>
                <c:pt idx="520">
                  <c:v>0.57624656066398461</c:v>
                </c:pt>
                <c:pt idx="521">
                  <c:v>0.57639528053479672</c:v>
                </c:pt>
                <c:pt idx="522">
                  <c:v>0.57645546953991511</c:v>
                </c:pt>
                <c:pt idx="523">
                  <c:v>0.57649457530297088</c:v>
                </c:pt>
                <c:pt idx="524">
                  <c:v>0.57679894710900248</c:v>
                </c:pt>
                <c:pt idx="525">
                  <c:v>0.57707366431111984</c:v>
                </c:pt>
                <c:pt idx="526">
                  <c:v>0.57736192066900649</c:v>
                </c:pt>
                <c:pt idx="527">
                  <c:v>0.57744361387684429</c:v>
                </c:pt>
                <c:pt idx="528">
                  <c:v>0.57746770393053892</c:v>
                </c:pt>
                <c:pt idx="529">
                  <c:v>0.57762636485707997</c:v>
                </c:pt>
                <c:pt idx="530">
                  <c:v>0.57782511394136715</c:v>
                </c:pt>
                <c:pt idx="531">
                  <c:v>0.57788067664741727</c:v>
                </c:pt>
                <c:pt idx="532">
                  <c:v>0.57792090113681216</c:v>
                </c:pt>
                <c:pt idx="533">
                  <c:v>0.57798961603291843</c:v>
                </c:pt>
                <c:pt idx="534">
                  <c:v>0.57806084851036943</c:v>
                </c:pt>
                <c:pt idx="535">
                  <c:v>0.5782911103574282</c:v>
                </c:pt>
                <c:pt idx="536">
                  <c:v>0.578365171801839</c:v>
                </c:pt>
                <c:pt idx="537">
                  <c:v>0.57858364508893267</c:v>
                </c:pt>
                <c:pt idx="538">
                  <c:v>0.57876740694840767</c:v>
                </c:pt>
                <c:pt idx="539">
                  <c:v>0.57878077169911801</c:v>
                </c:pt>
                <c:pt idx="540">
                  <c:v>0.5788687269289956</c:v>
                </c:pt>
                <c:pt idx="541">
                  <c:v>0.57895014330814976</c:v>
                </c:pt>
                <c:pt idx="542">
                  <c:v>0.57903598243377208</c:v>
                </c:pt>
                <c:pt idx="543">
                  <c:v>0.5803021514052763</c:v>
                </c:pt>
                <c:pt idx="544">
                  <c:v>0.58033670167260121</c:v>
                </c:pt>
                <c:pt idx="545">
                  <c:v>0.58038985031859047</c:v>
                </c:pt>
                <c:pt idx="546">
                  <c:v>0.58044419198713804</c:v>
                </c:pt>
                <c:pt idx="547">
                  <c:v>0.58059232473112565</c:v>
                </c:pt>
                <c:pt idx="548">
                  <c:v>0.58060710609904742</c:v>
                </c:pt>
                <c:pt idx="549">
                  <c:v>0.58079765934281169</c:v>
                </c:pt>
                <c:pt idx="550">
                  <c:v>0.58131907077779676</c:v>
                </c:pt>
                <c:pt idx="551">
                  <c:v>0.58166567763184507</c:v>
                </c:pt>
                <c:pt idx="552">
                  <c:v>0.58177627011291333</c:v>
                </c:pt>
                <c:pt idx="553">
                  <c:v>0.58184506695144989</c:v>
                </c:pt>
                <c:pt idx="554">
                  <c:v>0.58197753496750027</c:v>
                </c:pt>
                <c:pt idx="555">
                  <c:v>0.58207179502134565</c:v>
                </c:pt>
                <c:pt idx="556">
                  <c:v>0.58207436685697589</c:v>
                </c:pt>
                <c:pt idx="557">
                  <c:v>0.58210076642794317</c:v>
                </c:pt>
                <c:pt idx="558">
                  <c:v>0.58214416093127552</c:v>
                </c:pt>
                <c:pt idx="559">
                  <c:v>0.5823931495418011</c:v>
                </c:pt>
                <c:pt idx="560">
                  <c:v>0.58267320502219344</c:v>
                </c:pt>
                <c:pt idx="561">
                  <c:v>0.58270471967456328</c:v>
                </c:pt>
                <c:pt idx="562">
                  <c:v>0.58281536452206695</c:v>
                </c:pt>
                <c:pt idx="563">
                  <c:v>0.58300249514642855</c:v>
                </c:pt>
                <c:pt idx="564">
                  <c:v>0.58311365633790957</c:v>
                </c:pt>
                <c:pt idx="565">
                  <c:v>0.58343299090338763</c:v>
                </c:pt>
                <c:pt idx="566">
                  <c:v>0.58357059973639314</c:v>
                </c:pt>
                <c:pt idx="567">
                  <c:v>0.58363273145975469</c:v>
                </c:pt>
                <c:pt idx="568">
                  <c:v>0.58380971519817726</c:v>
                </c:pt>
                <c:pt idx="569">
                  <c:v>0.58426157356718411</c:v>
                </c:pt>
                <c:pt idx="570">
                  <c:v>0.58428071231227818</c:v>
                </c:pt>
                <c:pt idx="571">
                  <c:v>0.58429350958994197</c:v>
                </c:pt>
                <c:pt idx="572">
                  <c:v>0.58437284100708076</c:v>
                </c:pt>
                <c:pt idx="573">
                  <c:v>0.5845623133713489</c:v>
                </c:pt>
                <c:pt idx="574">
                  <c:v>0.58460543818889565</c:v>
                </c:pt>
                <c:pt idx="575">
                  <c:v>0.58464725218694558</c:v>
                </c:pt>
                <c:pt idx="576">
                  <c:v>0.58486658300121463</c:v>
                </c:pt>
                <c:pt idx="577">
                  <c:v>0.58527131782945807</c:v>
                </c:pt>
                <c:pt idx="578">
                  <c:v>0.58532340739198641</c:v>
                </c:pt>
                <c:pt idx="579">
                  <c:v>0.58542938542938483</c:v>
                </c:pt>
                <c:pt idx="580">
                  <c:v>0.58543861636645211</c:v>
                </c:pt>
                <c:pt idx="581">
                  <c:v>0.58549537425423892</c:v>
                </c:pt>
                <c:pt idx="582">
                  <c:v>0.58552842098568958</c:v>
                </c:pt>
                <c:pt idx="583">
                  <c:v>0.5856241104289307</c:v>
                </c:pt>
                <c:pt idx="584">
                  <c:v>0.5862004147045714</c:v>
                </c:pt>
                <c:pt idx="585">
                  <c:v>0.5862352689310365</c:v>
                </c:pt>
                <c:pt idx="586">
                  <c:v>0.58660702445524848</c:v>
                </c:pt>
                <c:pt idx="587">
                  <c:v>0.58672085362096704</c:v>
                </c:pt>
                <c:pt idx="588">
                  <c:v>0.58682245925631171</c:v>
                </c:pt>
                <c:pt idx="589">
                  <c:v>0.58696639832959652</c:v>
                </c:pt>
                <c:pt idx="590">
                  <c:v>0.58710515775976535</c:v>
                </c:pt>
                <c:pt idx="591">
                  <c:v>0.58721131074804667</c:v>
                </c:pt>
                <c:pt idx="592">
                  <c:v>0.58723545886042672</c:v>
                </c:pt>
                <c:pt idx="593">
                  <c:v>0.58739091705166468</c:v>
                </c:pt>
                <c:pt idx="594">
                  <c:v>0.58761371639786975</c:v>
                </c:pt>
                <c:pt idx="595">
                  <c:v>0.58794425451555388</c:v>
                </c:pt>
                <c:pt idx="596">
                  <c:v>0.58797498229879597</c:v>
                </c:pt>
                <c:pt idx="597">
                  <c:v>0.58832900348826189</c:v>
                </c:pt>
                <c:pt idx="598">
                  <c:v>0.58842612871137223</c:v>
                </c:pt>
                <c:pt idx="599">
                  <c:v>0.58914774443315709</c:v>
                </c:pt>
                <c:pt idx="600">
                  <c:v>0.58958394892712662</c:v>
                </c:pt>
                <c:pt idx="601">
                  <c:v>0.5896889430411506</c:v>
                </c:pt>
                <c:pt idx="602">
                  <c:v>0.58969597896195758</c:v>
                </c:pt>
                <c:pt idx="603">
                  <c:v>0.58985849787734157</c:v>
                </c:pt>
                <c:pt idx="604">
                  <c:v>0.59002274889192974</c:v>
                </c:pt>
                <c:pt idx="605">
                  <c:v>0.59014943389943353</c:v>
                </c:pt>
                <c:pt idx="606">
                  <c:v>0.59021299067065658</c:v>
                </c:pt>
                <c:pt idx="607">
                  <c:v>0.59029130937249985</c:v>
                </c:pt>
                <c:pt idx="608">
                  <c:v>0.59036563207636794</c:v>
                </c:pt>
                <c:pt idx="609">
                  <c:v>0.59048492474769232</c:v>
                </c:pt>
                <c:pt idx="610">
                  <c:v>0.59060418559375938</c:v>
                </c:pt>
                <c:pt idx="611">
                  <c:v>0.5909072548032247</c:v>
                </c:pt>
                <c:pt idx="612">
                  <c:v>0.59117027893982477</c:v>
                </c:pt>
                <c:pt idx="613">
                  <c:v>0.59143721628114532</c:v>
                </c:pt>
                <c:pt idx="614">
                  <c:v>0.59148301775807988</c:v>
                </c:pt>
                <c:pt idx="615">
                  <c:v>0.59163878230629929</c:v>
                </c:pt>
                <c:pt idx="616">
                  <c:v>0.59164472046434258</c:v>
                </c:pt>
                <c:pt idx="617">
                  <c:v>0.59184692134254535</c:v>
                </c:pt>
                <c:pt idx="618">
                  <c:v>0.59192411698158154</c:v>
                </c:pt>
                <c:pt idx="619">
                  <c:v>0.59199498504497738</c:v>
                </c:pt>
                <c:pt idx="620">
                  <c:v>0.59201086424586458</c:v>
                </c:pt>
                <c:pt idx="621">
                  <c:v>0.59205592564228104</c:v>
                </c:pt>
                <c:pt idx="622">
                  <c:v>0.59214064329933336</c:v>
                </c:pt>
                <c:pt idx="623">
                  <c:v>0.59234854551433802</c:v>
                </c:pt>
                <c:pt idx="624">
                  <c:v>0.59248838409912297</c:v>
                </c:pt>
                <c:pt idx="625">
                  <c:v>0.59250438903416724</c:v>
                </c:pt>
                <c:pt idx="626">
                  <c:v>0.59262234810316261</c:v>
                </c:pt>
                <c:pt idx="627">
                  <c:v>0.59268133524090538</c:v>
                </c:pt>
                <c:pt idx="628">
                  <c:v>0.59288410032391148</c:v>
                </c:pt>
                <c:pt idx="629">
                  <c:v>0.59332258149281891</c:v>
                </c:pt>
                <c:pt idx="630">
                  <c:v>0.59332545901991529</c:v>
                </c:pt>
                <c:pt idx="631">
                  <c:v>0.59350402819336523</c:v>
                </c:pt>
                <c:pt idx="632">
                  <c:v>0.59350418970878827</c:v>
                </c:pt>
                <c:pt idx="633">
                  <c:v>0.59362843643450069</c:v>
                </c:pt>
                <c:pt idx="634">
                  <c:v>0.59372416663575889</c:v>
                </c:pt>
                <c:pt idx="635">
                  <c:v>0.59385243324313775</c:v>
                </c:pt>
                <c:pt idx="636">
                  <c:v>0.59401042681626726</c:v>
                </c:pt>
                <c:pt idx="637">
                  <c:v>0.59414369103398679</c:v>
                </c:pt>
                <c:pt idx="638">
                  <c:v>0.5942787474534803</c:v>
                </c:pt>
                <c:pt idx="639">
                  <c:v>0.59446937967366675</c:v>
                </c:pt>
                <c:pt idx="640">
                  <c:v>0.59457361263907627</c:v>
                </c:pt>
                <c:pt idx="641">
                  <c:v>0.59459618181400375</c:v>
                </c:pt>
                <c:pt idx="642">
                  <c:v>0.59513620051983163</c:v>
                </c:pt>
                <c:pt idx="643">
                  <c:v>0.59543467302439756</c:v>
                </c:pt>
                <c:pt idx="644">
                  <c:v>0.59565442494957832</c:v>
                </c:pt>
                <c:pt idx="645">
                  <c:v>0.59576315177117101</c:v>
                </c:pt>
                <c:pt idx="646">
                  <c:v>0.59600767376232766</c:v>
                </c:pt>
                <c:pt idx="647">
                  <c:v>0.59608203550708649</c:v>
                </c:pt>
                <c:pt idx="648">
                  <c:v>0.59643440979611984</c:v>
                </c:pt>
                <c:pt idx="649">
                  <c:v>0.59644357376306778</c:v>
                </c:pt>
                <c:pt idx="650">
                  <c:v>0.59655693144065203</c:v>
                </c:pt>
                <c:pt idx="651">
                  <c:v>0.59676630438628686</c:v>
                </c:pt>
                <c:pt idx="652">
                  <c:v>0.59713712567166966</c:v>
                </c:pt>
                <c:pt idx="653">
                  <c:v>0.59717487860214369</c:v>
                </c:pt>
                <c:pt idx="654">
                  <c:v>0.59755739054868717</c:v>
                </c:pt>
                <c:pt idx="655">
                  <c:v>0.59771033013844466</c:v>
                </c:pt>
                <c:pt idx="656">
                  <c:v>0.59779354665217821</c:v>
                </c:pt>
                <c:pt idx="657">
                  <c:v>0.59786101891365107</c:v>
                </c:pt>
                <c:pt idx="658">
                  <c:v>0.59802415808739673</c:v>
                </c:pt>
                <c:pt idx="659">
                  <c:v>0.59814529818463791</c:v>
                </c:pt>
                <c:pt idx="660">
                  <c:v>0.59820641765801619</c:v>
                </c:pt>
                <c:pt idx="661">
                  <c:v>0.59824059739550106</c:v>
                </c:pt>
                <c:pt idx="662">
                  <c:v>0.59830096670569355</c:v>
                </c:pt>
                <c:pt idx="663">
                  <c:v>0.59840425531914865</c:v>
                </c:pt>
                <c:pt idx="664">
                  <c:v>0.59872598602713811</c:v>
                </c:pt>
                <c:pt idx="665">
                  <c:v>0.59874745513624272</c:v>
                </c:pt>
                <c:pt idx="666">
                  <c:v>0.59878168763897199</c:v>
                </c:pt>
                <c:pt idx="667">
                  <c:v>0.59917604089254972</c:v>
                </c:pt>
                <c:pt idx="668">
                  <c:v>0.5991956520680296</c:v>
                </c:pt>
                <c:pt idx="669">
                  <c:v>0.59926738798419621</c:v>
                </c:pt>
                <c:pt idx="670">
                  <c:v>0.59943112354055794</c:v>
                </c:pt>
                <c:pt idx="671">
                  <c:v>0.59953078623729772</c:v>
                </c:pt>
                <c:pt idx="672">
                  <c:v>0.59966581764559423</c:v>
                </c:pt>
                <c:pt idx="673">
                  <c:v>0.59970496566192855</c:v>
                </c:pt>
                <c:pt idx="674">
                  <c:v>0.600429082268783</c:v>
                </c:pt>
                <c:pt idx="675">
                  <c:v>0.60114228420146554</c:v>
                </c:pt>
                <c:pt idx="676">
                  <c:v>0.60144765984729354</c:v>
                </c:pt>
                <c:pt idx="677">
                  <c:v>0.60147950256217875</c:v>
                </c:pt>
                <c:pt idx="678">
                  <c:v>0.60156224237759548</c:v>
                </c:pt>
                <c:pt idx="679">
                  <c:v>0.60179153600846214</c:v>
                </c:pt>
                <c:pt idx="680">
                  <c:v>0.60192713038241397</c:v>
                </c:pt>
                <c:pt idx="681">
                  <c:v>0.60196158008658018</c:v>
                </c:pt>
                <c:pt idx="682">
                  <c:v>0.60206289462657714</c:v>
                </c:pt>
                <c:pt idx="683">
                  <c:v>0.60209265608505202</c:v>
                </c:pt>
                <c:pt idx="684">
                  <c:v>0.60249686340049569</c:v>
                </c:pt>
                <c:pt idx="685">
                  <c:v>0.60254391652002126</c:v>
                </c:pt>
                <c:pt idx="686">
                  <c:v>0.60268755619471104</c:v>
                </c:pt>
                <c:pt idx="687">
                  <c:v>0.60304004426416691</c:v>
                </c:pt>
                <c:pt idx="688">
                  <c:v>0.60310023193659434</c:v>
                </c:pt>
                <c:pt idx="689">
                  <c:v>0.60372284698666856</c:v>
                </c:pt>
                <c:pt idx="690">
                  <c:v>0.6040203079508093</c:v>
                </c:pt>
                <c:pt idx="691">
                  <c:v>0.60410962941027258</c:v>
                </c:pt>
                <c:pt idx="692">
                  <c:v>0.60411142676767715</c:v>
                </c:pt>
                <c:pt idx="693">
                  <c:v>0.60420713332214171</c:v>
                </c:pt>
                <c:pt idx="694">
                  <c:v>0.60434784324117774</c:v>
                </c:pt>
                <c:pt idx="695">
                  <c:v>0.60450439306006865</c:v>
                </c:pt>
                <c:pt idx="696">
                  <c:v>0.6046163462054609</c:v>
                </c:pt>
                <c:pt idx="697">
                  <c:v>0.6049107142857143</c:v>
                </c:pt>
                <c:pt idx="698">
                  <c:v>0.60502524970657612</c:v>
                </c:pt>
                <c:pt idx="699">
                  <c:v>0.60507721642932089</c:v>
                </c:pt>
                <c:pt idx="700">
                  <c:v>0.60534313929926864</c:v>
                </c:pt>
                <c:pt idx="701">
                  <c:v>0.60550903307431492</c:v>
                </c:pt>
                <c:pt idx="702">
                  <c:v>0.60560986105891135</c:v>
                </c:pt>
                <c:pt idx="703">
                  <c:v>0.60567646056470748</c:v>
                </c:pt>
                <c:pt idx="704">
                  <c:v>0.60568668916624713</c:v>
                </c:pt>
                <c:pt idx="705">
                  <c:v>0.60593230419946498</c:v>
                </c:pt>
                <c:pt idx="706">
                  <c:v>0.60603898899206665</c:v>
                </c:pt>
                <c:pt idx="707">
                  <c:v>0.60616315111271102</c:v>
                </c:pt>
                <c:pt idx="708">
                  <c:v>0.60617580514860459</c:v>
                </c:pt>
                <c:pt idx="709">
                  <c:v>0.60622799787885251</c:v>
                </c:pt>
                <c:pt idx="710">
                  <c:v>0.60624055669594257</c:v>
                </c:pt>
                <c:pt idx="711">
                  <c:v>0.60679862495191994</c:v>
                </c:pt>
                <c:pt idx="712">
                  <c:v>0.60683126782230024</c:v>
                </c:pt>
                <c:pt idx="713">
                  <c:v>0.60717519719305713</c:v>
                </c:pt>
                <c:pt idx="714">
                  <c:v>0.60726695228587058</c:v>
                </c:pt>
                <c:pt idx="715">
                  <c:v>0.60748059706299196</c:v>
                </c:pt>
                <c:pt idx="716">
                  <c:v>0.60753300802146692</c:v>
                </c:pt>
                <c:pt idx="717">
                  <c:v>0.60755495850999786</c:v>
                </c:pt>
                <c:pt idx="718">
                  <c:v>0.60777127852621693</c:v>
                </c:pt>
                <c:pt idx="719">
                  <c:v>0.60778138321562647</c:v>
                </c:pt>
                <c:pt idx="720">
                  <c:v>0.6077821207218439</c:v>
                </c:pt>
                <c:pt idx="721">
                  <c:v>0.60779177778010296</c:v>
                </c:pt>
                <c:pt idx="722">
                  <c:v>0.60786760617399127</c:v>
                </c:pt>
                <c:pt idx="723">
                  <c:v>0.60794439828476998</c:v>
                </c:pt>
                <c:pt idx="724">
                  <c:v>0.60804459509639497</c:v>
                </c:pt>
                <c:pt idx="725">
                  <c:v>0.60811583158696869</c:v>
                </c:pt>
                <c:pt idx="726">
                  <c:v>0.60825308659535826</c:v>
                </c:pt>
                <c:pt idx="727">
                  <c:v>0.6085062996837578</c:v>
                </c:pt>
                <c:pt idx="728">
                  <c:v>0.60860079411698487</c:v>
                </c:pt>
                <c:pt idx="729">
                  <c:v>0.60892089066324495</c:v>
                </c:pt>
                <c:pt idx="730">
                  <c:v>0.60897936089240234</c:v>
                </c:pt>
                <c:pt idx="731">
                  <c:v>0.6089985358039206</c:v>
                </c:pt>
                <c:pt idx="732">
                  <c:v>0.60917842264340605</c:v>
                </c:pt>
                <c:pt idx="733">
                  <c:v>0.60920837366755665</c:v>
                </c:pt>
                <c:pt idx="734">
                  <c:v>0.60952371621736168</c:v>
                </c:pt>
                <c:pt idx="735">
                  <c:v>0.60964302528188963</c:v>
                </c:pt>
                <c:pt idx="736">
                  <c:v>0.60964659446962555</c:v>
                </c:pt>
                <c:pt idx="737">
                  <c:v>0.60966637815721147</c:v>
                </c:pt>
                <c:pt idx="738">
                  <c:v>0.60973804362638906</c:v>
                </c:pt>
                <c:pt idx="739">
                  <c:v>0.60991806815680505</c:v>
                </c:pt>
                <c:pt idx="740">
                  <c:v>0.60991919128327043</c:v>
                </c:pt>
                <c:pt idx="741">
                  <c:v>0.60994280311705329</c:v>
                </c:pt>
                <c:pt idx="742">
                  <c:v>0.60995110266879626</c:v>
                </c:pt>
                <c:pt idx="743">
                  <c:v>0.61007078488456246</c:v>
                </c:pt>
                <c:pt idx="744">
                  <c:v>0.6101012319915059</c:v>
                </c:pt>
                <c:pt idx="745">
                  <c:v>0.61017754146783809</c:v>
                </c:pt>
                <c:pt idx="746">
                  <c:v>0.61047585290850526</c:v>
                </c:pt>
                <c:pt idx="747">
                  <c:v>0.61051352117326463</c:v>
                </c:pt>
                <c:pt idx="748">
                  <c:v>0.61058924492797051</c:v>
                </c:pt>
                <c:pt idx="749">
                  <c:v>0.61069223229898562</c:v>
                </c:pt>
                <c:pt idx="750">
                  <c:v>0.6107086437605741</c:v>
                </c:pt>
                <c:pt idx="751">
                  <c:v>0.6109229865022896</c:v>
                </c:pt>
                <c:pt idx="752">
                  <c:v>0.61103069371264662</c:v>
                </c:pt>
                <c:pt idx="753">
                  <c:v>0.61107438435332673</c:v>
                </c:pt>
                <c:pt idx="754">
                  <c:v>0.61122993581305218</c:v>
                </c:pt>
                <c:pt idx="755">
                  <c:v>0.61126913422358053</c:v>
                </c:pt>
                <c:pt idx="756">
                  <c:v>0.61143743067459855</c:v>
                </c:pt>
                <c:pt idx="757">
                  <c:v>0.61158219463144814</c:v>
                </c:pt>
                <c:pt idx="758">
                  <c:v>0.61167174160705517</c:v>
                </c:pt>
                <c:pt idx="759">
                  <c:v>0.61169007109918283</c:v>
                </c:pt>
                <c:pt idx="760">
                  <c:v>0.61170590368224242</c:v>
                </c:pt>
                <c:pt idx="761">
                  <c:v>0.61174692680456932</c:v>
                </c:pt>
                <c:pt idx="762">
                  <c:v>0.61180122036121787</c:v>
                </c:pt>
                <c:pt idx="763">
                  <c:v>0.61180692351153654</c:v>
                </c:pt>
                <c:pt idx="764">
                  <c:v>0.61192341202413914</c:v>
                </c:pt>
                <c:pt idx="765">
                  <c:v>0.6120317823197976</c:v>
                </c:pt>
                <c:pt idx="766">
                  <c:v>0.61211629562693393</c:v>
                </c:pt>
                <c:pt idx="767">
                  <c:v>0.61218517745808843</c:v>
                </c:pt>
                <c:pt idx="768">
                  <c:v>0.61225503814948123</c:v>
                </c:pt>
                <c:pt idx="769">
                  <c:v>0.61261143639660953</c:v>
                </c:pt>
                <c:pt idx="770">
                  <c:v>0.61265019130512666</c:v>
                </c:pt>
                <c:pt idx="771">
                  <c:v>0.61272565404414403</c:v>
                </c:pt>
                <c:pt idx="772">
                  <c:v>0.61292136383539009</c:v>
                </c:pt>
                <c:pt idx="773">
                  <c:v>0.61294609320467508</c:v>
                </c:pt>
                <c:pt idx="774">
                  <c:v>0.61299620274808464</c:v>
                </c:pt>
                <c:pt idx="775">
                  <c:v>0.61307033365122077</c:v>
                </c:pt>
                <c:pt idx="776">
                  <c:v>0.61321415158200787</c:v>
                </c:pt>
                <c:pt idx="777">
                  <c:v>0.61339336314064907</c:v>
                </c:pt>
                <c:pt idx="778">
                  <c:v>0.61342838837413893</c:v>
                </c:pt>
                <c:pt idx="779">
                  <c:v>0.6134528120890731</c:v>
                </c:pt>
                <c:pt idx="780">
                  <c:v>0.61352769044061195</c:v>
                </c:pt>
                <c:pt idx="781">
                  <c:v>0.61354461882874023</c:v>
                </c:pt>
                <c:pt idx="782">
                  <c:v>0.61361993651793589</c:v>
                </c:pt>
                <c:pt idx="783">
                  <c:v>0.61371066057457635</c:v>
                </c:pt>
                <c:pt idx="784">
                  <c:v>0.61383784712773759</c:v>
                </c:pt>
                <c:pt idx="785">
                  <c:v>0.61390770562068198</c:v>
                </c:pt>
                <c:pt idx="786">
                  <c:v>0.61396433776187176</c:v>
                </c:pt>
                <c:pt idx="787">
                  <c:v>0.61411282372746023</c:v>
                </c:pt>
                <c:pt idx="788">
                  <c:v>0.61439160068997922</c:v>
                </c:pt>
                <c:pt idx="789">
                  <c:v>0.6144993391150162</c:v>
                </c:pt>
                <c:pt idx="790">
                  <c:v>0.61460005047293254</c:v>
                </c:pt>
                <c:pt idx="791">
                  <c:v>0.61475201302583593</c:v>
                </c:pt>
                <c:pt idx="792">
                  <c:v>0.61487170905988064</c:v>
                </c:pt>
                <c:pt idx="793">
                  <c:v>0.61487774945718843</c:v>
                </c:pt>
                <c:pt idx="794">
                  <c:v>0.61492880508769576</c:v>
                </c:pt>
                <c:pt idx="795">
                  <c:v>0.61502743891860634</c:v>
                </c:pt>
                <c:pt idx="796">
                  <c:v>0.61508683431210087</c:v>
                </c:pt>
                <c:pt idx="797">
                  <c:v>0.61513558225616949</c:v>
                </c:pt>
                <c:pt idx="798">
                  <c:v>0.61523146897787728</c:v>
                </c:pt>
                <c:pt idx="799">
                  <c:v>0.61531818416095807</c:v>
                </c:pt>
                <c:pt idx="800">
                  <c:v>0.61538571326625291</c:v>
                </c:pt>
                <c:pt idx="801">
                  <c:v>0.61539693734584333</c:v>
                </c:pt>
                <c:pt idx="802">
                  <c:v>0.61543921403634982</c:v>
                </c:pt>
                <c:pt idx="803">
                  <c:v>0.61556575064700314</c:v>
                </c:pt>
                <c:pt idx="804">
                  <c:v>0.61561995325649699</c:v>
                </c:pt>
                <c:pt idx="805">
                  <c:v>0.61562869918145313</c:v>
                </c:pt>
                <c:pt idx="806">
                  <c:v>0.61587019672180554</c:v>
                </c:pt>
                <c:pt idx="807">
                  <c:v>0.61590398290409298</c:v>
                </c:pt>
                <c:pt idx="808">
                  <c:v>0.61596407728483193</c:v>
                </c:pt>
                <c:pt idx="809">
                  <c:v>0.61608964601483218</c:v>
                </c:pt>
                <c:pt idx="810">
                  <c:v>0.6161251688135323</c:v>
                </c:pt>
                <c:pt idx="811">
                  <c:v>0.61647092323060637</c:v>
                </c:pt>
                <c:pt idx="812">
                  <c:v>0.61651762663824894</c:v>
                </c:pt>
                <c:pt idx="813">
                  <c:v>0.6165373173938008</c:v>
                </c:pt>
                <c:pt idx="814">
                  <c:v>0.61666271731953481</c:v>
                </c:pt>
                <c:pt idx="815">
                  <c:v>0.61687413712671979</c:v>
                </c:pt>
                <c:pt idx="816">
                  <c:v>0.61720182414836144</c:v>
                </c:pt>
                <c:pt idx="817">
                  <c:v>0.61721869836248477</c:v>
                </c:pt>
                <c:pt idx="818">
                  <c:v>0.61731627091262309</c:v>
                </c:pt>
                <c:pt idx="819">
                  <c:v>0.61751543821199495</c:v>
                </c:pt>
                <c:pt idx="820">
                  <c:v>0.61759883605626897</c:v>
                </c:pt>
                <c:pt idx="821">
                  <c:v>0.61766443550124805</c:v>
                </c:pt>
                <c:pt idx="822">
                  <c:v>0.61790795341898253</c:v>
                </c:pt>
                <c:pt idx="823">
                  <c:v>0.61793714426527035</c:v>
                </c:pt>
                <c:pt idx="824">
                  <c:v>0.61803740321911194</c:v>
                </c:pt>
                <c:pt idx="825">
                  <c:v>0.61816637355445159</c:v>
                </c:pt>
                <c:pt idx="826">
                  <c:v>0.61824148715915506</c:v>
                </c:pt>
                <c:pt idx="827">
                  <c:v>0.61833436440834877</c:v>
                </c:pt>
                <c:pt idx="828">
                  <c:v>0.61841880317406761</c:v>
                </c:pt>
                <c:pt idx="829">
                  <c:v>0.61846455213715634</c:v>
                </c:pt>
                <c:pt idx="830">
                  <c:v>0.61852648913766861</c:v>
                </c:pt>
                <c:pt idx="831">
                  <c:v>0.61857309771982427</c:v>
                </c:pt>
                <c:pt idx="832">
                  <c:v>0.61861493554357638</c:v>
                </c:pt>
                <c:pt idx="833">
                  <c:v>0.61876168335849002</c:v>
                </c:pt>
                <c:pt idx="834">
                  <c:v>0.61890433005906642</c:v>
                </c:pt>
                <c:pt idx="835">
                  <c:v>0.61914379456860691</c:v>
                </c:pt>
                <c:pt idx="836">
                  <c:v>0.61920083481890531</c:v>
                </c:pt>
                <c:pt idx="837">
                  <c:v>0.61922973943021131</c:v>
                </c:pt>
                <c:pt idx="838">
                  <c:v>0.61934450121950679</c:v>
                </c:pt>
                <c:pt idx="839">
                  <c:v>0.61941725010233617</c:v>
                </c:pt>
                <c:pt idx="840">
                  <c:v>0.61942545826460516</c:v>
                </c:pt>
                <c:pt idx="841">
                  <c:v>0.61954302382109827</c:v>
                </c:pt>
                <c:pt idx="842">
                  <c:v>0.61959773635524262</c:v>
                </c:pt>
                <c:pt idx="843">
                  <c:v>0.61960855641943058</c:v>
                </c:pt>
                <c:pt idx="844">
                  <c:v>0.61978168309415282</c:v>
                </c:pt>
                <c:pt idx="845">
                  <c:v>0.61982371923802437</c:v>
                </c:pt>
                <c:pt idx="846">
                  <c:v>0.62000345767036469</c:v>
                </c:pt>
                <c:pt idx="847">
                  <c:v>0.62000650882759667</c:v>
                </c:pt>
                <c:pt idx="848">
                  <c:v>0.62001673081691377</c:v>
                </c:pt>
                <c:pt idx="849">
                  <c:v>0.62032479296269738</c:v>
                </c:pt>
                <c:pt idx="850">
                  <c:v>0.62036689394724154</c:v>
                </c:pt>
                <c:pt idx="851">
                  <c:v>0.62039510345192039</c:v>
                </c:pt>
                <c:pt idx="852">
                  <c:v>0.62061544879029307</c:v>
                </c:pt>
                <c:pt idx="853">
                  <c:v>0.62074573381710485</c:v>
                </c:pt>
                <c:pt idx="854">
                  <c:v>0.62076215158406955</c:v>
                </c:pt>
                <c:pt idx="855">
                  <c:v>0.620764673078953</c:v>
                </c:pt>
                <c:pt idx="856">
                  <c:v>0.6210457423851129</c:v>
                </c:pt>
                <c:pt idx="857">
                  <c:v>0.62131701655433658</c:v>
                </c:pt>
                <c:pt idx="858">
                  <c:v>0.62133010628222674</c:v>
                </c:pt>
                <c:pt idx="859">
                  <c:v>0.6213933341055129</c:v>
                </c:pt>
                <c:pt idx="860">
                  <c:v>0.62140844861114553</c:v>
                </c:pt>
                <c:pt idx="861">
                  <c:v>0.62144468565104505</c:v>
                </c:pt>
                <c:pt idx="862">
                  <c:v>0.62183160236871082</c:v>
                </c:pt>
                <c:pt idx="863">
                  <c:v>0.62209164853306009</c:v>
                </c:pt>
                <c:pt idx="864">
                  <c:v>0.62218625751284606</c:v>
                </c:pt>
                <c:pt idx="865">
                  <c:v>0.62219207870176241</c:v>
                </c:pt>
                <c:pt idx="866">
                  <c:v>0.62221524496206615</c:v>
                </c:pt>
                <c:pt idx="867">
                  <c:v>0.62222970264978006</c:v>
                </c:pt>
                <c:pt idx="868">
                  <c:v>0.62226553051780931</c:v>
                </c:pt>
                <c:pt idx="869">
                  <c:v>0.62231679696236886</c:v>
                </c:pt>
                <c:pt idx="870">
                  <c:v>0.62236769315876816</c:v>
                </c:pt>
                <c:pt idx="871">
                  <c:v>0.62243360893628219</c:v>
                </c:pt>
                <c:pt idx="872">
                  <c:v>0.62244943700755551</c:v>
                </c:pt>
                <c:pt idx="873">
                  <c:v>0.62258462378858193</c:v>
                </c:pt>
                <c:pt idx="874">
                  <c:v>0.62266029698692493</c:v>
                </c:pt>
                <c:pt idx="875">
                  <c:v>0.62268373722567694</c:v>
                </c:pt>
                <c:pt idx="876">
                  <c:v>0.62269810666855141</c:v>
                </c:pt>
                <c:pt idx="877">
                  <c:v>0.62271386076380264</c:v>
                </c:pt>
                <c:pt idx="878">
                  <c:v>0.6227201476397205</c:v>
                </c:pt>
                <c:pt idx="879">
                  <c:v>0.62293734899435105</c:v>
                </c:pt>
                <c:pt idx="880">
                  <c:v>0.62294373680970028</c:v>
                </c:pt>
                <c:pt idx="881">
                  <c:v>0.62300311911736783</c:v>
                </c:pt>
                <c:pt idx="882">
                  <c:v>0.62304872023783742</c:v>
                </c:pt>
                <c:pt idx="883">
                  <c:v>0.62325966603927896</c:v>
                </c:pt>
                <c:pt idx="884">
                  <c:v>0.62351287338843331</c:v>
                </c:pt>
                <c:pt idx="885">
                  <c:v>0.62351781714884069</c:v>
                </c:pt>
                <c:pt idx="886">
                  <c:v>0.62367062179467592</c:v>
                </c:pt>
                <c:pt idx="887">
                  <c:v>0.62385396108234215</c:v>
                </c:pt>
                <c:pt idx="888">
                  <c:v>0.6240095512293371</c:v>
                </c:pt>
                <c:pt idx="889">
                  <c:v>0.62416488893841249</c:v>
                </c:pt>
                <c:pt idx="890">
                  <c:v>0.62431388948470534</c:v>
                </c:pt>
                <c:pt idx="891">
                  <c:v>0.62432483837538144</c:v>
                </c:pt>
                <c:pt idx="892">
                  <c:v>0.62452318326039913</c:v>
                </c:pt>
                <c:pt idx="893">
                  <c:v>0.62463676828756187</c:v>
                </c:pt>
                <c:pt idx="894">
                  <c:v>0.62482959923043968</c:v>
                </c:pt>
                <c:pt idx="895">
                  <c:v>0.62483940430305995</c:v>
                </c:pt>
                <c:pt idx="896">
                  <c:v>0.62489696938146888</c:v>
                </c:pt>
                <c:pt idx="897">
                  <c:v>0.6249830287048177</c:v>
                </c:pt>
                <c:pt idx="898">
                  <c:v>0.62498610519295184</c:v>
                </c:pt>
                <c:pt idx="899">
                  <c:v>0.62508465069901697</c:v>
                </c:pt>
                <c:pt idx="900">
                  <c:v>0.62510307063945447</c:v>
                </c:pt>
                <c:pt idx="901">
                  <c:v>0.62511822573408649</c:v>
                </c:pt>
                <c:pt idx="902">
                  <c:v>0.62520682024573559</c:v>
                </c:pt>
                <c:pt idx="903">
                  <c:v>0.62524073795668822</c:v>
                </c:pt>
                <c:pt idx="904">
                  <c:v>0.62534217156730121</c:v>
                </c:pt>
                <c:pt idx="905">
                  <c:v>0.62562816129444576</c:v>
                </c:pt>
                <c:pt idx="906">
                  <c:v>0.62583684895726011</c:v>
                </c:pt>
                <c:pt idx="907">
                  <c:v>0.62591024803630924</c:v>
                </c:pt>
                <c:pt idx="908">
                  <c:v>0.62598335029668395</c:v>
                </c:pt>
                <c:pt idx="909">
                  <c:v>0.62605819331420887</c:v>
                </c:pt>
                <c:pt idx="910">
                  <c:v>0.62606392531551902</c:v>
                </c:pt>
                <c:pt idx="911">
                  <c:v>0.62616319752686789</c:v>
                </c:pt>
                <c:pt idx="912">
                  <c:v>0.62628229728104301</c:v>
                </c:pt>
                <c:pt idx="913">
                  <c:v>0.62629743032447127</c:v>
                </c:pt>
                <c:pt idx="914">
                  <c:v>0.62642197596454907</c:v>
                </c:pt>
                <c:pt idx="915">
                  <c:v>0.62645116475393758</c:v>
                </c:pt>
                <c:pt idx="916">
                  <c:v>0.62661156642594629</c:v>
                </c:pt>
                <c:pt idx="917">
                  <c:v>0.62671232876712302</c:v>
                </c:pt>
                <c:pt idx="918">
                  <c:v>0.62671733713497657</c:v>
                </c:pt>
                <c:pt idx="919">
                  <c:v>0.6268058858877058</c:v>
                </c:pt>
                <c:pt idx="920">
                  <c:v>0.62704590494476098</c:v>
                </c:pt>
                <c:pt idx="921">
                  <c:v>0.62727425389206137</c:v>
                </c:pt>
                <c:pt idx="922">
                  <c:v>0.62729806862680038</c:v>
                </c:pt>
                <c:pt idx="923">
                  <c:v>0.62734798915572343</c:v>
                </c:pt>
                <c:pt idx="924">
                  <c:v>0.62747880834300584</c:v>
                </c:pt>
                <c:pt idx="925">
                  <c:v>0.62748284554754996</c:v>
                </c:pt>
                <c:pt idx="926">
                  <c:v>0.62757008702357409</c:v>
                </c:pt>
                <c:pt idx="927">
                  <c:v>0.62758291577189174</c:v>
                </c:pt>
                <c:pt idx="928">
                  <c:v>0.62759700224694392</c:v>
                </c:pt>
                <c:pt idx="929">
                  <c:v>0.62761552617230121</c:v>
                </c:pt>
                <c:pt idx="930">
                  <c:v>0.62767215653123931</c:v>
                </c:pt>
                <c:pt idx="931">
                  <c:v>0.62796392349372565</c:v>
                </c:pt>
                <c:pt idx="932">
                  <c:v>0.62798194713088307</c:v>
                </c:pt>
                <c:pt idx="933">
                  <c:v>0.62798404217520321</c:v>
                </c:pt>
                <c:pt idx="934">
                  <c:v>0.62802172189207295</c:v>
                </c:pt>
                <c:pt idx="935">
                  <c:v>0.62815490990837575</c:v>
                </c:pt>
                <c:pt idx="936">
                  <c:v>0.62836062346181709</c:v>
                </c:pt>
                <c:pt idx="937">
                  <c:v>0.62854265458159142</c:v>
                </c:pt>
                <c:pt idx="938">
                  <c:v>0.62857944072131866</c:v>
                </c:pt>
                <c:pt idx="939">
                  <c:v>0.6287276251926297</c:v>
                </c:pt>
                <c:pt idx="940">
                  <c:v>0.62900025114145841</c:v>
                </c:pt>
                <c:pt idx="941">
                  <c:v>0.62906592619865775</c:v>
                </c:pt>
                <c:pt idx="942">
                  <c:v>0.62912936696506394</c:v>
                </c:pt>
                <c:pt idx="943">
                  <c:v>0.62933534021720705</c:v>
                </c:pt>
                <c:pt idx="944">
                  <c:v>0.62951889130343452</c:v>
                </c:pt>
                <c:pt idx="945">
                  <c:v>0.62958202802673457</c:v>
                </c:pt>
                <c:pt idx="946">
                  <c:v>0.62963220724777813</c:v>
                </c:pt>
                <c:pt idx="947">
                  <c:v>0.62970349516173485</c:v>
                </c:pt>
                <c:pt idx="948">
                  <c:v>0.62981691368788251</c:v>
                </c:pt>
                <c:pt idx="949">
                  <c:v>0.62994352524079056</c:v>
                </c:pt>
                <c:pt idx="950">
                  <c:v>0.63000428269112141</c:v>
                </c:pt>
                <c:pt idx="951">
                  <c:v>0.63008496342706377</c:v>
                </c:pt>
                <c:pt idx="952">
                  <c:v>0.63016630891248682</c:v>
                </c:pt>
                <c:pt idx="953">
                  <c:v>0.63032454361054735</c:v>
                </c:pt>
                <c:pt idx="954">
                  <c:v>0.63045601015525821</c:v>
                </c:pt>
                <c:pt idx="955">
                  <c:v>0.63045723332424664</c:v>
                </c:pt>
                <c:pt idx="956">
                  <c:v>0.63050707254528859</c:v>
                </c:pt>
                <c:pt idx="957">
                  <c:v>0.63051551882411994</c:v>
                </c:pt>
                <c:pt idx="958">
                  <c:v>0.63059533345036711</c:v>
                </c:pt>
                <c:pt idx="959">
                  <c:v>0.63065144581509458</c:v>
                </c:pt>
                <c:pt idx="960">
                  <c:v>0.63066021492953861</c:v>
                </c:pt>
                <c:pt idx="961">
                  <c:v>0.63080220042063773</c:v>
                </c:pt>
                <c:pt idx="962">
                  <c:v>0.63090662440950684</c:v>
                </c:pt>
                <c:pt idx="963">
                  <c:v>0.63091322055137866</c:v>
                </c:pt>
                <c:pt idx="964">
                  <c:v>0.63143668960689303</c:v>
                </c:pt>
                <c:pt idx="965">
                  <c:v>0.63150206140620369</c:v>
                </c:pt>
                <c:pt idx="966">
                  <c:v>0.63150875604146606</c:v>
                </c:pt>
                <c:pt idx="967">
                  <c:v>0.6316886066027303</c:v>
                </c:pt>
                <c:pt idx="968">
                  <c:v>0.6317078743739597</c:v>
                </c:pt>
                <c:pt idx="969">
                  <c:v>0.63189540294648427</c:v>
                </c:pt>
                <c:pt idx="970">
                  <c:v>0.6319105691056911</c:v>
                </c:pt>
                <c:pt idx="971">
                  <c:v>0.63233641434207855</c:v>
                </c:pt>
                <c:pt idx="972">
                  <c:v>0.63237706565879981</c:v>
                </c:pt>
                <c:pt idx="973">
                  <c:v>0.63281214414966491</c:v>
                </c:pt>
                <c:pt idx="974">
                  <c:v>0.63286234748883652</c:v>
                </c:pt>
                <c:pt idx="975">
                  <c:v>0.6329061868799305</c:v>
                </c:pt>
                <c:pt idx="976">
                  <c:v>0.63292706754608719</c:v>
                </c:pt>
                <c:pt idx="977">
                  <c:v>0.63293082254749056</c:v>
                </c:pt>
                <c:pt idx="978">
                  <c:v>0.63293407956166448</c:v>
                </c:pt>
                <c:pt idx="979">
                  <c:v>0.63293428284253994</c:v>
                </c:pt>
                <c:pt idx="980">
                  <c:v>0.63305588470622598</c:v>
                </c:pt>
                <c:pt idx="981">
                  <c:v>0.63315599027329805</c:v>
                </c:pt>
                <c:pt idx="982">
                  <c:v>0.63315754028545479</c:v>
                </c:pt>
                <c:pt idx="983">
                  <c:v>0.63322355289421073</c:v>
                </c:pt>
                <c:pt idx="984">
                  <c:v>0.6332378197693258</c:v>
                </c:pt>
                <c:pt idx="985">
                  <c:v>0.63351735539629972</c:v>
                </c:pt>
                <c:pt idx="986">
                  <c:v>0.63366680792026309</c:v>
                </c:pt>
                <c:pt idx="987">
                  <c:v>0.6337990168111971</c:v>
                </c:pt>
                <c:pt idx="988">
                  <c:v>0.63382210756828217</c:v>
                </c:pt>
                <c:pt idx="989">
                  <c:v>0.63383733434591982</c:v>
                </c:pt>
                <c:pt idx="990">
                  <c:v>0.6343650377671447</c:v>
                </c:pt>
                <c:pt idx="991">
                  <c:v>0.63445165540016146</c:v>
                </c:pt>
                <c:pt idx="992">
                  <c:v>0.63446109670463113</c:v>
                </c:pt>
                <c:pt idx="993">
                  <c:v>0.63452320840930221</c:v>
                </c:pt>
                <c:pt idx="994">
                  <c:v>0.63487050359045472</c:v>
                </c:pt>
                <c:pt idx="995">
                  <c:v>0.63498451961234581</c:v>
                </c:pt>
                <c:pt idx="996">
                  <c:v>0.63518284690204363</c:v>
                </c:pt>
                <c:pt idx="997">
                  <c:v>0.63525213515426804</c:v>
                </c:pt>
                <c:pt idx="998">
                  <c:v>0.6353454474742255</c:v>
                </c:pt>
                <c:pt idx="999">
                  <c:v>0.63539394397444149</c:v>
                </c:pt>
                <c:pt idx="1000">
                  <c:v>0.63546261255382974</c:v>
                </c:pt>
                <c:pt idx="1001">
                  <c:v>0.63546450774210528</c:v>
                </c:pt>
                <c:pt idx="1002">
                  <c:v>0.63547672619884732</c:v>
                </c:pt>
                <c:pt idx="1003">
                  <c:v>0.6355192169883862</c:v>
                </c:pt>
                <c:pt idx="1004">
                  <c:v>0.63552132401412664</c:v>
                </c:pt>
                <c:pt idx="1005">
                  <c:v>0.63559600534949889</c:v>
                </c:pt>
                <c:pt idx="1006">
                  <c:v>0.63560791513667902</c:v>
                </c:pt>
                <c:pt idx="1007">
                  <c:v>0.6356405268724864</c:v>
                </c:pt>
                <c:pt idx="1008">
                  <c:v>0.63572929581776449</c:v>
                </c:pt>
                <c:pt idx="1009">
                  <c:v>0.63575052795664355</c:v>
                </c:pt>
                <c:pt idx="1010">
                  <c:v>0.63595456502611469</c:v>
                </c:pt>
                <c:pt idx="1011">
                  <c:v>0.63620723420817049</c:v>
                </c:pt>
                <c:pt idx="1012">
                  <c:v>0.63667759562841475</c:v>
                </c:pt>
                <c:pt idx="1013">
                  <c:v>0.63704141923968982</c:v>
                </c:pt>
                <c:pt idx="1014">
                  <c:v>0.63742232046787062</c:v>
                </c:pt>
                <c:pt idx="1015">
                  <c:v>0.63755034938193378</c:v>
                </c:pt>
                <c:pt idx="1016">
                  <c:v>0.63774470641423442</c:v>
                </c:pt>
                <c:pt idx="1017">
                  <c:v>0.63789820621570215</c:v>
                </c:pt>
                <c:pt idx="1018">
                  <c:v>0.6378997479054328</c:v>
                </c:pt>
                <c:pt idx="1019">
                  <c:v>0.63805384335774606</c:v>
                </c:pt>
                <c:pt idx="1020">
                  <c:v>0.63811160868668126</c:v>
                </c:pt>
                <c:pt idx="1021">
                  <c:v>0.63835164835164837</c:v>
                </c:pt>
                <c:pt idx="1022">
                  <c:v>0.6384236644375364</c:v>
                </c:pt>
                <c:pt idx="1023">
                  <c:v>0.63860328316873727</c:v>
                </c:pt>
                <c:pt idx="1024">
                  <c:v>0.63861885353113546</c:v>
                </c:pt>
                <c:pt idx="1025">
                  <c:v>0.63867002420489449</c:v>
                </c:pt>
                <c:pt idx="1026">
                  <c:v>0.63872131791680398</c:v>
                </c:pt>
                <c:pt idx="1027">
                  <c:v>0.63875104619320378</c:v>
                </c:pt>
                <c:pt idx="1028">
                  <c:v>0.63884656055688871</c:v>
                </c:pt>
                <c:pt idx="1029">
                  <c:v>0.63908103195344756</c:v>
                </c:pt>
                <c:pt idx="1030">
                  <c:v>0.63912064329937557</c:v>
                </c:pt>
                <c:pt idx="1031">
                  <c:v>0.6391452276131675</c:v>
                </c:pt>
                <c:pt idx="1032">
                  <c:v>0.63929543504753505</c:v>
                </c:pt>
                <c:pt idx="1033">
                  <c:v>0.63931020317881659</c:v>
                </c:pt>
                <c:pt idx="1034">
                  <c:v>0.63939634440974547</c:v>
                </c:pt>
                <c:pt idx="1035">
                  <c:v>0.63953126542470451</c:v>
                </c:pt>
                <c:pt idx="1036">
                  <c:v>0.63966136495137227</c:v>
                </c:pt>
                <c:pt idx="1037">
                  <c:v>0.63972681800692588</c:v>
                </c:pt>
                <c:pt idx="1038">
                  <c:v>0.63973184331137534</c:v>
                </c:pt>
                <c:pt idx="1039">
                  <c:v>0.63992913814522445</c:v>
                </c:pt>
                <c:pt idx="1040">
                  <c:v>0.64017447685327988</c:v>
                </c:pt>
                <c:pt idx="1041">
                  <c:v>0.64033513920622909</c:v>
                </c:pt>
                <c:pt idx="1042">
                  <c:v>0.64034368879416748</c:v>
                </c:pt>
                <c:pt idx="1043">
                  <c:v>0.64034977997892695</c:v>
                </c:pt>
                <c:pt idx="1044">
                  <c:v>0.64038398312772438</c:v>
                </c:pt>
                <c:pt idx="1045">
                  <c:v>0.64040221704687783</c:v>
                </c:pt>
                <c:pt idx="1046">
                  <c:v>0.64048359538482214</c:v>
                </c:pt>
                <c:pt idx="1047">
                  <c:v>0.64051715890297156</c:v>
                </c:pt>
                <c:pt idx="1048">
                  <c:v>0.64058696883852595</c:v>
                </c:pt>
                <c:pt idx="1049">
                  <c:v>0.64059590906881569</c:v>
                </c:pt>
                <c:pt idx="1050">
                  <c:v>0.64086276461957703</c:v>
                </c:pt>
                <c:pt idx="1051">
                  <c:v>0.64089494473925857</c:v>
                </c:pt>
                <c:pt idx="1052">
                  <c:v>0.64094777098827138</c:v>
                </c:pt>
                <c:pt idx="1053">
                  <c:v>0.64108068514762195</c:v>
                </c:pt>
                <c:pt idx="1054">
                  <c:v>0.64108923250552119</c:v>
                </c:pt>
                <c:pt idx="1055">
                  <c:v>0.64151106972892802</c:v>
                </c:pt>
                <c:pt idx="1056">
                  <c:v>0.64173090955236212</c:v>
                </c:pt>
                <c:pt idx="1057">
                  <c:v>0.64188854489164127</c:v>
                </c:pt>
                <c:pt idx="1058">
                  <c:v>0.64208818923054778</c:v>
                </c:pt>
                <c:pt idx="1059">
                  <c:v>0.64210513818573567</c:v>
                </c:pt>
                <c:pt idx="1060">
                  <c:v>0.64211166507549322</c:v>
                </c:pt>
                <c:pt idx="1061">
                  <c:v>0.64225226451329931</c:v>
                </c:pt>
                <c:pt idx="1062">
                  <c:v>0.64231943212811538</c:v>
                </c:pt>
                <c:pt idx="1063">
                  <c:v>0.64246613135082586</c:v>
                </c:pt>
                <c:pt idx="1064">
                  <c:v>0.64251083484489135</c:v>
                </c:pt>
                <c:pt idx="1065">
                  <c:v>0.64279470107369907</c:v>
                </c:pt>
                <c:pt idx="1066">
                  <c:v>0.64279827191902383</c:v>
                </c:pt>
                <c:pt idx="1067">
                  <c:v>0.64283963763094054</c:v>
                </c:pt>
                <c:pt idx="1068">
                  <c:v>0.64298152150750343</c:v>
                </c:pt>
                <c:pt idx="1069">
                  <c:v>0.64299142488305583</c:v>
                </c:pt>
                <c:pt idx="1070">
                  <c:v>0.6430008364818679</c:v>
                </c:pt>
                <c:pt idx="1071">
                  <c:v>0.64306740170584575</c:v>
                </c:pt>
                <c:pt idx="1072">
                  <c:v>0.64308695313991582</c:v>
                </c:pt>
                <c:pt idx="1073">
                  <c:v>0.64311401648869049</c:v>
                </c:pt>
                <c:pt idx="1074">
                  <c:v>0.64338736555067377</c:v>
                </c:pt>
                <c:pt idx="1075">
                  <c:v>0.64351262123879371</c:v>
                </c:pt>
                <c:pt idx="1076">
                  <c:v>0.64359698681732624</c:v>
                </c:pt>
                <c:pt idx="1077">
                  <c:v>0.64363428695429237</c:v>
                </c:pt>
                <c:pt idx="1078">
                  <c:v>0.64364165184074318</c:v>
                </c:pt>
                <c:pt idx="1079">
                  <c:v>0.64374772010887371</c:v>
                </c:pt>
                <c:pt idx="1080">
                  <c:v>0.64378793083705477</c:v>
                </c:pt>
                <c:pt idx="1081">
                  <c:v>0.64381831717957438</c:v>
                </c:pt>
                <c:pt idx="1082">
                  <c:v>0.64407551477606251</c:v>
                </c:pt>
                <c:pt idx="1083">
                  <c:v>0.64410299003322324</c:v>
                </c:pt>
                <c:pt idx="1084">
                  <c:v>0.64411255130497524</c:v>
                </c:pt>
                <c:pt idx="1085">
                  <c:v>0.64411867112843346</c:v>
                </c:pt>
                <c:pt idx="1086">
                  <c:v>0.64419599099778013</c:v>
                </c:pt>
                <c:pt idx="1087">
                  <c:v>0.64424174418956714</c:v>
                </c:pt>
                <c:pt idx="1088">
                  <c:v>0.64444080579155849</c:v>
                </c:pt>
                <c:pt idx="1089">
                  <c:v>0.64477241098695115</c:v>
                </c:pt>
                <c:pt idx="1090">
                  <c:v>0.64508074152126993</c:v>
                </c:pt>
                <c:pt idx="1091">
                  <c:v>0.64508225411270581</c:v>
                </c:pt>
                <c:pt idx="1092">
                  <c:v>0.64522785415431183</c:v>
                </c:pt>
                <c:pt idx="1093">
                  <c:v>0.64528459413167139</c:v>
                </c:pt>
                <c:pt idx="1094">
                  <c:v>0.64536141015626658</c:v>
                </c:pt>
                <c:pt idx="1095">
                  <c:v>0.6453730961865255</c:v>
                </c:pt>
                <c:pt idx="1096">
                  <c:v>0.64554173982632834</c:v>
                </c:pt>
                <c:pt idx="1097">
                  <c:v>0.64567673491895661</c:v>
                </c:pt>
                <c:pt idx="1098">
                  <c:v>0.64583234670408418</c:v>
                </c:pt>
                <c:pt idx="1099">
                  <c:v>0.64598272112120136</c:v>
                </c:pt>
                <c:pt idx="1100">
                  <c:v>0.64598997493734289</c:v>
                </c:pt>
                <c:pt idx="1101">
                  <c:v>0.6461297140866491</c:v>
                </c:pt>
                <c:pt idx="1102">
                  <c:v>0.64613685456609016</c:v>
                </c:pt>
                <c:pt idx="1103">
                  <c:v>0.64622183799037825</c:v>
                </c:pt>
                <c:pt idx="1104">
                  <c:v>0.64639969779409578</c:v>
                </c:pt>
                <c:pt idx="1105">
                  <c:v>0.64641967263711286</c:v>
                </c:pt>
                <c:pt idx="1106">
                  <c:v>0.6464202858091751</c:v>
                </c:pt>
                <c:pt idx="1107">
                  <c:v>0.64667618946222805</c:v>
                </c:pt>
                <c:pt idx="1108">
                  <c:v>0.64678957871802956</c:v>
                </c:pt>
                <c:pt idx="1109">
                  <c:v>0.64702434449611224</c:v>
                </c:pt>
                <c:pt idx="1110">
                  <c:v>0.64705519446349624</c:v>
                </c:pt>
                <c:pt idx="1111">
                  <c:v>0.64722493052108143</c:v>
                </c:pt>
                <c:pt idx="1112">
                  <c:v>0.64729275289978128</c:v>
                </c:pt>
                <c:pt idx="1113">
                  <c:v>0.64745697694133619</c:v>
                </c:pt>
                <c:pt idx="1114">
                  <c:v>0.64748498813014865</c:v>
                </c:pt>
                <c:pt idx="1115">
                  <c:v>0.64750663502152639</c:v>
                </c:pt>
                <c:pt idx="1116">
                  <c:v>0.64780802644020274</c:v>
                </c:pt>
                <c:pt idx="1117">
                  <c:v>0.64787679795239717</c:v>
                </c:pt>
                <c:pt idx="1118">
                  <c:v>0.64791878511356249</c:v>
                </c:pt>
                <c:pt idx="1119">
                  <c:v>0.64796387876792727</c:v>
                </c:pt>
                <c:pt idx="1120">
                  <c:v>0.6481612114371702</c:v>
                </c:pt>
                <c:pt idx="1121">
                  <c:v>0.64817062999277208</c:v>
                </c:pt>
                <c:pt idx="1122">
                  <c:v>0.64828697114530498</c:v>
                </c:pt>
                <c:pt idx="1123">
                  <c:v>0.64832202058068911</c:v>
                </c:pt>
                <c:pt idx="1124">
                  <c:v>0.64837046175449542</c:v>
                </c:pt>
                <c:pt idx="1125">
                  <c:v>0.64844535535595804</c:v>
                </c:pt>
                <c:pt idx="1126">
                  <c:v>0.64846388160007118</c:v>
                </c:pt>
                <c:pt idx="1127">
                  <c:v>0.64849581841286874</c:v>
                </c:pt>
                <c:pt idx="1128">
                  <c:v>0.64853190511085312</c:v>
                </c:pt>
                <c:pt idx="1129">
                  <c:v>0.64859695937391681</c:v>
                </c:pt>
                <c:pt idx="1130">
                  <c:v>0.64865178595988493</c:v>
                </c:pt>
                <c:pt idx="1131">
                  <c:v>0.64868655196576075</c:v>
                </c:pt>
                <c:pt idx="1132">
                  <c:v>0.64876650412578363</c:v>
                </c:pt>
                <c:pt idx="1133">
                  <c:v>0.6487833178592739</c:v>
                </c:pt>
                <c:pt idx="1134">
                  <c:v>0.64878993602361901</c:v>
                </c:pt>
                <c:pt idx="1135">
                  <c:v>0.64884430011222338</c:v>
                </c:pt>
                <c:pt idx="1136">
                  <c:v>0.64886526382295295</c:v>
                </c:pt>
                <c:pt idx="1137">
                  <c:v>0.64887026247745427</c:v>
                </c:pt>
                <c:pt idx="1138">
                  <c:v>0.64891445012248972</c:v>
                </c:pt>
                <c:pt idx="1139">
                  <c:v>0.64915117088089469</c:v>
                </c:pt>
                <c:pt idx="1140">
                  <c:v>0.64920622791097515</c:v>
                </c:pt>
                <c:pt idx="1141">
                  <c:v>0.64923562446892702</c:v>
                </c:pt>
                <c:pt idx="1142">
                  <c:v>0.64953118466003379</c:v>
                </c:pt>
                <c:pt idx="1143">
                  <c:v>0.64961413990540295</c:v>
                </c:pt>
                <c:pt idx="1144">
                  <c:v>0.64964785444911899</c:v>
                </c:pt>
                <c:pt idx="1145">
                  <c:v>0.64975588609886192</c:v>
                </c:pt>
                <c:pt idx="1146">
                  <c:v>0.64992105933282407</c:v>
                </c:pt>
                <c:pt idx="1147">
                  <c:v>0.65000216690984181</c:v>
                </c:pt>
                <c:pt idx="1148">
                  <c:v>0.65001555312473547</c:v>
                </c:pt>
                <c:pt idx="1149">
                  <c:v>0.65009499580260499</c:v>
                </c:pt>
                <c:pt idx="1150">
                  <c:v>0.65011492539998572</c:v>
                </c:pt>
                <c:pt idx="1151">
                  <c:v>0.65016803146370716</c:v>
                </c:pt>
                <c:pt idx="1152">
                  <c:v>0.65038700418547346</c:v>
                </c:pt>
                <c:pt idx="1153">
                  <c:v>0.65059205413894516</c:v>
                </c:pt>
                <c:pt idx="1154">
                  <c:v>0.65062767462158644</c:v>
                </c:pt>
                <c:pt idx="1155">
                  <c:v>0.65072267173157539</c:v>
                </c:pt>
                <c:pt idx="1156">
                  <c:v>0.65092383347293903</c:v>
                </c:pt>
                <c:pt idx="1157">
                  <c:v>0.6510242883337839</c:v>
                </c:pt>
                <c:pt idx="1158">
                  <c:v>0.65108542329310737</c:v>
                </c:pt>
                <c:pt idx="1159">
                  <c:v>0.65114463176575021</c:v>
                </c:pt>
                <c:pt idx="1160">
                  <c:v>0.65123693453681408</c:v>
                </c:pt>
                <c:pt idx="1161">
                  <c:v>0.65123974155889652</c:v>
                </c:pt>
                <c:pt idx="1162">
                  <c:v>0.65130551568001227</c:v>
                </c:pt>
                <c:pt idx="1163">
                  <c:v>0.65137305083007202</c:v>
                </c:pt>
                <c:pt idx="1164">
                  <c:v>0.65147575874885078</c:v>
                </c:pt>
                <c:pt idx="1165">
                  <c:v>0.65148967509517797</c:v>
                </c:pt>
                <c:pt idx="1166">
                  <c:v>0.65156217844109743</c:v>
                </c:pt>
                <c:pt idx="1167">
                  <c:v>0.65182317616246832</c:v>
                </c:pt>
                <c:pt idx="1168">
                  <c:v>0.65192934350659704</c:v>
                </c:pt>
                <c:pt idx="1169">
                  <c:v>0.65195168863494868</c:v>
                </c:pt>
                <c:pt idx="1170">
                  <c:v>0.65213048916366301</c:v>
                </c:pt>
                <c:pt idx="1171">
                  <c:v>0.65220427100877176</c:v>
                </c:pt>
                <c:pt idx="1172">
                  <c:v>0.65226567422021842</c:v>
                </c:pt>
                <c:pt idx="1173">
                  <c:v>0.65231580297353564</c:v>
                </c:pt>
                <c:pt idx="1174">
                  <c:v>0.65241463902286678</c:v>
                </c:pt>
                <c:pt idx="1175">
                  <c:v>0.65244534944791122</c:v>
                </c:pt>
                <c:pt idx="1176">
                  <c:v>0.65269143017205233</c:v>
                </c:pt>
                <c:pt idx="1177">
                  <c:v>0.65269640821815555</c:v>
                </c:pt>
                <c:pt idx="1178">
                  <c:v>0.65286217708593508</c:v>
                </c:pt>
                <c:pt idx="1179">
                  <c:v>0.65295327091279465</c:v>
                </c:pt>
                <c:pt idx="1180">
                  <c:v>0.65302173732983726</c:v>
                </c:pt>
                <c:pt idx="1181">
                  <c:v>0.65302622612243766</c:v>
                </c:pt>
                <c:pt idx="1182">
                  <c:v>0.65307830067220107</c:v>
                </c:pt>
                <c:pt idx="1183">
                  <c:v>0.65314171811478772</c:v>
                </c:pt>
                <c:pt idx="1184">
                  <c:v>0.6532313958819822</c:v>
                </c:pt>
                <c:pt idx="1185">
                  <c:v>0.65347800253786148</c:v>
                </c:pt>
                <c:pt idx="1186">
                  <c:v>0.65374135090793772</c:v>
                </c:pt>
                <c:pt idx="1187">
                  <c:v>0.65378537004875248</c:v>
                </c:pt>
                <c:pt idx="1188">
                  <c:v>0.653811869227236</c:v>
                </c:pt>
                <c:pt idx="1189">
                  <c:v>0.65395317787648177</c:v>
                </c:pt>
                <c:pt idx="1190">
                  <c:v>0.65400222235450545</c:v>
                </c:pt>
                <c:pt idx="1191">
                  <c:v>0.65405270166220231</c:v>
                </c:pt>
                <c:pt idx="1192">
                  <c:v>0.65433413018576636</c:v>
                </c:pt>
                <c:pt idx="1193">
                  <c:v>0.65435389692815449</c:v>
                </c:pt>
                <c:pt idx="1194">
                  <c:v>0.65440291384501148</c:v>
                </c:pt>
                <c:pt idx="1195">
                  <c:v>0.65447778262948808</c:v>
                </c:pt>
                <c:pt idx="1196">
                  <c:v>0.65448477562250085</c:v>
                </c:pt>
                <c:pt idx="1197">
                  <c:v>0.65452256570538969</c:v>
                </c:pt>
                <c:pt idx="1198">
                  <c:v>0.65458087350078342</c:v>
                </c:pt>
                <c:pt idx="1199">
                  <c:v>0.65474733596408563</c:v>
                </c:pt>
                <c:pt idx="1200">
                  <c:v>0.65487031290277475</c:v>
                </c:pt>
                <c:pt idx="1201">
                  <c:v>0.6550419973572803</c:v>
                </c:pt>
                <c:pt idx="1202">
                  <c:v>0.65509196074608411</c:v>
                </c:pt>
                <c:pt idx="1203">
                  <c:v>0.65513585363366778</c:v>
                </c:pt>
                <c:pt idx="1204">
                  <c:v>0.65526677164587033</c:v>
                </c:pt>
                <c:pt idx="1205">
                  <c:v>0.65538824108340332</c:v>
                </c:pt>
                <c:pt idx="1206">
                  <c:v>0.65540784952070863</c:v>
                </c:pt>
                <c:pt idx="1207">
                  <c:v>0.65561783706961796</c:v>
                </c:pt>
                <c:pt idx="1208">
                  <c:v>0.65578096285936871</c:v>
                </c:pt>
                <c:pt idx="1209">
                  <c:v>0.65582859330640242</c:v>
                </c:pt>
                <c:pt idx="1210">
                  <c:v>0.65589221302779455</c:v>
                </c:pt>
                <c:pt idx="1211">
                  <c:v>0.65591940541202454</c:v>
                </c:pt>
                <c:pt idx="1212">
                  <c:v>0.65600547581224822</c:v>
                </c:pt>
                <c:pt idx="1213">
                  <c:v>0.65601546756712537</c:v>
                </c:pt>
                <c:pt idx="1214">
                  <c:v>0.65604890854734854</c:v>
                </c:pt>
                <c:pt idx="1215">
                  <c:v>0.65608498843222951</c:v>
                </c:pt>
                <c:pt idx="1216">
                  <c:v>0.6561640929382917</c:v>
                </c:pt>
                <c:pt idx="1217">
                  <c:v>0.65618370542479021</c:v>
                </c:pt>
                <c:pt idx="1218">
                  <c:v>0.65628190001805042</c:v>
                </c:pt>
                <c:pt idx="1219">
                  <c:v>0.65630469015071757</c:v>
                </c:pt>
                <c:pt idx="1220">
                  <c:v>0.65641397746233232</c:v>
                </c:pt>
                <c:pt idx="1221">
                  <c:v>0.65642243328810568</c:v>
                </c:pt>
                <c:pt idx="1222">
                  <c:v>0.65656291823110413</c:v>
                </c:pt>
                <c:pt idx="1223">
                  <c:v>0.65667046509982518</c:v>
                </c:pt>
                <c:pt idx="1224">
                  <c:v>0.65698464150652269</c:v>
                </c:pt>
                <c:pt idx="1225">
                  <c:v>0.65730258955739274</c:v>
                </c:pt>
                <c:pt idx="1226">
                  <c:v>0.65739647281895019</c:v>
                </c:pt>
                <c:pt idx="1227">
                  <c:v>0.65740273361422119</c:v>
                </c:pt>
                <c:pt idx="1228">
                  <c:v>0.6575318850472156</c:v>
                </c:pt>
                <c:pt idx="1229">
                  <c:v>0.65766256254316624</c:v>
                </c:pt>
                <c:pt idx="1230">
                  <c:v>0.65774413363635587</c:v>
                </c:pt>
                <c:pt idx="1231">
                  <c:v>0.65787413809121531</c:v>
                </c:pt>
                <c:pt idx="1232">
                  <c:v>0.65787705157922916</c:v>
                </c:pt>
                <c:pt idx="1233">
                  <c:v>0.65790924531154071</c:v>
                </c:pt>
                <c:pt idx="1234">
                  <c:v>0.65793923744761185</c:v>
                </c:pt>
                <c:pt idx="1235">
                  <c:v>0.65795446122011902</c:v>
                </c:pt>
                <c:pt idx="1236">
                  <c:v>0.65805801704626921</c:v>
                </c:pt>
                <c:pt idx="1237">
                  <c:v>0.65809121564725159</c:v>
                </c:pt>
                <c:pt idx="1238">
                  <c:v>0.65811164119565568</c:v>
                </c:pt>
                <c:pt idx="1239">
                  <c:v>0.6581830432465835</c:v>
                </c:pt>
                <c:pt idx="1240">
                  <c:v>0.65829203602191211</c:v>
                </c:pt>
                <c:pt idx="1241">
                  <c:v>0.65841214048962382</c:v>
                </c:pt>
                <c:pt idx="1242">
                  <c:v>0.6584685931297789</c:v>
                </c:pt>
                <c:pt idx="1243">
                  <c:v>0.65850401671297221</c:v>
                </c:pt>
                <c:pt idx="1244">
                  <c:v>0.65873787964635799</c:v>
                </c:pt>
                <c:pt idx="1245">
                  <c:v>0.65875330500145324</c:v>
                </c:pt>
                <c:pt idx="1246">
                  <c:v>0.65880818899394811</c:v>
                </c:pt>
                <c:pt idx="1247">
                  <c:v>0.65898598645882567</c:v>
                </c:pt>
                <c:pt idx="1248">
                  <c:v>0.65904442350561909</c:v>
                </c:pt>
                <c:pt idx="1249">
                  <c:v>0.65904877574370269</c:v>
                </c:pt>
                <c:pt idx="1250">
                  <c:v>0.65915235388208504</c:v>
                </c:pt>
                <c:pt idx="1251">
                  <c:v>0.65924825611103766</c:v>
                </c:pt>
                <c:pt idx="1252">
                  <c:v>0.65959815159947999</c:v>
                </c:pt>
                <c:pt idx="1253">
                  <c:v>0.65967837259718043</c:v>
                </c:pt>
                <c:pt idx="1254">
                  <c:v>0.65974376477002128</c:v>
                </c:pt>
                <c:pt idx="1255">
                  <c:v>0.65992985853207065</c:v>
                </c:pt>
                <c:pt idx="1256">
                  <c:v>0.65994441712140028</c:v>
                </c:pt>
                <c:pt idx="1257">
                  <c:v>0.65999358322549484</c:v>
                </c:pt>
                <c:pt idx="1258">
                  <c:v>0.66015090389741748</c:v>
                </c:pt>
                <c:pt idx="1259">
                  <c:v>0.66016198580745855</c:v>
                </c:pt>
                <c:pt idx="1260">
                  <c:v>0.66024505331425032</c:v>
                </c:pt>
                <c:pt idx="1261">
                  <c:v>0.66024759868309579</c:v>
                </c:pt>
                <c:pt idx="1262">
                  <c:v>0.6602798742106144</c:v>
                </c:pt>
                <c:pt idx="1263">
                  <c:v>0.66030040246459365</c:v>
                </c:pt>
                <c:pt idx="1264">
                  <c:v>0.66043678821238427</c:v>
                </c:pt>
                <c:pt idx="1265">
                  <c:v>0.66044063170208611</c:v>
                </c:pt>
                <c:pt idx="1266">
                  <c:v>0.66053491863244462</c:v>
                </c:pt>
                <c:pt idx="1267">
                  <c:v>0.66069732588818342</c:v>
                </c:pt>
                <c:pt idx="1268">
                  <c:v>0.66088404626096298</c:v>
                </c:pt>
                <c:pt idx="1269">
                  <c:v>0.66102311322172391</c:v>
                </c:pt>
                <c:pt idx="1270">
                  <c:v>0.66104818382868447</c:v>
                </c:pt>
                <c:pt idx="1271">
                  <c:v>0.66105771518186918</c:v>
                </c:pt>
                <c:pt idx="1272">
                  <c:v>0.66106461675541506</c:v>
                </c:pt>
                <c:pt idx="1273">
                  <c:v>0.66116761274045943</c:v>
                </c:pt>
                <c:pt idx="1274">
                  <c:v>0.66122991045173241</c:v>
                </c:pt>
                <c:pt idx="1275">
                  <c:v>0.66138531385774935</c:v>
                </c:pt>
                <c:pt idx="1276">
                  <c:v>0.66196550975449797</c:v>
                </c:pt>
                <c:pt idx="1277">
                  <c:v>0.66207725235937598</c:v>
                </c:pt>
                <c:pt idx="1278">
                  <c:v>0.66211419250483849</c:v>
                </c:pt>
                <c:pt idx="1279">
                  <c:v>0.66225090233080641</c:v>
                </c:pt>
                <c:pt idx="1280">
                  <c:v>0.66254494658147189</c:v>
                </c:pt>
                <c:pt idx="1281">
                  <c:v>0.66256875318612241</c:v>
                </c:pt>
                <c:pt idx="1282">
                  <c:v>0.66272788621423362</c:v>
                </c:pt>
                <c:pt idx="1283">
                  <c:v>0.66300107613666903</c:v>
                </c:pt>
                <c:pt idx="1284">
                  <c:v>0.66305511005229611</c:v>
                </c:pt>
                <c:pt idx="1285">
                  <c:v>0.66305986711194775</c:v>
                </c:pt>
                <c:pt idx="1286">
                  <c:v>0.6632709255289857</c:v>
                </c:pt>
                <c:pt idx="1287">
                  <c:v>0.66333098662375567</c:v>
                </c:pt>
                <c:pt idx="1288">
                  <c:v>0.66340100230629162</c:v>
                </c:pt>
                <c:pt idx="1289">
                  <c:v>0.66346072111638421</c:v>
                </c:pt>
                <c:pt idx="1290">
                  <c:v>0.66358402595574029</c:v>
                </c:pt>
                <c:pt idx="1291">
                  <c:v>0.66380102960760701</c:v>
                </c:pt>
                <c:pt idx="1292">
                  <c:v>0.66381452970717125</c:v>
                </c:pt>
                <c:pt idx="1293">
                  <c:v>0.66397203113880943</c:v>
                </c:pt>
                <c:pt idx="1294">
                  <c:v>0.66416345442621239</c:v>
                </c:pt>
                <c:pt idx="1295">
                  <c:v>0.664338776514806</c:v>
                </c:pt>
                <c:pt idx="1296">
                  <c:v>0.66434624886637217</c:v>
                </c:pt>
                <c:pt idx="1297">
                  <c:v>0.66435579771186948</c:v>
                </c:pt>
                <c:pt idx="1298">
                  <c:v>0.66439525862882143</c:v>
                </c:pt>
                <c:pt idx="1299">
                  <c:v>0.6644171779141087</c:v>
                </c:pt>
                <c:pt idx="1300">
                  <c:v>0.66443094201582875</c:v>
                </c:pt>
                <c:pt idx="1301">
                  <c:v>0.66450806618102398</c:v>
                </c:pt>
                <c:pt idx="1302">
                  <c:v>0.66454294584966134</c:v>
                </c:pt>
                <c:pt idx="1303">
                  <c:v>0.66458365828642141</c:v>
                </c:pt>
                <c:pt idx="1304">
                  <c:v>0.66467453388430309</c:v>
                </c:pt>
                <c:pt idx="1305">
                  <c:v>0.66469696969697001</c:v>
                </c:pt>
                <c:pt idx="1306">
                  <c:v>0.66476626904069414</c:v>
                </c:pt>
                <c:pt idx="1307">
                  <c:v>0.66478366016508084</c:v>
                </c:pt>
                <c:pt idx="1308">
                  <c:v>0.66502060923930151</c:v>
                </c:pt>
                <c:pt idx="1309">
                  <c:v>0.66529010116122955</c:v>
                </c:pt>
                <c:pt idx="1310">
                  <c:v>0.6652995902263461</c:v>
                </c:pt>
                <c:pt idx="1311">
                  <c:v>0.66531561511079196</c:v>
                </c:pt>
                <c:pt idx="1312">
                  <c:v>0.66575252164961474</c:v>
                </c:pt>
                <c:pt idx="1313">
                  <c:v>0.66600480369283921</c:v>
                </c:pt>
                <c:pt idx="1314">
                  <c:v>0.66606154647453386</c:v>
                </c:pt>
                <c:pt idx="1315">
                  <c:v>0.66622810114758002</c:v>
                </c:pt>
                <c:pt idx="1316">
                  <c:v>0.66631038248711827</c:v>
                </c:pt>
                <c:pt idx="1317">
                  <c:v>0.66637962122061833</c:v>
                </c:pt>
                <c:pt idx="1318">
                  <c:v>0.66651801921595499</c:v>
                </c:pt>
                <c:pt idx="1319">
                  <c:v>0.66687282253490698</c:v>
                </c:pt>
                <c:pt idx="1320">
                  <c:v>0.667011159906443</c:v>
                </c:pt>
                <c:pt idx="1321">
                  <c:v>0.66722784057108897</c:v>
                </c:pt>
                <c:pt idx="1322">
                  <c:v>0.66724926271465657</c:v>
                </c:pt>
                <c:pt idx="1323">
                  <c:v>0.66728045325779017</c:v>
                </c:pt>
                <c:pt idx="1324">
                  <c:v>0.66733452593917719</c:v>
                </c:pt>
                <c:pt idx="1325">
                  <c:v>0.66743648960739044</c:v>
                </c:pt>
                <c:pt idx="1326">
                  <c:v>0.66757142857142737</c:v>
                </c:pt>
                <c:pt idx="1327">
                  <c:v>0.66758375726197328</c:v>
                </c:pt>
                <c:pt idx="1328">
                  <c:v>0.66758993309186021</c:v>
                </c:pt>
                <c:pt idx="1329">
                  <c:v>0.66768945035875304</c:v>
                </c:pt>
                <c:pt idx="1330">
                  <c:v>0.66781837237050268</c:v>
                </c:pt>
                <c:pt idx="1331">
                  <c:v>0.66794063600632936</c:v>
                </c:pt>
                <c:pt idx="1332">
                  <c:v>0.66825961244904053</c:v>
                </c:pt>
                <c:pt idx="1333">
                  <c:v>0.66831483314216367</c:v>
                </c:pt>
                <c:pt idx="1334">
                  <c:v>0.66882397172546704</c:v>
                </c:pt>
                <c:pt idx="1335">
                  <c:v>0.66884041960970186</c:v>
                </c:pt>
                <c:pt idx="1336">
                  <c:v>0.66906552094522043</c:v>
                </c:pt>
                <c:pt idx="1337">
                  <c:v>0.66908480702207151</c:v>
                </c:pt>
                <c:pt idx="1338">
                  <c:v>0.66926323915014541</c:v>
                </c:pt>
                <c:pt idx="1339">
                  <c:v>0.66929165086043418</c:v>
                </c:pt>
                <c:pt idx="1340">
                  <c:v>0.66943347416326549</c:v>
                </c:pt>
                <c:pt idx="1341">
                  <c:v>0.66955386892733992</c:v>
                </c:pt>
                <c:pt idx="1342">
                  <c:v>0.6696013666151629</c:v>
                </c:pt>
                <c:pt idx="1343">
                  <c:v>0.66960169338392816</c:v>
                </c:pt>
                <c:pt idx="1344">
                  <c:v>0.669636203636092</c:v>
                </c:pt>
                <c:pt idx="1345">
                  <c:v>0.66967054263565884</c:v>
                </c:pt>
                <c:pt idx="1346">
                  <c:v>0.66971107908503913</c:v>
                </c:pt>
                <c:pt idx="1347">
                  <c:v>0.66981877264281431</c:v>
                </c:pt>
                <c:pt idx="1348">
                  <c:v>0.66984390567917673</c:v>
                </c:pt>
                <c:pt idx="1349">
                  <c:v>0.66994170013708187</c:v>
                </c:pt>
                <c:pt idx="1350">
                  <c:v>0.67010513707568042</c:v>
                </c:pt>
                <c:pt idx="1351">
                  <c:v>0.67012193561819433</c:v>
                </c:pt>
                <c:pt idx="1352">
                  <c:v>0.6701239571925891</c:v>
                </c:pt>
                <c:pt idx="1353">
                  <c:v>0.67031215540196942</c:v>
                </c:pt>
                <c:pt idx="1354">
                  <c:v>0.67034399983599147</c:v>
                </c:pt>
                <c:pt idx="1355">
                  <c:v>0.67056351724480512</c:v>
                </c:pt>
                <c:pt idx="1356">
                  <c:v>0.67079780956120838</c:v>
                </c:pt>
                <c:pt idx="1357">
                  <c:v>0.67087853728852109</c:v>
                </c:pt>
                <c:pt idx="1358">
                  <c:v>0.67092282717282692</c:v>
                </c:pt>
                <c:pt idx="1359">
                  <c:v>0.6709570898186491</c:v>
                </c:pt>
                <c:pt idx="1360">
                  <c:v>0.6711356106651718</c:v>
                </c:pt>
                <c:pt idx="1361">
                  <c:v>0.67123198258110883</c:v>
                </c:pt>
                <c:pt idx="1362">
                  <c:v>0.67135897283245016</c:v>
                </c:pt>
                <c:pt idx="1363">
                  <c:v>0.67162358582453019</c:v>
                </c:pt>
                <c:pt idx="1364">
                  <c:v>0.67179491862494267</c:v>
                </c:pt>
                <c:pt idx="1365">
                  <c:v>0.67182146854192815</c:v>
                </c:pt>
                <c:pt idx="1366">
                  <c:v>0.67187304227541</c:v>
                </c:pt>
                <c:pt idx="1367">
                  <c:v>0.67197125256673429</c:v>
                </c:pt>
                <c:pt idx="1368">
                  <c:v>0.67199289835774634</c:v>
                </c:pt>
                <c:pt idx="1369">
                  <c:v>0.6721023582948259</c:v>
                </c:pt>
                <c:pt idx="1370">
                  <c:v>0.67226854762494004</c:v>
                </c:pt>
                <c:pt idx="1371">
                  <c:v>0.67228438550444358</c:v>
                </c:pt>
                <c:pt idx="1372">
                  <c:v>0.67229944677925002</c:v>
                </c:pt>
                <c:pt idx="1373">
                  <c:v>0.67239263213449285</c:v>
                </c:pt>
                <c:pt idx="1374">
                  <c:v>0.67252845352909063</c:v>
                </c:pt>
                <c:pt idx="1375">
                  <c:v>0.67257764970082212</c:v>
                </c:pt>
                <c:pt idx="1376">
                  <c:v>0.67258812137558233</c:v>
                </c:pt>
                <c:pt idx="1377">
                  <c:v>0.67262814188057285</c:v>
                </c:pt>
                <c:pt idx="1378">
                  <c:v>0.67271990898540057</c:v>
                </c:pt>
                <c:pt idx="1379">
                  <c:v>0.67289430369076864</c:v>
                </c:pt>
                <c:pt idx="1380">
                  <c:v>0.67295942770395234</c:v>
                </c:pt>
                <c:pt idx="1381">
                  <c:v>0.6730173968697275</c:v>
                </c:pt>
                <c:pt idx="1382">
                  <c:v>0.67302138089431907</c:v>
                </c:pt>
                <c:pt idx="1383">
                  <c:v>0.6731339812538244</c:v>
                </c:pt>
                <c:pt idx="1384">
                  <c:v>0.67359792835665311</c:v>
                </c:pt>
                <c:pt idx="1385">
                  <c:v>0.673743097936645</c:v>
                </c:pt>
                <c:pt idx="1386">
                  <c:v>0.6737521554330651</c:v>
                </c:pt>
                <c:pt idx="1387">
                  <c:v>0.67388316930473136</c:v>
                </c:pt>
                <c:pt idx="1388">
                  <c:v>0.67404743485200203</c:v>
                </c:pt>
                <c:pt idx="1389">
                  <c:v>0.67418854543074602</c:v>
                </c:pt>
                <c:pt idx="1390">
                  <c:v>0.67421241513043439</c:v>
                </c:pt>
                <c:pt idx="1391">
                  <c:v>0.67421823748086596</c:v>
                </c:pt>
                <c:pt idx="1392">
                  <c:v>0.67430280242962015</c:v>
                </c:pt>
                <c:pt idx="1393">
                  <c:v>0.67436887660844158</c:v>
                </c:pt>
                <c:pt idx="1394">
                  <c:v>0.6744289996211319</c:v>
                </c:pt>
                <c:pt idx="1395">
                  <c:v>0.67444879048217787</c:v>
                </c:pt>
                <c:pt idx="1396">
                  <c:v>0.67446541171709773</c:v>
                </c:pt>
                <c:pt idx="1397">
                  <c:v>0.67457181297334845</c:v>
                </c:pt>
                <c:pt idx="1398">
                  <c:v>0.67459818657019588</c:v>
                </c:pt>
                <c:pt idx="1399">
                  <c:v>0.67487295313382278</c:v>
                </c:pt>
                <c:pt idx="1400">
                  <c:v>0.67489562911557643</c:v>
                </c:pt>
                <c:pt idx="1401">
                  <c:v>0.67495737904659825</c:v>
                </c:pt>
                <c:pt idx="1402">
                  <c:v>0.67506326201978373</c:v>
                </c:pt>
                <c:pt idx="1403">
                  <c:v>0.67513663548499403</c:v>
                </c:pt>
                <c:pt idx="1404">
                  <c:v>0.67518836162972073</c:v>
                </c:pt>
                <c:pt idx="1405">
                  <c:v>0.67523860021208959</c:v>
                </c:pt>
                <c:pt idx="1406">
                  <c:v>0.67524698919770176</c:v>
                </c:pt>
                <c:pt idx="1407">
                  <c:v>0.67530266438193431</c:v>
                </c:pt>
                <c:pt idx="1408">
                  <c:v>0.67536627072511024</c:v>
                </c:pt>
                <c:pt idx="1409">
                  <c:v>0.67557360022660728</c:v>
                </c:pt>
                <c:pt idx="1410">
                  <c:v>0.67567398694743919</c:v>
                </c:pt>
                <c:pt idx="1411">
                  <c:v>0.67575171675311163</c:v>
                </c:pt>
                <c:pt idx="1412">
                  <c:v>0.67579273145282492</c:v>
                </c:pt>
                <c:pt idx="1413">
                  <c:v>0.67586213914299997</c:v>
                </c:pt>
                <c:pt idx="1414">
                  <c:v>0.67597642204538777</c:v>
                </c:pt>
                <c:pt idx="1415">
                  <c:v>0.67602372368335362</c:v>
                </c:pt>
                <c:pt idx="1416">
                  <c:v>0.67610622545856014</c:v>
                </c:pt>
                <c:pt idx="1417">
                  <c:v>0.67615251429757739</c:v>
                </c:pt>
                <c:pt idx="1418">
                  <c:v>0.67635909736269451</c:v>
                </c:pt>
                <c:pt idx="1419">
                  <c:v>0.67638318670576736</c:v>
                </c:pt>
                <c:pt idx="1420">
                  <c:v>0.67645702037850697</c:v>
                </c:pt>
                <c:pt idx="1421">
                  <c:v>0.67652772040241005</c:v>
                </c:pt>
                <c:pt idx="1422">
                  <c:v>0.67673014077249272</c:v>
                </c:pt>
                <c:pt idx="1423">
                  <c:v>0.67691676916768961</c:v>
                </c:pt>
                <c:pt idx="1424">
                  <c:v>0.67706338947325384</c:v>
                </c:pt>
                <c:pt idx="1425">
                  <c:v>0.67709012651623846</c:v>
                </c:pt>
                <c:pt idx="1426">
                  <c:v>0.67709282015407612</c:v>
                </c:pt>
                <c:pt idx="1427">
                  <c:v>0.67725194330132599</c:v>
                </c:pt>
                <c:pt idx="1428">
                  <c:v>0.67732531140684682</c:v>
                </c:pt>
                <c:pt idx="1429">
                  <c:v>0.67741100780991381</c:v>
                </c:pt>
                <c:pt idx="1430">
                  <c:v>0.67744200984743663</c:v>
                </c:pt>
                <c:pt idx="1431">
                  <c:v>0.67748206448083359</c:v>
                </c:pt>
                <c:pt idx="1432">
                  <c:v>0.67755093069406436</c:v>
                </c:pt>
                <c:pt idx="1433">
                  <c:v>0.67756824664521453</c:v>
                </c:pt>
                <c:pt idx="1434">
                  <c:v>0.67756849315068568</c:v>
                </c:pt>
                <c:pt idx="1435">
                  <c:v>0.6777793262208176</c:v>
                </c:pt>
                <c:pt idx="1436">
                  <c:v>0.6778685021481442</c:v>
                </c:pt>
                <c:pt idx="1437">
                  <c:v>0.67790032387977717</c:v>
                </c:pt>
                <c:pt idx="1438">
                  <c:v>0.67800665470301225</c:v>
                </c:pt>
                <c:pt idx="1439">
                  <c:v>0.67805036834275367</c:v>
                </c:pt>
                <c:pt idx="1440">
                  <c:v>0.67812281639777305</c:v>
                </c:pt>
                <c:pt idx="1441">
                  <c:v>0.67821173076591923</c:v>
                </c:pt>
                <c:pt idx="1442">
                  <c:v>0.67828367515350851</c:v>
                </c:pt>
                <c:pt idx="1443">
                  <c:v>0.67835211146469332</c:v>
                </c:pt>
                <c:pt idx="1444">
                  <c:v>0.67845976705422717</c:v>
                </c:pt>
                <c:pt idx="1445">
                  <c:v>0.67849809309378262</c:v>
                </c:pt>
                <c:pt idx="1446">
                  <c:v>0.67849852101820585</c:v>
                </c:pt>
                <c:pt idx="1447">
                  <c:v>0.67851479778602675</c:v>
                </c:pt>
                <c:pt idx="1448">
                  <c:v>0.67852072468627722</c:v>
                </c:pt>
                <c:pt idx="1449">
                  <c:v>0.67852750104683834</c:v>
                </c:pt>
                <c:pt idx="1450">
                  <c:v>0.67856460862412205</c:v>
                </c:pt>
                <c:pt idx="1451">
                  <c:v>0.67865414500029875</c:v>
                </c:pt>
                <c:pt idx="1452">
                  <c:v>0.67870479411379869</c:v>
                </c:pt>
                <c:pt idx="1453">
                  <c:v>0.67872553664180524</c:v>
                </c:pt>
                <c:pt idx="1454">
                  <c:v>0.67876425932691931</c:v>
                </c:pt>
                <c:pt idx="1455">
                  <c:v>0.67879351718293535</c:v>
                </c:pt>
                <c:pt idx="1456">
                  <c:v>0.67880114059013086</c:v>
                </c:pt>
                <c:pt idx="1457">
                  <c:v>0.67887817023036556</c:v>
                </c:pt>
                <c:pt idx="1458">
                  <c:v>0.67899035108114503</c:v>
                </c:pt>
                <c:pt idx="1459">
                  <c:v>0.67924641148325293</c:v>
                </c:pt>
                <c:pt idx="1460">
                  <c:v>0.67936531401680422</c:v>
                </c:pt>
                <c:pt idx="1461">
                  <c:v>0.67945634453795178</c:v>
                </c:pt>
                <c:pt idx="1462">
                  <c:v>0.67957137919115118</c:v>
                </c:pt>
                <c:pt idx="1463">
                  <c:v>0.67971240950986955</c:v>
                </c:pt>
                <c:pt idx="1464">
                  <c:v>0.67978551193848613</c:v>
                </c:pt>
                <c:pt idx="1465">
                  <c:v>0.68001895217751485</c:v>
                </c:pt>
                <c:pt idx="1466">
                  <c:v>0.68010226180263789</c:v>
                </c:pt>
                <c:pt idx="1467">
                  <c:v>0.68011228422214687</c:v>
                </c:pt>
                <c:pt idx="1468">
                  <c:v>0.68023460634090116</c:v>
                </c:pt>
                <c:pt idx="1469">
                  <c:v>0.680337859510318</c:v>
                </c:pt>
                <c:pt idx="1470">
                  <c:v>0.68036637566586378</c:v>
                </c:pt>
                <c:pt idx="1471">
                  <c:v>0.68045872508380856</c:v>
                </c:pt>
                <c:pt idx="1472">
                  <c:v>0.68057896015839392</c:v>
                </c:pt>
                <c:pt idx="1473">
                  <c:v>0.68080929106168342</c:v>
                </c:pt>
                <c:pt idx="1474">
                  <c:v>0.68083045551535804</c:v>
                </c:pt>
                <c:pt idx="1475">
                  <c:v>0.68085973190848903</c:v>
                </c:pt>
                <c:pt idx="1476">
                  <c:v>0.68095250208807689</c:v>
                </c:pt>
                <c:pt idx="1477">
                  <c:v>0.68096502039133711</c:v>
                </c:pt>
                <c:pt idx="1478">
                  <c:v>0.68096514745308345</c:v>
                </c:pt>
                <c:pt idx="1479">
                  <c:v>0.6810583568811085</c:v>
                </c:pt>
                <c:pt idx="1480">
                  <c:v>0.68107087742140549</c:v>
                </c:pt>
                <c:pt idx="1481">
                  <c:v>0.68118262771441984</c:v>
                </c:pt>
                <c:pt idx="1482">
                  <c:v>0.68130055948398383</c:v>
                </c:pt>
                <c:pt idx="1483">
                  <c:v>0.68147773407857481</c:v>
                </c:pt>
                <c:pt idx="1484">
                  <c:v>0.68153477910502003</c:v>
                </c:pt>
                <c:pt idx="1485">
                  <c:v>0.68159628617642509</c:v>
                </c:pt>
                <c:pt idx="1486">
                  <c:v>0.68171432040308366</c:v>
                </c:pt>
                <c:pt idx="1487">
                  <c:v>0.68177591470994914</c:v>
                </c:pt>
                <c:pt idx="1488">
                  <c:v>0.68199230267734601</c:v>
                </c:pt>
                <c:pt idx="1489">
                  <c:v>0.68207181889149071</c:v>
                </c:pt>
                <c:pt idx="1490">
                  <c:v>0.68216632606176386</c:v>
                </c:pt>
                <c:pt idx="1491">
                  <c:v>0.6821758272581403</c:v>
                </c:pt>
                <c:pt idx="1492">
                  <c:v>0.68249168150220452</c:v>
                </c:pt>
                <c:pt idx="1493">
                  <c:v>0.68249468462083707</c:v>
                </c:pt>
                <c:pt idx="1494">
                  <c:v>0.682597333290063</c:v>
                </c:pt>
                <c:pt idx="1495">
                  <c:v>0.68262088958358014</c:v>
                </c:pt>
                <c:pt idx="1496">
                  <c:v>0.68270740012743836</c:v>
                </c:pt>
                <c:pt idx="1497">
                  <c:v>0.68271936178730053</c:v>
                </c:pt>
                <c:pt idx="1498">
                  <c:v>0.68283305809291006</c:v>
                </c:pt>
                <c:pt idx="1499">
                  <c:v>0.68296004564109158</c:v>
                </c:pt>
                <c:pt idx="1500">
                  <c:v>0.68330300126119004</c:v>
                </c:pt>
                <c:pt idx="1501">
                  <c:v>0.68342203740637575</c:v>
                </c:pt>
                <c:pt idx="1502">
                  <c:v>0.68355442283713619</c:v>
                </c:pt>
                <c:pt idx="1503">
                  <c:v>0.68356681504756889</c:v>
                </c:pt>
                <c:pt idx="1504">
                  <c:v>0.68360703449870686</c:v>
                </c:pt>
                <c:pt idx="1505">
                  <c:v>0.68372097515743846</c:v>
                </c:pt>
                <c:pt idx="1506">
                  <c:v>0.68374655647382898</c:v>
                </c:pt>
                <c:pt idx="1507">
                  <c:v>0.68376356327981547</c:v>
                </c:pt>
                <c:pt idx="1508">
                  <c:v>0.68381943143934854</c:v>
                </c:pt>
                <c:pt idx="1509">
                  <c:v>0.68395573162434453</c:v>
                </c:pt>
                <c:pt idx="1510">
                  <c:v>0.68396050161045696</c:v>
                </c:pt>
                <c:pt idx="1511">
                  <c:v>0.68408271795631426</c:v>
                </c:pt>
                <c:pt idx="1512">
                  <c:v>0.68409437580654364</c:v>
                </c:pt>
                <c:pt idx="1513">
                  <c:v>0.68409494043594177</c:v>
                </c:pt>
                <c:pt idx="1514">
                  <c:v>0.68444767305619358</c:v>
                </c:pt>
                <c:pt idx="1515">
                  <c:v>0.68445240622788406</c:v>
                </c:pt>
                <c:pt idx="1516">
                  <c:v>0.68462891688300709</c:v>
                </c:pt>
                <c:pt idx="1517">
                  <c:v>0.68475600135241765</c:v>
                </c:pt>
                <c:pt idx="1518">
                  <c:v>0.6848381336369681</c:v>
                </c:pt>
                <c:pt idx="1519">
                  <c:v>0.68486673438320667</c:v>
                </c:pt>
                <c:pt idx="1520">
                  <c:v>0.68489021408575124</c:v>
                </c:pt>
                <c:pt idx="1521">
                  <c:v>0.68491158409898878</c:v>
                </c:pt>
                <c:pt idx="1522">
                  <c:v>0.68491297905504411</c:v>
                </c:pt>
                <c:pt idx="1523">
                  <c:v>0.68493268158819931</c:v>
                </c:pt>
                <c:pt idx="1524">
                  <c:v>0.68517303301862265</c:v>
                </c:pt>
                <c:pt idx="1525">
                  <c:v>0.68519376439421142</c:v>
                </c:pt>
                <c:pt idx="1526">
                  <c:v>0.68539637901044947</c:v>
                </c:pt>
                <c:pt idx="1527">
                  <c:v>0.68542442528079073</c:v>
                </c:pt>
                <c:pt idx="1528">
                  <c:v>0.68545215268165027</c:v>
                </c:pt>
                <c:pt idx="1529">
                  <c:v>0.68547503016920441</c:v>
                </c:pt>
                <c:pt idx="1530">
                  <c:v>0.68555291439825317</c:v>
                </c:pt>
                <c:pt idx="1531">
                  <c:v>0.68560385119421829</c:v>
                </c:pt>
                <c:pt idx="1532">
                  <c:v>0.68568056142842682</c:v>
                </c:pt>
                <c:pt idx="1533">
                  <c:v>0.68575762629930515</c:v>
                </c:pt>
                <c:pt idx="1534">
                  <c:v>0.68600294562400599</c:v>
                </c:pt>
                <c:pt idx="1535">
                  <c:v>0.68611738011981083</c:v>
                </c:pt>
                <c:pt idx="1536">
                  <c:v>0.68625414211163427</c:v>
                </c:pt>
                <c:pt idx="1537">
                  <c:v>0.6865608878690781</c:v>
                </c:pt>
                <c:pt idx="1538">
                  <c:v>0.68673684210526331</c:v>
                </c:pt>
                <c:pt idx="1539">
                  <c:v>0.68680319810043189</c:v>
                </c:pt>
                <c:pt idx="1540">
                  <c:v>0.68695269262717507</c:v>
                </c:pt>
                <c:pt idx="1541">
                  <c:v>0.68704714110111564</c:v>
                </c:pt>
                <c:pt idx="1542">
                  <c:v>0.68713966070392662</c:v>
                </c:pt>
                <c:pt idx="1543">
                  <c:v>0.6872552493500762</c:v>
                </c:pt>
                <c:pt idx="1544">
                  <c:v>0.68730436877388612</c:v>
                </c:pt>
                <c:pt idx="1545">
                  <c:v>0.68741946497208084</c:v>
                </c:pt>
                <c:pt idx="1546">
                  <c:v>0.68757674250631973</c:v>
                </c:pt>
                <c:pt idx="1547">
                  <c:v>0.68783274938829686</c:v>
                </c:pt>
                <c:pt idx="1548">
                  <c:v>0.6878512760012413</c:v>
                </c:pt>
                <c:pt idx="1549">
                  <c:v>0.68793305770940039</c:v>
                </c:pt>
                <c:pt idx="1550">
                  <c:v>0.68816741278253535</c:v>
                </c:pt>
                <c:pt idx="1551">
                  <c:v>0.68821039099056591</c:v>
                </c:pt>
                <c:pt idx="1552">
                  <c:v>0.68833371886806904</c:v>
                </c:pt>
                <c:pt idx="1553">
                  <c:v>0.68850861300111632</c:v>
                </c:pt>
                <c:pt idx="1554">
                  <c:v>0.68858165057530785</c:v>
                </c:pt>
                <c:pt idx="1555">
                  <c:v>0.68871222934023779</c:v>
                </c:pt>
                <c:pt idx="1556">
                  <c:v>0.68880024906778747</c:v>
                </c:pt>
                <c:pt idx="1557">
                  <c:v>0.68896551724137989</c:v>
                </c:pt>
                <c:pt idx="1558">
                  <c:v>0.68897500206925588</c:v>
                </c:pt>
                <c:pt idx="1559">
                  <c:v>0.68906160328102839</c:v>
                </c:pt>
                <c:pt idx="1560">
                  <c:v>0.68920358078092314</c:v>
                </c:pt>
                <c:pt idx="1561">
                  <c:v>0.68922079433500194</c:v>
                </c:pt>
                <c:pt idx="1562">
                  <c:v>0.6892284346445261</c:v>
                </c:pt>
                <c:pt idx="1563">
                  <c:v>0.68960832415539774</c:v>
                </c:pt>
                <c:pt idx="1564">
                  <c:v>0.68989857956660772</c:v>
                </c:pt>
                <c:pt idx="1565">
                  <c:v>0.68990800264609453</c:v>
                </c:pt>
                <c:pt idx="1566">
                  <c:v>0.68995888885249135</c:v>
                </c:pt>
                <c:pt idx="1567">
                  <c:v>0.69016155482271169</c:v>
                </c:pt>
                <c:pt idx="1568">
                  <c:v>0.69023533012970617</c:v>
                </c:pt>
                <c:pt idx="1569">
                  <c:v>0.69041672829981393</c:v>
                </c:pt>
                <c:pt idx="1570">
                  <c:v>0.69043106475252003</c:v>
                </c:pt>
                <c:pt idx="1571">
                  <c:v>0.69046171660153433</c:v>
                </c:pt>
                <c:pt idx="1572">
                  <c:v>0.69046992168720789</c:v>
                </c:pt>
                <c:pt idx="1573">
                  <c:v>0.69064184596882461</c:v>
                </c:pt>
                <c:pt idx="1574">
                  <c:v>0.69071756463648648</c:v>
                </c:pt>
                <c:pt idx="1575">
                  <c:v>0.69080593239229315</c:v>
                </c:pt>
                <c:pt idx="1576">
                  <c:v>0.6908238025259299</c:v>
                </c:pt>
                <c:pt idx="1577">
                  <c:v>0.6908399103585966</c:v>
                </c:pt>
                <c:pt idx="1578">
                  <c:v>0.69090832622817266</c:v>
                </c:pt>
                <c:pt idx="1579">
                  <c:v>0.69095814952575219</c:v>
                </c:pt>
                <c:pt idx="1580">
                  <c:v>0.69112156280297976</c:v>
                </c:pt>
                <c:pt idx="1581">
                  <c:v>0.69124057214492618</c:v>
                </c:pt>
                <c:pt idx="1582">
                  <c:v>0.69133658330758951</c:v>
                </c:pt>
                <c:pt idx="1583">
                  <c:v>0.69153577812174583</c:v>
                </c:pt>
                <c:pt idx="1584">
                  <c:v>0.69156701956927669</c:v>
                </c:pt>
                <c:pt idx="1585">
                  <c:v>0.69174757642441065</c:v>
                </c:pt>
                <c:pt idx="1586">
                  <c:v>0.69187172068309222</c:v>
                </c:pt>
                <c:pt idx="1587">
                  <c:v>0.69192243956292065</c:v>
                </c:pt>
                <c:pt idx="1588">
                  <c:v>0.69192659033175397</c:v>
                </c:pt>
                <c:pt idx="1589">
                  <c:v>0.69232884629726232</c:v>
                </c:pt>
                <c:pt idx="1590">
                  <c:v>0.69255750565084351</c:v>
                </c:pt>
                <c:pt idx="1591">
                  <c:v>0.69256632519043859</c:v>
                </c:pt>
                <c:pt idx="1592">
                  <c:v>0.69279601009790093</c:v>
                </c:pt>
                <c:pt idx="1593">
                  <c:v>0.69280170159349974</c:v>
                </c:pt>
                <c:pt idx="1594">
                  <c:v>0.69290078624772378</c:v>
                </c:pt>
                <c:pt idx="1595">
                  <c:v>0.69290880909325703</c:v>
                </c:pt>
                <c:pt idx="1596">
                  <c:v>0.69299910950958588</c:v>
                </c:pt>
                <c:pt idx="1597">
                  <c:v>0.69326567700460917</c:v>
                </c:pt>
                <c:pt idx="1598">
                  <c:v>0.69336110446003352</c:v>
                </c:pt>
                <c:pt idx="1599">
                  <c:v>0.69338292197302753</c:v>
                </c:pt>
                <c:pt idx="1600">
                  <c:v>0.69342957383329951</c:v>
                </c:pt>
                <c:pt idx="1601">
                  <c:v>0.69352451433857587</c:v>
                </c:pt>
                <c:pt idx="1602">
                  <c:v>0.69360371267150911</c:v>
                </c:pt>
                <c:pt idx="1603">
                  <c:v>0.693818511397857</c:v>
                </c:pt>
                <c:pt idx="1604">
                  <c:v>0.69383662420469983</c:v>
                </c:pt>
                <c:pt idx="1605">
                  <c:v>0.69395675712027882</c:v>
                </c:pt>
                <c:pt idx="1606">
                  <c:v>0.69395789953486386</c:v>
                </c:pt>
                <c:pt idx="1607">
                  <c:v>0.69396872673119969</c:v>
                </c:pt>
                <c:pt idx="1608">
                  <c:v>0.69397110159203357</c:v>
                </c:pt>
                <c:pt idx="1609">
                  <c:v>0.69403990709252494</c:v>
                </c:pt>
                <c:pt idx="1610">
                  <c:v>0.69405196985328954</c:v>
                </c:pt>
                <c:pt idx="1611">
                  <c:v>0.69414740555091425</c:v>
                </c:pt>
                <c:pt idx="1612">
                  <c:v>0.6941940848311392</c:v>
                </c:pt>
                <c:pt idx="1613">
                  <c:v>0.69422162447764046</c:v>
                </c:pt>
                <c:pt idx="1614">
                  <c:v>0.69423573842178488</c:v>
                </c:pt>
                <c:pt idx="1615">
                  <c:v>0.69433342550470856</c:v>
                </c:pt>
                <c:pt idx="1616">
                  <c:v>0.69436461679522488</c:v>
                </c:pt>
                <c:pt idx="1617">
                  <c:v>0.69438740426339107</c:v>
                </c:pt>
                <c:pt idx="1618">
                  <c:v>0.69440492062247328</c:v>
                </c:pt>
                <c:pt idx="1619">
                  <c:v>0.69443558265988592</c:v>
                </c:pt>
                <c:pt idx="1620">
                  <c:v>0.69445477806409528</c:v>
                </c:pt>
                <c:pt idx="1621">
                  <c:v>0.69450765556960226</c:v>
                </c:pt>
                <c:pt idx="1622">
                  <c:v>0.69457594934658029</c:v>
                </c:pt>
                <c:pt idx="1623">
                  <c:v>0.69462328779730065</c:v>
                </c:pt>
                <c:pt idx="1624">
                  <c:v>0.69463317407743941</c:v>
                </c:pt>
                <c:pt idx="1625">
                  <c:v>0.6946401250642702</c:v>
                </c:pt>
                <c:pt idx="1626">
                  <c:v>0.69469337495154238</c:v>
                </c:pt>
                <c:pt idx="1627">
                  <c:v>0.69474493417134353</c:v>
                </c:pt>
                <c:pt idx="1628">
                  <c:v>0.69475522076560758</c:v>
                </c:pt>
                <c:pt idx="1629">
                  <c:v>0.69489284301807419</c:v>
                </c:pt>
                <c:pt idx="1630">
                  <c:v>0.694897902614803</c:v>
                </c:pt>
                <c:pt idx="1631">
                  <c:v>0.69510462053861555</c:v>
                </c:pt>
                <c:pt idx="1632">
                  <c:v>0.69521806457577362</c:v>
                </c:pt>
                <c:pt idx="1633">
                  <c:v>0.69529790660225521</c:v>
                </c:pt>
                <c:pt idx="1634">
                  <c:v>0.69538367799237333</c:v>
                </c:pt>
                <c:pt idx="1635">
                  <c:v>0.69574624837274524</c:v>
                </c:pt>
                <c:pt idx="1636">
                  <c:v>0.69594125822089492</c:v>
                </c:pt>
                <c:pt idx="1637">
                  <c:v>0.69598770849253533</c:v>
                </c:pt>
                <c:pt idx="1638">
                  <c:v>0.69608592290711435</c:v>
                </c:pt>
                <c:pt idx="1639">
                  <c:v>0.69636457548247188</c:v>
                </c:pt>
                <c:pt idx="1640">
                  <c:v>0.69640114026628863</c:v>
                </c:pt>
                <c:pt idx="1641">
                  <c:v>0.69644417036984374</c:v>
                </c:pt>
                <c:pt idx="1642">
                  <c:v>0.69651039787225943</c:v>
                </c:pt>
                <c:pt idx="1643">
                  <c:v>0.69664127019160205</c:v>
                </c:pt>
                <c:pt idx="1644">
                  <c:v>0.69668636522685745</c:v>
                </c:pt>
                <c:pt idx="1645">
                  <c:v>0.69674289674289691</c:v>
                </c:pt>
                <c:pt idx="1646">
                  <c:v>0.69674901867590433</c:v>
                </c:pt>
                <c:pt idx="1647">
                  <c:v>0.69675261658544818</c:v>
                </c:pt>
                <c:pt idx="1648">
                  <c:v>0.69678022874617485</c:v>
                </c:pt>
                <c:pt idx="1649">
                  <c:v>0.69678808280933846</c:v>
                </c:pt>
                <c:pt idx="1650">
                  <c:v>0.69715097584685559</c:v>
                </c:pt>
                <c:pt idx="1651">
                  <c:v>0.69722866931688621</c:v>
                </c:pt>
                <c:pt idx="1652">
                  <c:v>0.69728453364816956</c:v>
                </c:pt>
                <c:pt idx="1653">
                  <c:v>0.69760499522471708</c:v>
                </c:pt>
                <c:pt idx="1654">
                  <c:v>0.69764911782791694</c:v>
                </c:pt>
                <c:pt idx="1655">
                  <c:v>0.6977644014126182</c:v>
                </c:pt>
                <c:pt idx="1656">
                  <c:v>0.69792808020407748</c:v>
                </c:pt>
                <c:pt idx="1657">
                  <c:v>0.69798579396793736</c:v>
                </c:pt>
                <c:pt idx="1658">
                  <c:v>0.69806582965727815</c:v>
                </c:pt>
                <c:pt idx="1659">
                  <c:v>0.69812195646185804</c:v>
                </c:pt>
                <c:pt idx="1660">
                  <c:v>0.69813818265628214</c:v>
                </c:pt>
                <c:pt idx="1661">
                  <c:v>0.69820041887095263</c:v>
                </c:pt>
                <c:pt idx="1662">
                  <c:v>0.69836291078618873</c:v>
                </c:pt>
                <c:pt idx="1663">
                  <c:v>0.69837007925692285</c:v>
                </c:pt>
                <c:pt idx="1664">
                  <c:v>0.69840982286634457</c:v>
                </c:pt>
                <c:pt idx="1665">
                  <c:v>0.69843629856421896</c:v>
                </c:pt>
                <c:pt idx="1666">
                  <c:v>0.6984412091055443</c:v>
                </c:pt>
                <c:pt idx="1667">
                  <c:v>0.69848876129089676</c:v>
                </c:pt>
                <c:pt idx="1668">
                  <c:v>0.69851653513244649</c:v>
                </c:pt>
                <c:pt idx="1669">
                  <c:v>0.69854701147652443</c:v>
                </c:pt>
                <c:pt idx="1670">
                  <c:v>0.69857162153035657</c:v>
                </c:pt>
                <c:pt idx="1671">
                  <c:v>0.6987198238699347</c:v>
                </c:pt>
                <c:pt idx="1672">
                  <c:v>0.69872060791889246</c:v>
                </c:pt>
                <c:pt idx="1673">
                  <c:v>0.69885777994494469</c:v>
                </c:pt>
                <c:pt idx="1674">
                  <c:v>0.69896433596890939</c:v>
                </c:pt>
                <c:pt idx="1675">
                  <c:v>0.69920832701518587</c:v>
                </c:pt>
                <c:pt idx="1676">
                  <c:v>0.69922288904271324</c:v>
                </c:pt>
                <c:pt idx="1677">
                  <c:v>0.69971473328386546</c:v>
                </c:pt>
                <c:pt idx="1678">
                  <c:v>0.69975007372051812</c:v>
                </c:pt>
                <c:pt idx="1679">
                  <c:v>0.69982907548148854</c:v>
                </c:pt>
                <c:pt idx="1680">
                  <c:v>0.69986864593740639</c:v>
                </c:pt>
                <c:pt idx="1681">
                  <c:v>0.70000260009710913</c:v>
                </c:pt>
                <c:pt idx="1682">
                  <c:v>0.7002728469056626</c:v>
                </c:pt>
                <c:pt idx="1683">
                  <c:v>0.70050943888153194</c:v>
                </c:pt>
                <c:pt idx="1684">
                  <c:v>0.70056626952932244</c:v>
                </c:pt>
                <c:pt idx="1685">
                  <c:v>0.70057688293784048</c:v>
                </c:pt>
                <c:pt idx="1686">
                  <c:v>0.70066835693578033</c:v>
                </c:pt>
                <c:pt idx="1687">
                  <c:v>0.70075113767202124</c:v>
                </c:pt>
                <c:pt idx="1688">
                  <c:v>0.70102514506769753</c:v>
                </c:pt>
                <c:pt idx="1689">
                  <c:v>0.701062469437016</c:v>
                </c:pt>
                <c:pt idx="1690">
                  <c:v>0.70112415340766066</c:v>
                </c:pt>
                <c:pt idx="1691">
                  <c:v>0.70117699311570125</c:v>
                </c:pt>
                <c:pt idx="1692">
                  <c:v>0.70123254288124437</c:v>
                </c:pt>
                <c:pt idx="1693">
                  <c:v>0.70130058388375427</c:v>
                </c:pt>
                <c:pt idx="1694">
                  <c:v>0.70132165983692474</c:v>
                </c:pt>
                <c:pt idx="1695">
                  <c:v>0.70132400514839588</c:v>
                </c:pt>
                <c:pt idx="1696">
                  <c:v>0.70132747206401769</c:v>
                </c:pt>
                <c:pt idx="1697">
                  <c:v>0.70133404621666917</c:v>
                </c:pt>
                <c:pt idx="1698">
                  <c:v>0.70148964543600512</c:v>
                </c:pt>
                <c:pt idx="1699">
                  <c:v>0.701504543423209</c:v>
                </c:pt>
                <c:pt idx="1700">
                  <c:v>0.70165886507349851</c:v>
                </c:pt>
                <c:pt idx="1701">
                  <c:v>0.70206900788211757</c:v>
                </c:pt>
                <c:pt idx="1702">
                  <c:v>0.70213607594936767</c:v>
                </c:pt>
                <c:pt idx="1703">
                  <c:v>0.70218066635086562</c:v>
                </c:pt>
                <c:pt idx="1704">
                  <c:v>0.70252424844870154</c:v>
                </c:pt>
                <c:pt idx="1705">
                  <c:v>0.70265056216764243</c:v>
                </c:pt>
                <c:pt idx="1706">
                  <c:v>0.70265401540153971</c:v>
                </c:pt>
                <c:pt idx="1707">
                  <c:v>0.70287026406429365</c:v>
                </c:pt>
                <c:pt idx="1708">
                  <c:v>0.70303246455530755</c:v>
                </c:pt>
                <c:pt idx="1709">
                  <c:v>0.70322491392031372</c:v>
                </c:pt>
                <c:pt idx="1710">
                  <c:v>0.70344506903667992</c:v>
                </c:pt>
                <c:pt idx="1711">
                  <c:v>0.70348125394854322</c:v>
                </c:pt>
                <c:pt idx="1712">
                  <c:v>0.70361485923704747</c:v>
                </c:pt>
                <c:pt idx="1713">
                  <c:v>0.70362293227916139</c:v>
                </c:pt>
                <c:pt idx="1714">
                  <c:v>0.70365322601858327</c:v>
                </c:pt>
                <c:pt idx="1715">
                  <c:v>0.70366151657061926</c:v>
                </c:pt>
                <c:pt idx="1716">
                  <c:v>0.70366192138956063</c:v>
                </c:pt>
                <c:pt idx="1717">
                  <c:v>0.70369530756354703</c:v>
                </c:pt>
                <c:pt idx="1718">
                  <c:v>0.70377948083985675</c:v>
                </c:pt>
                <c:pt idx="1719">
                  <c:v>0.70399289802786114</c:v>
                </c:pt>
                <c:pt idx="1720">
                  <c:v>0.70404040404040413</c:v>
                </c:pt>
                <c:pt idx="1721">
                  <c:v>0.70413060454220044</c:v>
                </c:pt>
                <c:pt idx="1722">
                  <c:v>0.70418307878058051</c:v>
                </c:pt>
                <c:pt idx="1723">
                  <c:v>0.70427411478301427</c:v>
                </c:pt>
                <c:pt idx="1724">
                  <c:v>0.70428144028115724</c:v>
                </c:pt>
                <c:pt idx="1725">
                  <c:v>0.70429334564400103</c:v>
                </c:pt>
                <c:pt idx="1726">
                  <c:v>0.70430071632467839</c:v>
                </c:pt>
                <c:pt idx="1727">
                  <c:v>0.70431283521528476</c:v>
                </c:pt>
                <c:pt idx="1728">
                  <c:v>0.70446271494593315</c:v>
                </c:pt>
                <c:pt idx="1729">
                  <c:v>0.70459163790223811</c:v>
                </c:pt>
                <c:pt idx="1730">
                  <c:v>0.704652544597825</c:v>
                </c:pt>
                <c:pt idx="1731">
                  <c:v>0.7046586807706019</c:v>
                </c:pt>
                <c:pt idx="1732">
                  <c:v>0.70486712419861575</c:v>
                </c:pt>
                <c:pt idx="1733">
                  <c:v>0.70505462104835948</c:v>
                </c:pt>
                <c:pt idx="1734">
                  <c:v>0.70508091972171516</c:v>
                </c:pt>
                <c:pt idx="1735">
                  <c:v>0.70527923631869083</c:v>
                </c:pt>
                <c:pt idx="1736">
                  <c:v>0.70532674314148125</c:v>
                </c:pt>
                <c:pt idx="1737">
                  <c:v>0.70534796339411243</c:v>
                </c:pt>
                <c:pt idx="1738">
                  <c:v>0.70553248440236949</c:v>
                </c:pt>
                <c:pt idx="1739">
                  <c:v>0.7055398117743491</c:v>
                </c:pt>
                <c:pt idx="1740">
                  <c:v>0.70554553326598368</c:v>
                </c:pt>
                <c:pt idx="1741">
                  <c:v>0.70585238148857121</c:v>
                </c:pt>
                <c:pt idx="1742">
                  <c:v>0.70586225138579994</c:v>
                </c:pt>
                <c:pt idx="1743">
                  <c:v>0.70597944120777856</c:v>
                </c:pt>
                <c:pt idx="1744">
                  <c:v>0.70604440352678766</c:v>
                </c:pt>
                <c:pt idx="1745">
                  <c:v>0.70604914679079578</c:v>
                </c:pt>
                <c:pt idx="1746">
                  <c:v>0.70633202253327754</c:v>
                </c:pt>
                <c:pt idx="1747">
                  <c:v>0.70635954573394666</c:v>
                </c:pt>
                <c:pt idx="1748">
                  <c:v>0.70636064914163077</c:v>
                </c:pt>
                <c:pt idx="1749">
                  <c:v>0.70639499042860321</c:v>
                </c:pt>
                <c:pt idx="1750">
                  <c:v>0.70650544319454955</c:v>
                </c:pt>
                <c:pt idx="1751">
                  <c:v>0.70658319539815484</c:v>
                </c:pt>
                <c:pt idx="1752">
                  <c:v>0.70668344996301957</c:v>
                </c:pt>
                <c:pt idx="1753">
                  <c:v>0.70677831194880414</c:v>
                </c:pt>
                <c:pt idx="1754">
                  <c:v>0.70702054794520519</c:v>
                </c:pt>
                <c:pt idx="1755">
                  <c:v>0.70712229590851272</c:v>
                </c:pt>
                <c:pt idx="1756">
                  <c:v>0.70712798831180568</c:v>
                </c:pt>
                <c:pt idx="1757">
                  <c:v>0.70719160885232357</c:v>
                </c:pt>
                <c:pt idx="1758">
                  <c:v>0.70733554727515369</c:v>
                </c:pt>
                <c:pt idx="1759">
                  <c:v>0.70737300182424134</c:v>
                </c:pt>
                <c:pt idx="1760">
                  <c:v>0.70751828620238122</c:v>
                </c:pt>
                <c:pt idx="1761">
                  <c:v>0.70753233466522869</c:v>
                </c:pt>
                <c:pt idx="1762">
                  <c:v>0.7075574301023918</c:v>
                </c:pt>
                <c:pt idx="1763">
                  <c:v>0.70760880243638891</c:v>
                </c:pt>
                <c:pt idx="1764">
                  <c:v>0.70776269114586443</c:v>
                </c:pt>
                <c:pt idx="1765">
                  <c:v>0.7077773054414217</c:v>
                </c:pt>
                <c:pt idx="1766">
                  <c:v>0.70800196367206558</c:v>
                </c:pt>
                <c:pt idx="1767">
                  <c:v>0.70828499634587982</c:v>
                </c:pt>
                <c:pt idx="1768">
                  <c:v>0.70840629611964379</c:v>
                </c:pt>
                <c:pt idx="1769">
                  <c:v>0.70850756416794158</c:v>
                </c:pt>
                <c:pt idx="1770">
                  <c:v>0.70855040270472258</c:v>
                </c:pt>
                <c:pt idx="1771">
                  <c:v>0.70880904670922851</c:v>
                </c:pt>
                <c:pt idx="1772">
                  <c:v>0.70883725589294599</c:v>
                </c:pt>
                <c:pt idx="1773">
                  <c:v>0.70887775736823033</c:v>
                </c:pt>
                <c:pt idx="1774">
                  <c:v>0.70888177756309612</c:v>
                </c:pt>
                <c:pt idx="1775">
                  <c:v>0.70889613455718781</c:v>
                </c:pt>
                <c:pt idx="1776">
                  <c:v>0.70916160299061803</c:v>
                </c:pt>
                <c:pt idx="1777">
                  <c:v>0.70940411870644526</c:v>
                </c:pt>
                <c:pt idx="1778">
                  <c:v>0.70941339620308386</c:v>
                </c:pt>
                <c:pt idx="1779">
                  <c:v>0.70943863254249906</c:v>
                </c:pt>
                <c:pt idx="1780">
                  <c:v>0.70951932006369922</c:v>
                </c:pt>
                <c:pt idx="1781">
                  <c:v>0.70953584045808626</c:v>
                </c:pt>
                <c:pt idx="1782">
                  <c:v>0.70971021116032762</c:v>
                </c:pt>
                <c:pt idx="1783">
                  <c:v>0.70981026444558404</c:v>
                </c:pt>
                <c:pt idx="1784">
                  <c:v>0.70995366424398421</c:v>
                </c:pt>
                <c:pt idx="1785">
                  <c:v>0.70997306420266648</c:v>
                </c:pt>
                <c:pt idx="1786">
                  <c:v>0.71031816340994136</c:v>
                </c:pt>
                <c:pt idx="1787">
                  <c:v>0.7103744366083431</c:v>
                </c:pt>
                <c:pt idx="1788">
                  <c:v>0.71050823324395906</c:v>
                </c:pt>
                <c:pt idx="1789">
                  <c:v>0.71064168991630128</c:v>
                </c:pt>
                <c:pt idx="1790">
                  <c:v>0.71085210829685985</c:v>
                </c:pt>
                <c:pt idx="1791">
                  <c:v>0.71087322363500294</c:v>
                </c:pt>
                <c:pt idx="1792">
                  <c:v>0.71093470526857416</c:v>
                </c:pt>
                <c:pt idx="1793">
                  <c:v>0.71108343992005341</c:v>
                </c:pt>
                <c:pt idx="1794">
                  <c:v>0.71124741492761723</c:v>
                </c:pt>
                <c:pt idx="1795">
                  <c:v>0.71137285882766677</c:v>
                </c:pt>
                <c:pt idx="1796">
                  <c:v>0.71138133613920951</c:v>
                </c:pt>
                <c:pt idx="1797">
                  <c:v>0.71139527395326863</c:v>
                </c:pt>
                <c:pt idx="1798">
                  <c:v>0.71161334289616351</c:v>
                </c:pt>
                <c:pt idx="1799">
                  <c:v>0.71165488334188742</c:v>
                </c:pt>
                <c:pt idx="1800">
                  <c:v>0.71168867406285763</c:v>
                </c:pt>
                <c:pt idx="1801">
                  <c:v>0.71170913041095163</c:v>
                </c:pt>
                <c:pt idx="1802">
                  <c:v>0.71174082747853196</c:v>
                </c:pt>
                <c:pt idx="1803">
                  <c:v>0.71184137785604806</c:v>
                </c:pt>
                <c:pt idx="1804">
                  <c:v>0.71185120010737202</c:v>
                </c:pt>
                <c:pt idx="1805">
                  <c:v>0.71189234004691471</c:v>
                </c:pt>
                <c:pt idx="1806">
                  <c:v>0.71192163889004934</c:v>
                </c:pt>
                <c:pt idx="1807">
                  <c:v>0.71193450606703002</c:v>
                </c:pt>
                <c:pt idx="1808">
                  <c:v>0.71193906447012101</c:v>
                </c:pt>
                <c:pt idx="1809">
                  <c:v>0.7119741650378173</c:v>
                </c:pt>
                <c:pt idx="1810">
                  <c:v>0.7120784512558952</c:v>
                </c:pt>
                <c:pt idx="1811">
                  <c:v>0.71210219632451766</c:v>
                </c:pt>
                <c:pt idx="1812">
                  <c:v>0.7124179544022079</c:v>
                </c:pt>
                <c:pt idx="1813">
                  <c:v>0.71261878984722726</c:v>
                </c:pt>
                <c:pt idx="1814">
                  <c:v>0.71265141232864604</c:v>
                </c:pt>
                <c:pt idx="1815">
                  <c:v>0.71285944793407496</c:v>
                </c:pt>
                <c:pt idx="1816">
                  <c:v>0.712876047064958</c:v>
                </c:pt>
                <c:pt idx="1817">
                  <c:v>0.71308863824635105</c:v>
                </c:pt>
                <c:pt idx="1818">
                  <c:v>0.71309254949802803</c:v>
                </c:pt>
                <c:pt idx="1819">
                  <c:v>0.71309728449857057</c:v>
                </c:pt>
                <c:pt idx="1820">
                  <c:v>0.71317364075436607</c:v>
                </c:pt>
                <c:pt idx="1821">
                  <c:v>0.71332936822627435</c:v>
                </c:pt>
                <c:pt idx="1822">
                  <c:v>0.7134798869543314</c:v>
                </c:pt>
                <c:pt idx="1823">
                  <c:v>0.71353353878434167</c:v>
                </c:pt>
                <c:pt idx="1824">
                  <c:v>0.71360389116887146</c:v>
                </c:pt>
                <c:pt idx="1825">
                  <c:v>0.71374999999999966</c:v>
                </c:pt>
                <c:pt idx="1826">
                  <c:v>0.71388636089471458</c:v>
                </c:pt>
                <c:pt idx="1827">
                  <c:v>0.71390798489446494</c:v>
                </c:pt>
                <c:pt idx="1828">
                  <c:v>0.71394137105688005</c:v>
                </c:pt>
                <c:pt idx="1829">
                  <c:v>0.71422158189259122</c:v>
                </c:pt>
                <c:pt idx="1830">
                  <c:v>0.71435153408597829</c:v>
                </c:pt>
                <c:pt idx="1831">
                  <c:v>0.71447606828949806</c:v>
                </c:pt>
                <c:pt idx="1832">
                  <c:v>0.71455642147966325</c:v>
                </c:pt>
                <c:pt idx="1833">
                  <c:v>0.71459365748589909</c:v>
                </c:pt>
                <c:pt idx="1834">
                  <c:v>0.71473246108211408</c:v>
                </c:pt>
                <c:pt idx="1835">
                  <c:v>0.71477509995390398</c:v>
                </c:pt>
                <c:pt idx="1836">
                  <c:v>0.71478225833910158</c:v>
                </c:pt>
                <c:pt idx="1837">
                  <c:v>0.71479586491111657</c:v>
                </c:pt>
                <c:pt idx="1838">
                  <c:v>0.71488332722571257</c:v>
                </c:pt>
                <c:pt idx="1839">
                  <c:v>0.71505683092420247</c:v>
                </c:pt>
                <c:pt idx="1840">
                  <c:v>0.71511590995664776</c:v>
                </c:pt>
                <c:pt idx="1841">
                  <c:v>0.71515206607277271</c:v>
                </c:pt>
                <c:pt idx="1842">
                  <c:v>0.71517998518162762</c:v>
                </c:pt>
                <c:pt idx="1843">
                  <c:v>0.71521960877143909</c:v>
                </c:pt>
                <c:pt idx="1844">
                  <c:v>0.71534463774498946</c:v>
                </c:pt>
                <c:pt idx="1845">
                  <c:v>0.71536441700376019</c:v>
                </c:pt>
                <c:pt idx="1846">
                  <c:v>0.71536538675440076</c:v>
                </c:pt>
                <c:pt idx="1847">
                  <c:v>0.71553200244232673</c:v>
                </c:pt>
                <c:pt idx="1848">
                  <c:v>0.71554038491657679</c:v>
                </c:pt>
                <c:pt idx="1849">
                  <c:v>0.71556853682888366</c:v>
                </c:pt>
                <c:pt idx="1850">
                  <c:v>0.71562655416645293</c:v>
                </c:pt>
                <c:pt idx="1851">
                  <c:v>0.71569391792463011</c:v>
                </c:pt>
                <c:pt idx="1852">
                  <c:v>0.71573131724338457</c:v>
                </c:pt>
                <c:pt idx="1853">
                  <c:v>0.71577207024603795</c:v>
                </c:pt>
                <c:pt idx="1854">
                  <c:v>0.71603222602223049</c:v>
                </c:pt>
                <c:pt idx="1855">
                  <c:v>0.71655014276019224</c:v>
                </c:pt>
                <c:pt idx="1856">
                  <c:v>0.716636154115047</c:v>
                </c:pt>
                <c:pt idx="1857">
                  <c:v>0.71665465032444131</c:v>
                </c:pt>
                <c:pt idx="1858">
                  <c:v>0.71666666666666634</c:v>
                </c:pt>
                <c:pt idx="1859">
                  <c:v>0.71671906519923412</c:v>
                </c:pt>
                <c:pt idx="1860">
                  <c:v>0.71683815743028645</c:v>
                </c:pt>
                <c:pt idx="1861">
                  <c:v>0.71690846764392813</c:v>
                </c:pt>
                <c:pt idx="1862">
                  <c:v>0.71692755747314096</c:v>
                </c:pt>
                <c:pt idx="1863">
                  <c:v>0.717030868097013</c:v>
                </c:pt>
                <c:pt idx="1864">
                  <c:v>0.71716797416338296</c:v>
                </c:pt>
                <c:pt idx="1865">
                  <c:v>0.71730992574549257</c:v>
                </c:pt>
                <c:pt idx="1866">
                  <c:v>0.71732410239472844</c:v>
                </c:pt>
                <c:pt idx="1867">
                  <c:v>0.71734103361307</c:v>
                </c:pt>
                <c:pt idx="1868">
                  <c:v>0.71737636599018684</c:v>
                </c:pt>
                <c:pt idx="1869">
                  <c:v>0.71758897349740136</c:v>
                </c:pt>
                <c:pt idx="1870">
                  <c:v>0.71765932102441943</c:v>
                </c:pt>
                <c:pt idx="1871">
                  <c:v>0.71776492614011955</c:v>
                </c:pt>
                <c:pt idx="1872">
                  <c:v>0.71787303072222708</c:v>
                </c:pt>
                <c:pt idx="1873">
                  <c:v>0.71806747074403565</c:v>
                </c:pt>
                <c:pt idx="1874">
                  <c:v>0.71809246464752008</c:v>
                </c:pt>
                <c:pt idx="1875">
                  <c:v>0.71809802726658722</c:v>
                </c:pt>
                <c:pt idx="1876">
                  <c:v>0.7182266419981499</c:v>
                </c:pt>
                <c:pt idx="1877">
                  <c:v>0.7184731182795705</c:v>
                </c:pt>
                <c:pt idx="1878">
                  <c:v>0.71861104066375503</c:v>
                </c:pt>
                <c:pt idx="1879">
                  <c:v>0.71888762220469049</c:v>
                </c:pt>
                <c:pt idx="1880">
                  <c:v>0.71902733417775888</c:v>
                </c:pt>
                <c:pt idx="1881">
                  <c:v>0.71906381655024076</c:v>
                </c:pt>
                <c:pt idx="1882">
                  <c:v>0.71932194148139827</c:v>
                </c:pt>
                <c:pt idx="1883">
                  <c:v>0.7193923327449574</c:v>
                </c:pt>
                <c:pt idx="1884">
                  <c:v>0.71953599012360459</c:v>
                </c:pt>
                <c:pt idx="1885">
                  <c:v>0.72002575875476149</c:v>
                </c:pt>
                <c:pt idx="1886">
                  <c:v>0.72006708952258136</c:v>
                </c:pt>
                <c:pt idx="1887">
                  <c:v>0.72032289374831315</c:v>
                </c:pt>
                <c:pt idx="1888">
                  <c:v>0.72041366251547601</c:v>
                </c:pt>
                <c:pt idx="1889">
                  <c:v>0.72045275785372409</c:v>
                </c:pt>
                <c:pt idx="1890">
                  <c:v>0.72055477218976816</c:v>
                </c:pt>
                <c:pt idx="1891">
                  <c:v>0.7206277631432636</c:v>
                </c:pt>
                <c:pt idx="1892">
                  <c:v>0.72079734113137939</c:v>
                </c:pt>
                <c:pt idx="1893">
                  <c:v>0.72104257558264206</c:v>
                </c:pt>
                <c:pt idx="1894">
                  <c:v>0.72105636542554508</c:v>
                </c:pt>
                <c:pt idx="1895">
                  <c:v>0.72120866140696482</c:v>
                </c:pt>
                <c:pt idx="1896">
                  <c:v>0.72146708368426682</c:v>
                </c:pt>
                <c:pt idx="1897">
                  <c:v>0.72207534600551437</c:v>
                </c:pt>
                <c:pt idx="1898">
                  <c:v>0.72217946518444054</c:v>
                </c:pt>
                <c:pt idx="1899">
                  <c:v>0.72225414134559074</c:v>
                </c:pt>
                <c:pt idx="1900">
                  <c:v>0.72251582714010443</c:v>
                </c:pt>
                <c:pt idx="1901">
                  <c:v>0.72257792422731559</c:v>
                </c:pt>
                <c:pt idx="1902">
                  <c:v>0.72277350260452433</c:v>
                </c:pt>
                <c:pt idx="1903">
                  <c:v>0.72282913012417049</c:v>
                </c:pt>
                <c:pt idx="1904">
                  <c:v>0.72284302495937769</c:v>
                </c:pt>
                <c:pt idx="1905">
                  <c:v>0.72296422782335357</c:v>
                </c:pt>
                <c:pt idx="1906">
                  <c:v>0.72308102345415759</c:v>
                </c:pt>
                <c:pt idx="1907">
                  <c:v>0.72312113709942605</c:v>
                </c:pt>
                <c:pt idx="1908">
                  <c:v>0.72327005728841565</c:v>
                </c:pt>
                <c:pt idx="1909">
                  <c:v>0.72327738294272403</c:v>
                </c:pt>
                <c:pt idx="1910">
                  <c:v>0.72401865825033662</c:v>
                </c:pt>
                <c:pt idx="1911">
                  <c:v>0.72409879289745749</c:v>
                </c:pt>
                <c:pt idx="1912">
                  <c:v>0.72412398435769143</c:v>
                </c:pt>
                <c:pt idx="1913">
                  <c:v>0.72424768970261943</c:v>
                </c:pt>
                <c:pt idx="1914">
                  <c:v>0.72442721445879821</c:v>
                </c:pt>
                <c:pt idx="1915">
                  <c:v>0.72450157349554545</c:v>
                </c:pt>
                <c:pt idx="1916">
                  <c:v>0.7245603823085891</c:v>
                </c:pt>
                <c:pt idx="1917">
                  <c:v>0.72459316180652689</c:v>
                </c:pt>
                <c:pt idx="1918">
                  <c:v>0.72470075473584306</c:v>
                </c:pt>
                <c:pt idx="1919">
                  <c:v>0.72477038608637401</c:v>
                </c:pt>
                <c:pt idx="1920">
                  <c:v>0.72484415572899552</c:v>
                </c:pt>
                <c:pt idx="1921">
                  <c:v>0.72485108648630692</c:v>
                </c:pt>
                <c:pt idx="1922">
                  <c:v>0.72502016409400616</c:v>
                </c:pt>
                <c:pt idx="1923">
                  <c:v>0.72503723854606694</c:v>
                </c:pt>
                <c:pt idx="1924">
                  <c:v>0.72527400444889534</c:v>
                </c:pt>
                <c:pt idx="1925">
                  <c:v>0.72535465089413642</c:v>
                </c:pt>
                <c:pt idx="1926">
                  <c:v>0.7256205089880714</c:v>
                </c:pt>
                <c:pt idx="1927">
                  <c:v>0.72570787041087059</c:v>
                </c:pt>
                <c:pt idx="1928">
                  <c:v>0.72585150698358225</c:v>
                </c:pt>
                <c:pt idx="1929">
                  <c:v>0.7259377697222722</c:v>
                </c:pt>
                <c:pt idx="1930">
                  <c:v>0.72617302172397435</c:v>
                </c:pt>
                <c:pt idx="1931">
                  <c:v>0.72653724383906126</c:v>
                </c:pt>
                <c:pt idx="1932">
                  <c:v>0.72655780555418226</c:v>
                </c:pt>
                <c:pt idx="1933">
                  <c:v>0.72662160846860768</c:v>
                </c:pt>
                <c:pt idx="1934">
                  <c:v>0.72674781160430657</c:v>
                </c:pt>
                <c:pt idx="1935">
                  <c:v>0.7268494320970611</c:v>
                </c:pt>
                <c:pt idx="1936">
                  <c:v>0.72685637234388767</c:v>
                </c:pt>
                <c:pt idx="1937">
                  <c:v>0.72686076913980946</c:v>
                </c:pt>
                <c:pt idx="1938">
                  <c:v>0.72690073093318586</c:v>
                </c:pt>
                <c:pt idx="1939">
                  <c:v>0.72696698278890037</c:v>
                </c:pt>
                <c:pt idx="1940">
                  <c:v>0.72704507512520722</c:v>
                </c:pt>
                <c:pt idx="1941">
                  <c:v>0.72743591299530186</c:v>
                </c:pt>
                <c:pt idx="1942">
                  <c:v>0.72746815190004843</c:v>
                </c:pt>
                <c:pt idx="1943">
                  <c:v>0.72754001832751658</c:v>
                </c:pt>
                <c:pt idx="1944">
                  <c:v>0.72762410772225905</c:v>
                </c:pt>
                <c:pt idx="1945">
                  <c:v>0.72763846335766513</c:v>
                </c:pt>
                <c:pt idx="1946">
                  <c:v>0.72766804245283068</c:v>
                </c:pt>
                <c:pt idx="1947">
                  <c:v>0.72774407733869051</c:v>
                </c:pt>
                <c:pt idx="1948">
                  <c:v>0.72788232578727774</c:v>
                </c:pt>
                <c:pt idx="1949">
                  <c:v>0.72802277899550072</c:v>
                </c:pt>
                <c:pt idx="1950">
                  <c:v>0.72807158832321306</c:v>
                </c:pt>
                <c:pt idx="1951">
                  <c:v>0.72810595564069436</c:v>
                </c:pt>
                <c:pt idx="1952">
                  <c:v>0.72816062299730588</c:v>
                </c:pt>
                <c:pt idx="1953">
                  <c:v>0.72829038084325559</c:v>
                </c:pt>
                <c:pt idx="1954">
                  <c:v>0.72830549018468338</c:v>
                </c:pt>
                <c:pt idx="1955">
                  <c:v>0.72843161348407814</c:v>
                </c:pt>
                <c:pt idx="1956">
                  <c:v>0.72844209172314822</c:v>
                </c:pt>
                <c:pt idx="1957">
                  <c:v>0.72860097939885038</c:v>
                </c:pt>
                <c:pt idx="1958">
                  <c:v>0.72861960860043273</c:v>
                </c:pt>
                <c:pt idx="1959">
                  <c:v>0.72865573840473064</c:v>
                </c:pt>
                <c:pt idx="1960">
                  <c:v>0.72895561430599298</c:v>
                </c:pt>
                <c:pt idx="1961">
                  <c:v>0.72895688758805244</c:v>
                </c:pt>
                <c:pt idx="1962">
                  <c:v>0.72932682352332157</c:v>
                </c:pt>
                <c:pt idx="1963">
                  <c:v>0.72940778595414568</c:v>
                </c:pt>
                <c:pt idx="1964">
                  <c:v>0.72958280657395691</c:v>
                </c:pt>
                <c:pt idx="1965">
                  <c:v>0.72962401703800872</c:v>
                </c:pt>
                <c:pt idx="1966">
                  <c:v>0.7297734627831709</c:v>
                </c:pt>
                <c:pt idx="1967">
                  <c:v>0.72988833470905867</c:v>
                </c:pt>
                <c:pt idx="1968">
                  <c:v>0.73010591878386777</c:v>
                </c:pt>
                <c:pt idx="1969">
                  <c:v>0.73029201250860598</c:v>
                </c:pt>
                <c:pt idx="1970">
                  <c:v>0.73036478953778139</c:v>
                </c:pt>
                <c:pt idx="1971">
                  <c:v>0.73062975544707964</c:v>
                </c:pt>
                <c:pt idx="1972">
                  <c:v>0.73074316266427553</c:v>
                </c:pt>
                <c:pt idx="1973">
                  <c:v>0.73079934017390369</c:v>
                </c:pt>
                <c:pt idx="1974">
                  <c:v>0.73096103554334657</c:v>
                </c:pt>
                <c:pt idx="1975">
                  <c:v>0.73105961989065338</c:v>
                </c:pt>
                <c:pt idx="1976">
                  <c:v>0.73156628884465535</c:v>
                </c:pt>
                <c:pt idx="1977">
                  <c:v>0.73164984262077182</c:v>
                </c:pt>
                <c:pt idx="1978">
                  <c:v>0.73173002719577973</c:v>
                </c:pt>
                <c:pt idx="1979">
                  <c:v>0.73179381250334297</c:v>
                </c:pt>
                <c:pt idx="1980">
                  <c:v>0.73203576304693974</c:v>
                </c:pt>
                <c:pt idx="1981">
                  <c:v>0.73229308820222117</c:v>
                </c:pt>
                <c:pt idx="1982">
                  <c:v>0.73238002635636268</c:v>
                </c:pt>
                <c:pt idx="1983">
                  <c:v>0.73240094741286244</c:v>
                </c:pt>
                <c:pt idx="1984">
                  <c:v>0.73247279500669837</c:v>
                </c:pt>
                <c:pt idx="1985">
                  <c:v>0.73324675202343503</c:v>
                </c:pt>
                <c:pt idx="1986">
                  <c:v>0.73347107438016468</c:v>
                </c:pt>
                <c:pt idx="1987">
                  <c:v>0.73351630716323513</c:v>
                </c:pt>
                <c:pt idx="1988">
                  <c:v>0.73360471984798592</c:v>
                </c:pt>
                <c:pt idx="1989">
                  <c:v>0.73364672571511469</c:v>
                </c:pt>
                <c:pt idx="1990">
                  <c:v>0.73385731915143593</c:v>
                </c:pt>
                <c:pt idx="1991">
                  <c:v>0.73391529265890043</c:v>
                </c:pt>
                <c:pt idx="1992">
                  <c:v>0.73420809865993408</c:v>
                </c:pt>
                <c:pt idx="1993">
                  <c:v>0.73421745401485428</c:v>
                </c:pt>
                <c:pt idx="1994">
                  <c:v>0.73423256959842265</c:v>
                </c:pt>
                <c:pt idx="1995">
                  <c:v>0.73431202265102702</c:v>
                </c:pt>
                <c:pt idx="1996">
                  <c:v>0.73440612364979019</c:v>
                </c:pt>
                <c:pt idx="1997">
                  <c:v>0.73458146043592487</c:v>
                </c:pt>
                <c:pt idx="1998">
                  <c:v>0.73459884029409439</c:v>
                </c:pt>
                <c:pt idx="1999">
                  <c:v>0.73477212538044989</c:v>
                </c:pt>
                <c:pt idx="2000">
                  <c:v>0.73477493007495298</c:v>
                </c:pt>
                <c:pt idx="2001">
                  <c:v>0.73489722495663989</c:v>
                </c:pt>
                <c:pt idx="2002">
                  <c:v>0.73492334370097201</c:v>
                </c:pt>
                <c:pt idx="2003">
                  <c:v>0.73494268771997118</c:v>
                </c:pt>
                <c:pt idx="2004">
                  <c:v>0.7351684503020679</c:v>
                </c:pt>
                <c:pt idx="2005">
                  <c:v>0.73521841081120887</c:v>
                </c:pt>
                <c:pt idx="2006">
                  <c:v>0.73521862267496529</c:v>
                </c:pt>
                <c:pt idx="2007">
                  <c:v>0.73537927514808676</c:v>
                </c:pt>
                <c:pt idx="2008">
                  <c:v>0.73559108630764325</c:v>
                </c:pt>
                <c:pt idx="2009">
                  <c:v>0.7359627706055003</c:v>
                </c:pt>
                <c:pt idx="2010">
                  <c:v>0.73610142144417146</c:v>
                </c:pt>
                <c:pt idx="2011">
                  <c:v>0.7361661011728835</c:v>
                </c:pt>
                <c:pt idx="2012">
                  <c:v>0.73649178789599912</c:v>
                </c:pt>
                <c:pt idx="2013">
                  <c:v>0.73660812496770289</c:v>
                </c:pt>
                <c:pt idx="2014">
                  <c:v>0.73673873950412727</c:v>
                </c:pt>
                <c:pt idx="2015">
                  <c:v>0.73674377032585969</c:v>
                </c:pt>
                <c:pt idx="2016">
                  <c:v>0.7369804684710427</c:v>
                </c:pt>
                <c:pt idx="2017">
                  <c:v>0.73703718761858295</c:v>
                </c:pt>
                <c:pt idx="2018">
                  <c:v>0.73715018948069788</c:v>
                </c:pt>
                <c:pt idx="2019">
                  <c:v>0.73720488828210951</c:v>
                </c:pt>
                <c:pt idx="2020">
                  <c:v>0.73740225336999488</c:v>
                </c:pt>
                <c:pt idx="2021">
                  <c:v>0.73808977393301001</c:v>
                </c:pt>
                <c:pt idx="2022">
                  <c:v>0.7384991273996504</c:v>
                </c:pt>
                <c:pt idx="2023">
                  <c:v>0.73868767962628834</c:v>
                </c:pt>
                <c:pt idx="2024">
                  <c:v>0.73873806184465318</c:v>
                </c:pt>
                <c:pt idx="2025">
                  <c:v>0.73875636595756533</c:v>
                </c:pt>
                <c:pt idx="2026">
                  <c:v>0.73904007588151444</c:v>
                </c:pt>
                <c:pt idx="2027">
                  <c:v>0.73911792738118154</c:v>
                </c:pt>
                <c:pt idx="2028">
                  <c:v>0.7394603514886996</c:v>
                </c:pt>
                <c:pt idx="2029">
                  <c:v>0.73977449983729671</c:v>
                </c:pt>
                <c:pt idx="2030">
                  <c:v>0.74045630398859741</c:v>
                </c:pt>
                <c:pt idx="2031">
                  <c:v>0.74059303528330034</c:v>
                </c:pt>
                <c:pt idx="2032">
                  <c:v>0.74149480656329902</c:v>
                </c:pt>
                <c:pt idx="2033">
                  <c:v>0.74150758884148493</c:v>
                </c:pt>
                <c:pt idx="2034">
                  <c:v>0.7417006299524479</c:v>
                </c:pt>
                <c:pt idx="2035">
                  <c:v>0.74185537309132754</c:v>
                </c:pt>
                <c:pt idx="2036">
                  <c:v>0.74196387444890366</c:v>
                </c:pt>
                <c:pt idx="2037">
                  <c:v>0.74196766425868643</c:v>
                </c:pt>
                <c:pt idx="2038">
                  <c:v>0.74204088675726554</c:v>
                </c:pt>
                <c:pt idx="2039">
                  <c:v>0.74206310965489819</c:v>
                </c:pt>
                <c:pt idx="2040">
                  <c:v>0.74213507625272235</c:v>
                </c:pt>
                <c:pt idx="2041">
                  <c:v>0.74232083486646283</c:v>
                </c:pt>
                <c:pt idx="2042">
                  <c:v>0.74251850158818256</c:v>
                </c:pt>
                <c:pt idx="2043">
                  <c:v>0.74252584873813765</c:v>
                </c:pt>
                <c:pt idx="2044">
                  <c:v>0.742873448785344</c:v>
                </c:pt>
                <c:pt idx="2045">
                  <c:v>0.74302265391374445</c:v>
                </c:pt>
                <c:pt idx="2046">
                  <c:v>0.74345912852154794</c:v>
                </c:pt>
                <c:pt idx="2047">
                  <c:v>0.74349359180924157</c:v>
                </c:pt>
                <c:pt idx="2048">
                  <c:v>0.7436334198359088</c:v>
                </c:pt>
                <c:pt idx="2049">
                  <c:v>0.74389937510357118</c:v>
                </c:pt>
                <c:pt idx="2050">
                  <c:v>0.74391091949746058</c:v>
                </c:pt>
                <c:pt idx="2051">
                  <c:v>0.74398849142160139</c:v>
                </c:pt>
                <c:pt idx="2052">
                  <c:v>0.74434636303094803</c:v>
                </c:pt>
                <c:pt idx="2053">
                  <c:v>0.74441922340406419</c:v>
                </c:pt>
                <c:pt idx="2054">
                  <c:v>0.74447738227240923</c:v>
                </c:pt>
                <c:pt idx="2055">
                  <c:v>0.74447811735983715</c:v>
                </c:pt>
                <c:pt idx="2056">
                  <c:v>0.74453088798380607</c:v>
                </c:pt>
                <c:pt idx="2057">
                  <c:v>0.74488420158223156</c:v>
                </c:pt>
                <c:pt idx="2058">
                  <c:v>0.74526295603816117</c:v>
                </c:pt>
                <c:pt idx="2059">
                  <c:v>0.74542026888067925</c:v>
                </c:pt>
                <c:pt idx="2060">
                  <c:v>0.74543478855143464</c:v>
                </c:pt>
                <c:pt idx="2061">
                  <c:v>0.74566668613580134</c:v>
                </c:pt>
                <c:pt idx="2062">
                  <c:v>0.74587204343415836</c:v>
                </c:pt>
                <c:pt idx="2063">
                  <c:v>0.74640169785838295</c:v>
                </c:pt>
                <c:pt idx="2064">
                  <c:v>0.74646444741253215</c:v>
                </c:pt>
                <c:pt idx="2065">
                  <c:v>0.74655669658499857</c:v>
                </c:pt>
                <c:pt idx="2066">
                  <c:v>0.74665135080117528</c:v>
                </c:pt>
                <c:pt idx="2067">
                  <c:v>0.74673746112350237</c:v>
                </c:pt>
                <c:pt idx="2068">
                  <c:v>0.74691513314014912</c:v>
                </c:pt>
                <c:pt idx="2069">
                  <c:v>0.74704210577673602</c:v>
                </c:pt>
                <c:pt idx="2070">
                  <c:v>0.74716077229623989</c:v>
                </c:pt>
                <c:pt idx="2071">
                  <c:v>0.74717368961973207</c:v>
                </c:pt>
                <c:pt idx="2072">
                  <c:v>0.74726488005620817</c:v>
                </c:pt>
                <c:pt idx="2073">
                  <c:v>0.74733026892798571</c:v>
                </c:pt>
                <c:pt idx="2074">
                  <c:v>0.74734302823229748</c:v>
                </c:pt>
                <c:pt idx="2075">
                  <c:v>0.74758170017969472</c:v>
                </c:pt>
                <c:pt idx="2076">
                  <c:v>0.74759649122806915</c:v>
                </c:pt>
                <c:pt idx="2077">
                  <c:v>0.74785025873843403</c:v>
                </c:pt>
                <c:pt idx="2078">
                  <c:v>0.74790320880576966</c:v>
                </c:pt>
                <c:pt idx="2079">
                  <c:v>0.74799058835371801</c:v>
                </c:pt>
                <c:pt idx="2080">
                  <c:v>0.7481355948782652</c:v>
                </c:pt>
                <c:pt idx="2081">
                  <c:v>0.74831162769774084</c:v>
                </c:pt>
                <c:pt idx="2082">
                  <c:v>0.74852285332669288</c:v>
                </c:pt>
                <c:pt idx="2083">
                  <c:v>0.74858543867897231</c:v>
                </c:pt>
                <c:pt idx="2084">
                  <c:v>0.74884326200115614</c:v>
                </c:pt>
                <c:pt idx="2085">
                  <c:v>0.74978843096490144</c:v>
                </c:pt>
                <c:pt idx="2086">
                  <c:v>0.74992436376915106</c:v>
                </c:pt>
                <c:pt idx="2087">
                  <c:v>0.75015332556956427</c:v>
                </c:pt>
                <c:pt idx="2088">
                  <c:v>0.75016183718858398</c:v>
                </c:pt>
                <c:pt idx="2089">
                  <c:v>0.75042022364164429</c:v>
                </c:pt>
                <c:pt idx="2090">
                  <c:v>0.75094232974536712</c:v>
                </c:pt>
                <c:pt idx="2091">
                  <c:v>0.75102163086486018</c:v>
                </c:pt>
                <c:pt idx="2092">
                  <c:v>0.7513077331781538</c:v>
                </c:pt>
                <c:pt idx="2093">
                  <c:v>0.75209320812469316</c:v>
                </c:pt>
                <c:pt idx="2094">
                  <c:v>0.75221752565765188</c:v>
                </c:pt>
                <c:pt idx="2095">
                  <c:v>0.75223571684511459</c:v>
                </c:pt>
                <c:pt idx="2096">
                  <c:v>0.75234620758494275</c:v>
                </c:pt>
                <c:pt idx="2097">
                  <c:v>0.75283822987132909</c:v>
                </c:pt>
                <c:pt idx="2098">
                  <c:v>0.75286478227654763</c:v>
                </c:pt>
                <c:pt idx="2099">
                  <c:v>0.75289893243432993</c:v>
                </c:pt>
                <c:pt idx="2100">
                  <c:v>0.75319899447662841</c:v>
                </c:pt>
                <c:pt idx="2101">
                  <c:v>0.75320193173644645</c:v>
                </c:pt>
                <c:pt idx="2102">
                  <c:v>0.75323076923076815</c:v>
                </c:pt>
                <c:pt idx="2103">
                  <c:v>0.75327716779707421</c:v>
                </c:pt>
                <c:pt idx="2104">
                  <c:v>0.75328615672716859</c:v>
                </c:pt>
                <c:pt idx="2105">
                  <c:v>0.75342374847260341</c:v>
                </c:pt>
                <c:pt idx="2106">
                  <c:v>0.75355504412369867</c:v>
                </c:pt>
                <c:pt idx="2107">
                  <c:v>0.75363601857885376</c:v>
                </c:pt>
                <c:pt idx="2108">
                  <c:v>0.75369940662703294</c:v>
                </c:pt>
                <c:pt idx="2109">
                  <c:v>0.75369991141641657</c:v>
                </c:pt>
                <c:pt idx="2110">
                  <c:v>0.7538686562131176</c:v>
                </c:pt>
                <c:pt idx="2111">
                  <c:v>0.75398900987076378</c:v>
                </c:pt>
                <c:pt idx="2112">
                  <c:v>0.75411145209105102</c:v>
                </c:pt>
                <c:pt idx="2113">
                  <c:v>0.75432351415230336</c:v>
                </c:pt>
                <c:pt idx="2114">
                  <c:v>0.75437141513869388</c:v>
                </c:pt>
                <c:pt idx="2115">
                  <c:v>0.7545047691795439</c:v>
                </c:pt>
                <c:pt idx="2116">
                  <c:v>0.75484458198698301</c:v>
                </c:pt>
                <c:pt idx="2117">
                  <c:v>0.75486302393611437</c:v>
                </c:pt>
                <c:pt idx="2118">
                  <c:v>0.75488673969740661</c:v>
                </c:pt>
                <c:pt idx="2119">
                  <c:v>0.75510803136740534</c:v>
                </c:pt>
                <c:pt idx="2120">
                  <c:v>0.75633772525375498</c:v>
                </c:pt>
                <c:pt idx="2121">
                  <c:v>0.75635408317748754</c:v>
                </c:pt>
                <c:pt idx="2122">
                  <c:v>0.7564475298384683</c:v>
                </c:pt>
                <c:pt idx="2123">
                  <c:v>0.75679614777595228</c:v>
                </c:pt>
                <c:pt idx="2124">
                  <c:v>0.75704271722132221</c:v>
                </c:pt>
                <c:pt idx="2125">
                  <c:v>0.75722663909641696</c:v>
                </c:pt>
                <c:pt idx="2126">
                  <c:v>0.75726341016958199</c:v>
                </c:pt>
                <c:pt idx="2127">
                  <c:v>0.75727181751378658</c:v>
                </c:pt>
                <c:pt idx="2128">
                  <c:v>0.75764005755957198</c:v>
                </c:pt>
                <c:pt idx="2129">
                  <c:v>0.75794827085149608</c:v>
                </c:pt>
                <c:pt idx="2130">
                  <c:v>0.75824755588095927</c:v>
                </c:pt>
                <c:pt idx="2131">
                  <c:v>0.7582499409030018</c:v>
                </c:pt>
                <c:pt idx="2132">
                  <c:v>0.75876807808174995</c:v>
                </c:pt>
                <c:pt idx="2133">
                  <c:v>0.75887001023541367</c:v>
                </c:pt>
                <c:pt idx="2134">
                  <c:v>0.75914466446644568</c:v>
                </c:pt>
                <c:pt idx="2135">
                  <c:v>0.75977010294572955</c:v>
                </c:pt>
                <c:pt idx="2136">
                  <c:v>0.76014654403847159</c:v>
                </c:pt>
                <c:pt idx="2137">
                  <c:v>0.76020239999023476</c:v>
                </c:pt>
                <c:pt idx="2138">
                  <c:v>0.76034231593559098</c:v>
                </c:pt>
                <c:pt idx="2139">
                  <c:v>0.76084110620193024</c:v>
                </c:pt>
                <c:pt idx="2140">
                  <c:v>0.76092996052054351</c:v>
                </c:pt>
                <c:pt idx="2141">
                  <c:v>0.760938256572389</c:v>
                </c:pt>
                <c:pt idx="2142">
                  <c:v>0.76129355786723774</c:v>
                </c:pt>
                <c:pt idx="2143">
                  <c:v>0.76181178753334977</c:v>
                </c:pt>
                <c:pt idx="2144">
                  <c:v>0.76185265143055592</c:v>
                </c:pt>
                <c:pt idx="2145">
                  <c:v>0.76196756691945677</c:v>
                </c:pt>
                <c:pt idx="2146">
                  <c:v>0.76205115359361741</c:v>
                </c:pt>
                <c:pt idx="2147">
                  <c:v>0.7623406341941813</c:v>
                </c:pt>
                <c:pt idx="2148">
                  <c:v>0.76242871716195093</c:v>
                </c:pt>
                <c:pt idx="2149">
                  <c:v>0.76272984441301306</c:v>
                </c:pt>
                <c:pt idx="2150">
                  <c:v>0.76289183967009133</c:v>
                </c:pt>
                <c:pt idx="2151">
                  <c:v>0.76321353065539144</c:v>
                </c:pt>
                <c:pt idx="2152">
                  <c:v>0.76324406481091844</c:v>
                </c:pt>
                <c:pt idx="2153">
                  <c:v>0.76334370427197495</c:v>
                </c:pt>
                <c:pt idx="2154">
                  <c:v>0.76340584064415484</c:v>
                </c:pt>
                <c:pt idx="2155">
                  <c:v>0.76363846509477551</c:v>
                </c:pt>
                <c:pt idx="2156">
                  <c:v>0.76371578743825519</c:v>
                </c:pt>
                <c:pt idx="2157">
                  <c:v>0.7639595139014691</c:v>
                </c:pt>
                <c:pt idx="2158">
                  <c:v>0.76396393272733343</c:v>
                </c:pt>
                <c:pt idx="2159">
                  <c:v>0.76419916152727507</c:v>
                </c:pt>
                <c:pt idx="2160">
                  <c:v>0.76463446618780462</c:v>
                </c:pt>
                <c:pt idx="2161">
                  <c:v>0.76463599615625877</c:v>
                </c:pt>
                <c:pt idx="2162">
                  <c:v>0.76466237550533112</c:v>
                </c:pt>
                <c:pt idx="2163">
                  <c:v>0.76470543255513268</c:v>
                </c:pt>
                <c:pt idx="2164">
                  <c:v>0.76489854838613536</c:v>
                </c:pt>
                <c:pt idx="2165">
                  <c:v>0.76545604969295844</c:v>
                </c:pt>
                <c:pt idx="2166">
                  <c:v>0.76562965982599673</c:v>
                </c:pt>
                <c:pt idx="2167">
                  <c:v>0.76584501396612636</c:v>
                </c:pt>
                <c:pt idx="2168">
                  <c:v>0.76598740324809655</c:v>
                </c:pt>
                <c:pt idx="2169">
                  <c:v>0.76653707459995468</c:v>
                </c:pt>
                <c:pt idx="2170">
                  <c:v>0.76664544260661982</c:v>
                </c:pt>
                <c:pt idx="2171">
                  <c:v>0.76680782853382967</c:v>
                </c:pt>
                <c:pt idx="2172">
                  <c:v>0.76711686611652075</c:v>
                </c:pt>
                <c:pt idx="2173">
                  <c:v>0.76719565398285705</c:v>
                </c:pt>
                <c:pt idx="2174">
                  <c:v>0.76724975350667035</c:v>
                </c:pt>
                <c:pt idx="2175">
                  <c:v>0.76726080867673829</c:v>
                </c:pt>
                <c:pt idx="2176">
                  <c:v>0.76729423422307452</c:v>
                </c:pt>
                <c:pt idx="2177">
                  <c:v>0.76738801488518604</c:v>
                </c:pt>
                <c:pt idx="2178">
                  <c:v>0.76739943998489657</c:v>
                </c:pt>
                <c:pt idx="2179">
                  <c:v>0.76742804447675927</c:v>
                </c:pt>
                <c:pt idx="2180">
                  <c:v>0.76754385964912297</c:v>
                </c:pt>
                <c:pt idx="2181">
                  <c:v>0.7675587413494307</c:v>
                </c:pt>
                <c:pt idx="2182">
                  <c:v>0.76762566417738876</c:v>
                </c:pt>
                <c:pt idx="2183">
                  <c:v>0.76783857390443044</c:v>
                </c:pt>
                <c:pt idx="2184">
                  <c:v>0.76826358826358798</c:v>
                </c:pt>
                <c:pt idx="2185">
                  <c:v>0.76838462689769993</c:v>
                </c:pt>
                <c:pt idx="2186">
                  <c:v>0.76850409037787271</c:v>
                </c:pt>
                <c:pt idx="2187">
                  <c:v>0.76862909128934431</c:v>
                </c:pt>
                <c:pt idx="2188">
                  <c:v>0.76890903817679435</c:v>
                </c:pt>
                <c:pt idx="2189">
                  <c:v>0.76918634699969424</c:v>
                </c:pt>
                <c:pt idx="2190">
                  <c:v>0.76934004331762074</c:v>
                </c:pt>
                <c:pt idx="2191">
                  <c:v>0.76942291227655468</c:v>
                </c:pt>
                <c:pt idx="2192">
                  <c:v>0.76943400898261638</c:v>
                </c:pt>
                <c:pt idx="2193">
                  <c:v>0.76974191121784807</c:v>
                </c:pt>
                <c:pt idx="2194">
                  <c:v>0.76974496415727434</c:v>
                </c:pt>
                <c:pt idx="2195">
                  <c:v>0.76990076859467016</c:v>
                </c:pt>
                <c:pt idx="2196">
                  <c:v>0.76999999999999991</c:v>
                </c:pt>
                <c:pt idx="2197">
                  <c:v>0.77005498450996035</c:v>
                </c:pt>
                <c:pt idx="2198">
                  <c:v>0.7701319751954423</c:v>
                </c:pt>
                <c:pt idx="2199">
                  <c:v>0.77088100686498817</c:v>
                </c:pt>
                <c:pt idx="2200">
                  <c:v>0.77139639639639623</c:v>
                </c:pt>
                <c:pt idx="2201">
                  <c:v>0.77149976061455272</c:v>
                </c:pt>
                <c:pt idx="2202">
                  <c:v>0.77152777777777737</c:v>
                </c:pt>
                <c:pt idx="2203">
                  <c:v>0.77156848862456262</c:v>
                </c:pt>
                <c:pt idx="2204">
                  <c:v>0.77172124621835314</c:v>
                </c:pt>
                <c:pt idx="2205">
                  <c:v>0.77216108704093911</c:v>
                </c:pt>
                <c:pt idx="2206">
                  <c:v>0.77230414746543818</c:v>
                </c:pt>
                <c:pt idx="2207">
                  <c:v>0.7723948628558831</c:v>
                </c:pt>
                <c:pt idx="2208">
                  <c:v>0.77247106838708124</c:v>
                </c:pt>
                <c:pt idx="2209">
                  <c:v>0.7726273588166177</c:v>
                </c:pt>
                <c:pt idx="2210">
                  <c:v>0.77311731320866239</c:v>
                </c:pt>
                <c:pt idx="2211">
                  <c:v>0.77315883673642261</c:v>
                </c:pt>
                <c:pt idx="2212">
                  <c:v>0.77447409376805232</c:v>
                </c:pt>
                <c:pt idx="2213">
                  <c:v>0.7744844995937854</c:v>
                </c:pt>
                <c:pt idx="2214">
                  <c:v>0.77458265617601907</c:v>
                </c:pt>
                <c:pt idx="2215">
                  <c:v>0.77462756416047895</c:v>
                </c:pt>
                <c:pt idx="2216">
                  <c:v>0.77509293680297442</c:v>
                </c:pt>
                <c:pt idx="2217">
                  <c:v>0.77515451174289218</c:v>
                </c:pt>
                <c:pt idx="2218">
                  <c:v>0.77517988586551945</c:v>
                </c:pt>
                <c:pt idx="2219">
                  <c:v>0.77561581569315463</c:v>
                </c:pt>
                <c:pt idx="2220">
                  <c:v>0.7756585949346817</c:v>
                </c:pt>
                <c:pt idx="2221">
                  <c:v>0.77584409335151161</c:v>
                </c:pt>
                <c:pt idx="2222">
                  <c:v>0.7761791548431618</c:v>
                </c:pt>
                <c:pt idx="2223">
                  <c:v>0.77638103219498578</c:v>
                </c:pt>
                <c:pt idx="2224">
                  <c:v>0.77640434682688231</c:v>
                </c:pt>
                <c:pt idx="2225">
                  <c:v>0.77739827272784412</c:v>
                </c:pt>
                <c:pt idx="2226">
                  <c:v>0.77775595238095263</c:v>
                </c:pt>
                <c:pt idx="2227">
                  <c:v>0.7778305768709004</c:v>
                </c:pt>
                <c:pt idx="2228">
                  <c:v>0.77808819177271449</c:v>
                </c:pt>
                <c:pt idx="2229">
                  <c:v>0.77816202427951287</c:v>
                </c:pt>
                <c:pt idx="2230">
                  <c:v>0.77826342968009654</c:v>
                </c:pt>
                <c:pt idx="2231">
                  <c:v>0.77858327168839114</c:v>
                </c:pt>
                <c:pt idx="2232">
                  <c:v>0.77894969666329672</c:v>
                </c:pt>
                <c:pt idx="2233">
                  <c:v>0.77931609674728897</c:v>
                </c:pt>
                <c:pt idx="2234">
                  <c:v>0.77967079585949373</c:v>
                </c:pt>
                <c:pt idx="2235">
                  <c:v>0.77968472573717174</c:v>
                </c:pt>
                <c:pt idx="2236">
                  <c:v>0.7798635002282418</c:v>
                </c:pt>
                <c:pt idx="2237">
                  <c:v>0.78129606802344553</c:v>
                </c:pt>
                <c:pt idx="2238">
                  <c:v>0.78147811438808479</c:v>
                </c:pt>
                <c:pt idx="2239">
                  <c:v>0.78200281950055384</c:v>
                </c:pt>
                <c:pt idx="2240">
                  <c:v>0.78240347515769337</c:v>
                </c:pt>
                <c:pt idx="2241">
                  <c:v>0.78249345244628699</c:v>
                </c:pt>
                <c:pt idx="2242">
                  <c:v>0.782617880045266</c:v>
                </c:pt>
                <c:pt idx="2243">
                  <c:v>0.78291917133501965</c:v>
                </c:pt>
                <c:pt idx="2244">
                  <c:v>0.78299170612043001</c:v>
                </c:pt>
                <c:pt idx="2245">
                  <c:v>0.78328987343329171</c:v>
                </c:pt>
                <c:pt idx="2246">
                  <c:v>0.78359746320277746</c:v>
                </c:pt>
                <c:pt idx="2247">
                  <c:v>0.78460510597892685</c:v>
                </c:pt>
                <c:pt idx="2248">
                  <c:v>0.7846564464450615</c:v>
                </c:pt>
                <c:pt idx="2249">
                  <c:v>0.78523376280954449</c:v>
                </c:pt>
                <c:pt idx="2250">
                  <c:v>0.78634166907396041</c:v>
                </c:pt>
                <c:pt idx="2251">
                  <c:v>0.78636293534369428</c:v>
                </c:pt>
                <c:pt idx="2252">
                  <c:v>0.78723906779406294</c:v>
                </c:pt>
                <c:pt idx="2253">
                  <c:v>0.78801046524855001</c:v>
                </c:pt>
                <c:pt idx="2254">
                  <c:v>0.78827471614511313</c:v>
                </c:pt>
                <c:pt idx="2255">
                  <c:v>0.78843144336102078</c:v>
                </c:pt>
                <c:pt idx="2256">
                  <c:v>0.78845920116281065</c:v>
                </c:pt>
                <c:pt idx="2257">
                  <c:v>0.78846926981255405</c:v>
                </c:pt>
                <c:pt idx="2258">
                  <c:v>0.78862761792469671</c:v>
                </c:pt>
                <c:pt idx="2259">
                  <c:v>0.7894809592922799</c:v>
                </c:pt>
                <c:pt idx="2260">
                  <c:v>0.78952771569010771</c:v>
                </c:pt>
                <c:pt idx="2261">
                  <c:v>0.79023835506289175</c:v>
                </c:pt>
                <c:pt idx="2262">
                  <c:v>0.79030100744849296</c:v>
                </c:pt>
                <c:pt idx="2263">
                  <c:v>0.79040557441486525</c:v>
                </c:pt>
                <c:pt idx="2264">
                  <c:v>0.7906955911019371</c:v>
                </c:pt>
                <c:pt idx="2265">
                  <c:v>0.79138247102017456</c:v>
                </c:pt>
                <c:pt idx="2266">
                  <c:v>0.79158527954706348</c:v>
                </c:pt>
                <c:pt idx="2267">
                  <c:v>0.79160515533003517</c:v>
                </c:pt>
                <c:pt idx="2268">
                  <c:v>0.79216240625122636</c:v>
                </c:pt>
                <c:pt idx="2269">
                  <c:v>0.7921994134897361</c:v>
                </c:pt>
                <c:pt idx="2270">
                  <c:v>0.79222972972972916</c:v>
                </c:pt>
                <c:pt idx="2271">
                  <c:v>0.79240119829473377</c:v>
                </c:pt>
                <c:pt idx="2272">
                  <c:v>0.79328507438131457</c:v>
                </c:pt>
                <c:pt idx="2273">
                  <c:v>0.79334217897685433</c:v>
                </c:pt>
                <c:pt idx="2274">
                  <c:v>0.79414208558371457</c:v>
                </c:pt>
                <c:pt idx="2275">
                  <c:v>0.79534736794602778</c:v>
                </c:pt>
                <c:pt idx="2276">
                  <c:v>0.79577942747107699</c:v>
                </c:pt>
                <c:pt idx="2277">
                  <c:v>0.79613095238095311</c:v>
                </c:pt>
                <c:pt idx="2278">
                  <c:v>0.79736376155813438</c:v>
                </c:pt>
                <c:pt idx="2279">
                  <c:v>0.79773224833739487</c:v>
                </c:pt>
                <c:pt idx="2280">
                  <c:v>0.7982812001576195</c:v>
                </c:pt>
                <c:pt idx="2281">
                  <c:v>0.79883336774726277</c:v>
                </c:pt>
                <c:pt idx="2282">
                  <c:v>0.79987706357569366</c:v>
                </c:pt>
                <c:pt idx="2283">
                  <c:v>0.80141889712995729</c:v>
                </c:pt>
                <c:pt idx="2284">
                  <c:v>0.80297211867638263</c:v>
                </c:pt>
                <c:pt idx="2285">
                  <c:v>0.80412929660823984</c:v>
                </c:pt>
                <c:pt idx="2286">
                  <c:v>0.80460947366167934</c:v>
                </c:pt>
                <c:pt idx="2287">
                  <c:v>0.80466908237889456</c:v>
                </c:pt>
                <c:pt idx="2288">
                  <c:v>0.80524347214081748</c:v>
                </c:pt>
                <c:pt idx="2289">
                  <c:v>0.80544552040276396</c:v>
                </c:pt>
                <c:pt idx="2290">
                  <c:v>0.80617464377055126</c:v>
                </c:pt>
                <c:pt idx="2291">
                  <c:v>0.80880457102866576</c:v>
                </c:pt>
                <c:pt idx="2292">
                  <c:v>0.80919397278888017</c:v>
                </c:pt>
                <c:pt idx="2293">
                  <c:v>0.81039272271919349</c:v>
                </c:pt>
                <c:pt idx="2294">
                  <c:v>0.81093600843141533</c:v>
                </c:pt>
                <c:pt idx="2295">
                  <c:v>0.81141627730833232</c:v>
                </c:pt>
                <c:pt idx="2296">
                  <c:v>0.81359947093431606</c:v>
                </c:pt>
                <c:pt idx="2297">
                  <c:v>0.81724709819492691</c:v>
                </c:pt>
                <c:pt idx="2298">
                  <c:v>0.8182125080471685</c:v>
                </c:pt>
                <c:pt idx="2299">
                  <c:v>0.81847661473366196</c:v>
                </c:pt>
                <c:pt idx="2300">
                  <c:v>0.82033158813263596</c:v>
                </c:pt>
                <c:pt idx="2301">
                  <c:v>0.8227480399878373</c:v>
                </c:pt>
                <c:pt idx="2302">
                  <c:v>0.82331999343525497</c:v>
                </c:pt>
                <c:pt idx="2303">
                  <c:v>0.82554600835591085</c:v>
                </c:pt>
                <c:pt idx="2304">
                  <c:v>0.82585651717969266</c:v>
                </c:pt>
                <c:pt idx="2305">
                  <c:v>0.82616451509655375</c:v>
                </c:pt>
                <c:pt idx="2306">
                  <c:v>0.8284169124877091</c:v>
                </c:pt>
                <c:pt idx="2307">
                  <c:v>0.83135940970522926</c:v>
                </c:pt>
                <c:pt idx="2308">
                  <c:v>0.83416258717181391</c:v>
                </c:pt>
                <c:pt idx="2309">
                  <c:v>0.83664954624873877</c:v>
                </c:pt>
                <c:pt idx="2310">
                  <c:v>0.84309504004175317</c:v>
                </c:pt>
                <c:pt idx="2311">
                  <c:v>0.86489100318887613</c:v>
                </c:pt>
                <c:pt idx="2312">
                  <c:v>0.87137607186606891</c:v>
                </c:pt>
              </c:numCache>
            </c:numRef>
          </c:yVal>
          <c:smooth val="0"/>
          <c:extLst>
            <c:ext xmlns:c16="http://schemas.microsoft.com/office/drawing/2014/chart" uri="{C3380CC4-5D6E-409C-BE32-E72D297353CC}">
              <c16:uniqueId val="{00000002-538E-45C0-9566-83155F10FEF1}"/>
            </c:ext>
          </c:extLst>
        </c:ser>
        <c:ser>
          <c:idx val="3"/>
          <c:order val="3"/>
          <c:tx>
            <c:strRef>
              <c:f>'Pasted values for chart'!$M$2</c:f>
              <c:strCache>
                <c:ptCount val="1"/>
                <c:pt idx="0">
                  <c:v>Remote</c:v>
                </c:pt>
              </c:strCache>
            </c:strRef>
          </c:tx>
          <c:spPr>
            <a:ln w="25400" cap="rnd">
              <a:noFill/>
              <a:round/>
            </a:ln>
            <a:effectLst/>
          </c:spPr>
          <c:marker>
            <c:symbol val="circle"/>
            <c:size val="5"/>
            <c:spPr>
              <a:solidFill>
                <a:srgbClr val="EE538B"/>
              </a:solidFill>
              <a:ln w="9525">
                <a:noFill/>
              </a:ln>
              <a:effectLst/>
            </c:spPr>
          </c:marker>
          <c:xVal>
            <c:numRef>
              <c:f>'Pasted values for chart'!$M$3:$M$2315</c:f>
              <c:numCache>
                <c:formatCode>General</c:formatCode>
                <c:ptCount val="2313"/>
                <c:pt idx="226">
                  <c:v>7.2896606380259514E-3</c:v>
                </c:pt>
                <c:pt idx="304">
                  <c:v>2.2821603881003655E-2</c:v>
                </c:pt>
                <c:pt idx="315">
                  <c:v>1.1218380390725289E-2</c:v>
                </c:pt>
                <c:pt idx="486">
                  <c:v>1.9557088967050131E-2</c:v>
                </c:pt>
                <c:pt idx="504">
                  <c:v>1.5666252195217393E-2</c:v>
                </c:pt>
                <c:pt idx="517">
                  <c:v>210.81309742343859</c:v>
                </c:pt>
                <c:pt idx="606">
                  <c:v>2.4583179390810221E-2</c:v>
                </c:pt>
                <c:pt idx="640">
                  <c:v>771.53843734272766</c:v>
                </c:pt>
                <c:pt idx="645">
                  <c:v>212.42131810962965</c:v>
                </c:pt>
                <c:pt idx="656">
                  <c:v>0.47320071361192595</c:v>
                </c:pt>
                <c:pt idx="697">
                  <c:v>2.5805525929347213E-2</c:v>
                </c:pt>
                <c:pt idx="754">
                  <c:v>717.32292869371327</c:v>
                </c:pt>
                <c:pt idx="785">
                  <c:v>3.0243091561020695E-2</c:v>
                </c:pt>
                <c:pt idx="792">
                  <c:v>292.79112754158962</c:v>
                </c:pt>
                <c:pt idx="793">
                  <c:v>1.5118600538724821E-2</c:v>
                </c:pt>
                <c:pt idx="800">
                  <c:v>6.3565604066254958E-2</c:v>
                </c:pt>
                <c:pt idx="803">
                  <c:v>483.89464242028856</c:v>
                </c:pt>
                <c:pt idx="807">
                  <c:v>2.6657734099339876E-2</c:v>
                </c:pt>
                <c:pt idx="855">
                  <c:v>268.54055067809128</c:v>
                </c:pt>
                <c:pt idx="858">
                  <c:v>5.4036870804058161E-2</c:v>
                </c:pt>
                <c:pt idx="911">
                  <c:v>0.79588420983375352</c:v>
                </c:pt>
                <c:pt idx="914">
                  <c:v>123.4559238572823</c:v>
                </c:pt>
                <c:pt idx="919">
                  <c:v>7.1963445686617777E-2</c:v>
                </c:pt>
                <c:pt idx="922">
                  <c:v>20.644716488955435</c:v>
                </c:pt>
                <c:pt idx="953">
                  <c:v>0.22529919075867252</c:v>
                </c:pt>
                <c:pt idx="970">
                  <c:v>1.4720055283627881E-2</c:v>
                </c:pt>
                <c:pt idx="977">
                  <c:v>2.8447028762859899E-2</c:v>
                </c:pt>
                <c:pt idx="982">
                  <c:v>0.20506359511142008</c:v>
                </c:pt>
                <c:pt idx="992">
                  <c:v>1.3009391178694389</c:v>
                </c:pt>
                <c:pt idx="1000">
                  <c:v>0.15541980647452769</c:v>
                </c:pt>
                <c:pt idx="1009">
                  <c:v>5.6613507484791867E-2</c:v>
                </c:pt>
                <c:pt idx="1011">
                  <c:v>6.8935294238839331E-2</c:v>
                </c:pt>
                <c:pt idx="1016">
                  <c:v>0.5428557481748717</c:v>
                </c:pt>
                <c:pt idx="1026">
                  <c:v>84.688595644830471</c:v>
                </c:pt>
                <c:pt idx="1046">
                  <c:v>247.96631312628477</c:v>
                </c:pt>
                <c:pt idx="1051">
                  <c:v>1408.512377393741</c:v>
                </c:pt>
                <c:pt idx="1063">
                  <c:v>0.14843063147536273</c:v>
                </c:pt>
                <c:pt idx="1071">
                  <c:v>0.19103678708416535</c:v>
                </c:pt>
                <c:pt idx="1078">
                  <c:v>321.73747649422228</c:v>
                </c:pt>
                <c:pt idx="1109">
                  <c:v>0.48554557552177813</c:v>
                </c:pt>
                <c:pt idx="1131">
                  <c:v>13.781269680096992</c:v>
                </c:pt>
                <c:pt idx="1164">
                  <c:v>53.162139010053068</c:v>
                </c:pt>
                <c:pt idx="1167">
                  <c:v>384.35960218856741</c:v>
                </c:pt>
                <c:pt idx="1179">
                  <c:v>0.89869580337588251</c:v>
                </c:pt>
                <c:pt idx="1193">
                  <c:v>4.1630901027763775E-2</c:v>
                </c:pt>
                <c:pt idx="1206">
                  <c:v>1.4357495032456384E-2</c:v>
                </c:pt>
                <c:pt idx="1226">
                  <c:v>148.82769744800967</c:v>
                </c:pt>
                <c:pt idx="1251">
                  <c:v>3.0990387840220377</c:v>
                </c:pt>
                <c:pt idx="1252">
                  <c:v>330.56696077574918</c:v>
                </c:pt>
                <c:pt idx="1265">
                  <c:v>0.12797325859187489</c:v>
                </c:pt>
                <c:pt idx="1280">
                  <c:v>0.7571032298606174</c:v>
                </c:pt>
                <c:pt idx="1295">
                  <c:v>3.3943621327906937</c:v>
                </c:pt>
                <c:pt idx="1303">
                  <c:v>187.18425023783752</c:v>
                </c:pt>
                <c:pt idx="1305">
                  <c:v>73.227850358412283</c:v>
                </c:pt>
                <c:pt idx="1349">
                  <c:v>3.9385160380540456E-3</c:v>
                </c:pt>
                <c:pt idx="1350">
                  <c:v>52.723990097965618</c:v>
                </c:pt>
                <c:pt idx="1371">
                  <c:v>0.16574093387076522</c:v>
                </c:pt>
                <c:pt idx="1388">
                  <c:v>252.44114299406934</c:v>
                </c:pt>
                <c:pt idx="1391">
                  <c:v>4.5449503883553913E-2</c:v>
                </c:pt>
                <c:pt idx="1394">
                  <c:v>204.52851902813435</c:v>
                </c:pt>
                <c:pt idx="1399">
                  <c:v>5.9768442544935983E-2</c:v>
                </c:pt>
                <c:pt idx="1403">
                  <c:v>69.293283698855916</c:v>
                </c:pt>
                <c:pt idx="1409">
                  <c:v>346.63349305811516</c:v>
                </c:pt>
                <c:pt idx="1413">
                  <c:v>6.3360562794311528E-2</c:v>
                </c:pt>
                <c:pt idx="1423">
                  <c:v>88.292704891291024</c:v>
                </c:pt>
                <c:pt idx="1425">
                  <c:v>0.87832367666878575</c:v>
                </c:pt>
                <c:pt idx="1427">
                  <c:v>495.31597510839532</c:v>
                </c:pt>
                <c:pt idx="1428">
                  <c:v>224.03319676121845</c:v>
                </c:pt>
                <c:pt idx="1430">
                  <c:v>126.8664668218035</c:v>
                </c:pt>
                <c:pt idx="1434">
                  <c:v>62.286867117517119</c:v>
                </c:pt>
                <c:pt idx="1520">
                  <c:v>1.1109499765289379</c:v>
                </c:pt>
                <c:pt idx="1538">
                  <c:v>0.24386040429120073</c:v>
                </c:pt>
                <c:pt idx="1543">
                  <c:v>121.36907694272629</c:v>
                </c:pt>
                <c:pt idx="1545">
                  <c:v>259.56111265787547</c:v>
                </c:pt>
                <c:pt idx="1552">
                  <c:v>0.92615247303288684</c:v>
                </c:pt>
                <c:pt idx="1558">
                  <c:v>7.3333508636851008E-2</c:v>
                </c:pt>
                <c:pt idx="1577">
                  <c:v>0.51595464748010411</c:v>
                </c:pt>
                <c:pt idx="1584">
                  <c:v>103.59444447383628</c:v>
                </c:pt>
                <c:pt idx="1591">
                  <c:v>0.18740263833583717</c:v>
                </c:pt>
                <c:pt idx="1595">
                  <c:v>6.0149691065099591E-2</c:v>
                </c:pt>
                <c:pt idx="1602">
                  <c:v>0.31417183162618828</c:v>
                </c:pt>
                <c:pt idx="1603">
                  <c:v>114.61714333583856</c:v>
                </c:pt>
                <c:pt idx="1606">
                  <c:v>2.4373952545138233</c:v>
                </c:pt>
                <c:pt idx="1609">
                  <c:v>3.8812311582069032</c:v>
                </c:pt>
                <c:pt idx="1617">
                  <c:v>6.6317455948119752</c:v>
                </c:pt>
                <c:pt idx="1622">
                  <c:v>3.4492376425844268E-2</c:v>
                </c:pt>
                <c:pt idx="1627">
                  <c:v>0.17237865213997736</c:v>
                </c:pt>
                <c:pt idx="1632">
                  <c:v>1.2308744555501945</c:v>
                </c:pt>
                <c:pt idx="1633">
                  <c:v>0.1144368390304005</c:v>
                </c:pt>
                <c:pt idx="1638">
                  <c:v>280.89308937331811</c:v>
                </c:pt>
                <c:pt idx="1645">
                  <c:v>0.62601746363452104</c:v>
                </c:pt>
                <c:pt idx="1651">
                  <c:v>119.50124410143299</c:v>
                </c:pt>
                <c:pt idx="1653">
                  <c:v>7.9400707717149306</c:v>
                </c:pt>
                <c:pt idx="1656">
                  <c:v>321.29966362129079</c:v>
                </c:pt>
                <c:pt idx="1665">
                  <c:v>0.76716344155617533</c:v>
                </c:pt>
                <c:pt idx="1667">
                  <c:v>544.58930661205375</c:v>
                </c:pt>
                <c:pt idx="1680">
                  <c:v>10.232507948888575</c:v>
                </c:pt>
                <c:pt idx="1692">
                  <c:v>269.26139182811579</c:v>
                </c:pt>
                <c:pt idx="1704">
                  <c:v>0.2771922386666128</c:v>
                </c:pt>
                <c:pt idx="1707">
                  <c:v>7.9366674141436999E-3</c:v>
                </c:pt>
                <c:pt idx="1710">
                  <c:v>562.50744845667987</c:v>
                </c:pt>
                <c:pt idx="1721">
                  <c:v>1.0566496909211562</c:v>
                </c:pt>
                <c:pt idx="1727">
                  <c:v>141.36794567237158</c:v>
                </c:pt>
                <c:pt idx="1728">
                  <c:v>266.73886841231848</c:v>
                </c:pt>
                <c:pt idx="1730">
                  <c:v>0.46852896928652915</c:v>
                </c:pt>
                <c:pt idx="1737">
                  <c:v>4.2999354443465476E-2</c:v>
                </c:pt>
                <c:pt idx="1751">
                  <c:v>9.766642694534311E-2</c:v>
                </c:pt>
                <c:pt idx="1769">
                  <c:v>158.48801480434943</c:v>
                </c:pt>
                <c:pt idx="1779">
                  <c:v>55.294260339878427</c:v>
                </c:pt>
                <c:pt idx="1785">
                  <c:v>0.91293865175516709</c:v>
                </c:pt>
                <c:pt idx="1796">
                  <c:v>1526.916802610114</c:v>
                </c:pt>
                <c:pt idx="1799">
                  <c:v>1.4438419595442311</c:v>
                </c:pt>
                <c:pt idx="1803">
                  <c:v>1.8829565000897053</c:v>
                </c:pt>
                <c:pt idx="1812">
                  <c:v>0.27673144052716009</c:v>
                </c:pt>
                <c:pt idx="1821">
                  <c:v>0.49809181990469131</c:v>
                </c:pt>
                <c:pt idx="1830">
                  <c:v>0.8744195039191367</c:v>
                </c:pt>
                <c:pt idx="1831">
                  <c:v>1.1250822716411133</c:v>
                </c:pt>
                <c:pt idx="1851">
                  <c:v>8.9889037984248354E-2</c:v>
                </c:pt>
                <c:pt idx="1852">
                  <c:v>1.9632268069396348</c:v>
                </c:pt>
                <c:pt idx="1858">
                  <c:v>8.4318735431193819</c:v>
                </c:pt>
                <c:pt idx="1868">
                  <c:v>13.788400909157563</c:v>
                </c:pt>
                <c:pt idx="1884">
                  <c:v>4.8113208695384088E-2</c:v>
                </c:pt>
                <c:pt idx="1889">
                  <c:v>0.94378182730245186</c:v>
                </c:pt>
                <c:pt idx="1892">
                  <c:v>25.044444615788258</c:v>
                </c:pt>
                <c:pt idx="1897">
                  <c:v>9.0710717594221807E-2</c:v>
                </c:pt>
                <c:pt idx="1898">
                  <c:v>184.58604275574834</c:v>
                </c:pt>
                <c:pt idx="1901">
                  <c:v>111.89745434279511</c:v>
                </c:pt>
                <c:pt idx="1902">
                  <c:v>2.0408339737505732</c:v>
                </c:pt>
                <c:pt idx="1904">
                  <c:v>0.33088539064762618</c:v>
                </c:pt>
                <c:pt idx="1907">
                  <c:v>0.21760662503885947</c:v>
                </c:pt>
                <c:pt idx="1908">
                  <c:v>393.56448827105555</c:v>
                </c:pt>
                <c:pt idx="1911">
                  <c:v>5.251037129246801</c:v>
                </c:pt>
                <c:pt idx="1915">
                  <c:v>20.016412372339513</c:v>
                </c:pt>
                <c:pt idx="1917">
                  <c:v>86.900561686753775</c:v>
                </c:pt>
                <c:pt idx="1924">
                  <c:v>17.839224915294672</c:v>
                </c:pt>
                <c:pt idx="1933">
                  <c:v>518.17198670927269</c:v>
                </c:pt>
                <c:pt idx="1937">
                  <c:v>5.7276378500363636</c:v>
                </c:pt>
                <c:pt idx="1939">
                  <c:v>2.9921932585581468</c:v>
                </c:pt>
                <c:pt idx="1943">
                  <c:v>45.138984749797714</c:v>
                </c:pt>
                <c:pt idx="1949">
                  <c:v>13.759758124613221</c:v>
                </c:pt>
                <c:pt idx="1951">
                  <c:v>546.75621365973666</c:v>
                </c:pt>
                <c:pt idx="1957">
                  <c:v>0.63262980660780299</c:v>
                </c:pt>
                <c:pt idx="1974">
                  <c:v>0.81580615526114975</c:v>
                </c:pt>
                <c:pt idx="1975">
                  <c:v>0.36573637208765974</c:v>
                </c:pt>
                <c:pt idx="1976">
                  <c:v>8.8155467384096262</c:v>
                </c:pt>
                <c:pt idx="1979">
                  <c:v>84.54260641862929</c:v>
                </c:pt>
                <c:pt idx="1985">
                  <c:v>0.11846645931728592</c:v>
                </c:pt>
                <c:pt idx="1988">
                  <c:v>1.1001664119910861</c:v>
                </c:pt>
                <c:pt idx="1989">
                  <c:v>1.6992692386707133</c:v>
                </c:pt>
                <c:pt idx="1996">
                  <c:v>0.32506054921874611</c:v>
                </c:pt>
                <c:pt idx="2000">
                  <c:v>14.18591467159214</c:v>
                </c:pt>
                <c:pt idx="2004">
                  <c:v>50.485955404179705</c:v>
                </c:pt>
                <c:pt idx="2015">
                  <c:v>2.0111478115341214E-2</c:v>
                </c:pt>
                <c:pt idx="2016">
                  <c:v>0.32884252041925915</c:v>
                </c:pt>
                <c:pt idx="2022">
                  <c:v>7.7931900237245806</c:v>
                </c:pt>
                <c:pt idx="2023">
                  <c:v>209.19946926138871</c:v>
                </c:pt>
                <c:pt idx="2039">
                  <c:v>0.633777072136393</c:v>
                </c:pt>
                <c:pt idx="2040">
                  <c:v>2.7192410243617395</c:v>
                </c:pt>
                <c:pt idx="2041">
                  <c:v>258.0713215288589</c:v>
                </c:pt>
                <c:pt idx="2047">
                  <c:v>37.17837998978235</c:v>
                </c:pt>
                <c:pt idx="2053">
                  <c:v>3.8064968464276796</c:v>
                </c:pt>
                <c:pt idx="2056">
                  <c:v>1.8188793057833741</c:v>
                </c:pt>
                <c:pt idx="2058">
                  <c:v>7.4819780219523526</c:v>
                </c:pt>
                <c:pt idx="2063">
                  <c:v>250.33353816174801</c:v>
                </c:pt>
                <c:pt idx="2067">
                  <c:v>54.690618762475047</c:v>
                </c:pt>
                <c:pt idx="2076">
                  <c:v>0.21653466732514448</c:v>
                </c:pt>
                <c:pt idx="2077">
                  <c:v>48.99040248225905</c:v>
                </c:pt>
                <c:pt idx="2083">
                  <c:v>343.81155749780675</c:v>
                </c:pt>
                <c:pt idx="2085">
                  <c:v>0.55392619819981248</c:v>
                </c:pt>
                <c:pt idx="2091">
                  <c:v>2.0503218311929423</c:v>
                </c:pt>
                <c:pt idx="2095">
                  <c:v>25.772653931503758</c:v>
                </c:pt>
                <c:pt idx="2099">
                  <c:v>2.0006686333115642</c:v>
                </c:pt>
                <c:pt idx="2102">
                  <c:v>25.003041789073521</c:v>
                </c:pt>
                <c:pt idx="2103">
                  <c:v>1.1483842399934931</c:v>
                </c:pt>
                <c:pt idx="2104">
                  <c:v>24.902410840330717</c:v>
                </c:pt>
                <c:pt idx="2113">
                  <c:v>1.1443520352041068</c:v>
                </c:pt>
                <c:pt idx="2129">
                  <c:v>30.239252474213721</c:v>
                </c:pt>
                <c:pt idx="2131">
                  <c:v>41.140170437848958</c:v>
                </c:pt>
                <c:pt idx="2140">
                  <c:v>9.702718576947043E-3</c:v>
                </c:pt>
                <c:pt idx="2149">
                  <c:v>7.6086711845304482E-3</c:v>
                </c:pt>
                <c:pt idx="2151">
                  <c:v>6.5152584789085131</c:v>
                </c:pt>
                <c:pt idx="2156">
                  <c:v>19.156355430747698</c:v>
                </c:pt>
                <c:pt idx="2161">
                  <c:v>0.81571835644323643</c:v>
                </c:pt>
                <c:pt idx="2162">
                  <c:v>96.748059851901616</c:v>
                </c:pt>
                <c:pt idx="2172">
                  <c:v>297.79731223162395</c:v>
                </c:pt>
                <c:pt idx="2173">
                  <c:v>1.5197984645565512</c:v>
                </c:pt>
                <c:pt idx="2179">
                  <c:v>1.8233521004611595</c:v>
                </c:pt>
                <c:pt idx="2181">
                  <c:v>2.5608968700025447</c:v>
                </c:pt>
                <c:pt idx="2182">
                  <c:v>0.34300234273711672</c:v>
                </c:pt>
                <c:pt idx="2184">
                  <c:v>2.1120896859978249</c:v>
                </c:pt>
                <c:pt idx="2187">
                  <c:v>1.1984857372910269</c:v>
                </c:pt>
                <c:pt idx="2191">
                  <c:v>3.6311374650473454</c:v>
                </c:pt>
                <c:pt idx="2195">
                  <c:v>5.6243948813127371</c:v>
                </c:pt>
                <c:pt idx="2197">
                  <c:v>1.4766480090195258</c:v>
                </c:pt>
                <c:pt idx="2198">
                  <c:v>1.0868275508876544</c:v>
                </c:pt>
                <c:pt idx="2199">
                  <c:v>0.3374869745684429</c:v>
                </c:pt>
                <c:pt idx="2207">
                  <c:v>8.1892712961942615E-2</c:v>
                </c:pt>
                <c:pt idx="2208">
                  <c:v>8.5862325366966701</c:v>
                </c:pt>
                <c:pt idx="2210">
                  <c:v>59.751123217639233</c:v>
                </c:pt>
                <c:pt idx="2213">
                  <c:v>1.0820560273332891</c:v>
                </c:pt>
                <c:pt idx="2221">
                  <c:v>1.9402091352154298</c:v>
                </c:pt>
                <c:pt idx="2223">
                  <c:v>0.60520264737925555</c:v>
                </c:pt>
                <c:pt idx="2226">
                  <c:v>0.86548918143984843</c:v>
                </c:pt>
                <c:pt idx="2234">
                  <c:v>3.9446107002372979</c:v>
                </c:pt>
                <c:pt idx="2238">
                  <c:v>0.97277174328821991</c:v>
                </c:pt>
                <c:pt idx="2239">
                  <c:v>38.141185361232345</c:v>
                </c:pt>
                <c:pt idx="2246">
                  <c:v>109.06393608948835</c:v>
                </c:pt>
                <c:pt idx="2251">
                  <c:v>27.085908233952399</c:v>
                </c:pt>
                <c:pt idx="2258">
                  <c:v>29.583247619503876</c:v>
                </c:pt>
                <c:pt idx="2261">
                  <c:v>0.55071432999141956</c:v>
                </c:pt>
                <c:pt idx="2262">
                  <c:v>150.99055007419364</c:v>
                </c:pt>
                <c:pt idx="2263">
                  <c:v>2.6424157535124166</c:v>
                </c:pt>
                <c:pt idx="2267">
                  <c:v>4.868419068004739</c:v>
                </c:pt>
                <c:pt idx="2268">
                  <c:v>426.703282332941</c:v>
                </c:pt>
                <c:pt idx="2269">
                  <c:v>42.996621381126822</c:v>
                </c:pt>
                <c:pt idx="2277">
                  <c:v>3.9369261499645707</c:v>
                </c:pt>
                <c:pt idx="2291">
                  <c:v>108.97323771208677</c:v>
                </c:pt>
                <c:pt idx="2292">
                  <c:v>2.5721853427762564</c:v>
                </c:pt>
                <c:pt idx="2294">
                  <c:v>4.8960279599074132</c:v>
                </c:pt>
                <c:pt idx="2309">
                  <c:v>1.5510715308607523</c:v>
                </c:pt>
              </c:numCache>
            </c:numRef>
          </c:xVal>
          <c:yVal>
            <c:numRef>
              <c:f>'Pasted values for chart'!$D$3:$D$2315</c:f>
              <c:numCache>
                <c:formatCode>General</c:formatCode>
                <c:ptCount val="2313"/>
                <c:pt idx="0">
                  <c:v>0.32662040087724692</c:v>
                </c:pt>
                <c:pt idx="1">
                  <c:v>0.34393186498138811</c:v>
                </c:pt>
                <c:pt idx="2">
                  <c:v>0.36144274410513511</c:v>
                </c:pt>
                <c:pt idx="3">
                  <c:v>0.36837786280677709</c:v>
                </c:pt>
                <c:pt idx="4">
                  <c:v>0.36920658469592421</c:v>
                </c:pt>
                <c:pt idx="5">
                  <c:v>0.37805620640848536</c:v>
                </c:pt>
                <c:pt idx="6">
                  <c:v>0.38374123520772752</c:v>
                </c:pt>
                <c:pt idx="7">
                  <c:v>0.38419725659342624</c:v>
                </c:pt>
                <c:pt idx="8">
                  <c:v>0.38686518712738399</c:v>
                </c:pt>
                <c:pt idx="9">
                  <c:v>0.3901035430937761</c:v>
                </c:pt>
                <c:pt idx="10">
                  <c:v>0.39030253110841417</c:v>
                </c:pt>
                <c:pt idx="11">
                  <c:v>0.39165075516065845</c:v>
                </c:pt>
                <c:pt idx="12">
                  <c:v>0.39373326249241997</c:v>
                </c:pt>
                <c:pt idx="13">
                  <c:v>0.39494604218135604</c:v>
                </c:pt>
                <c:pt idx="14">
                  <c:v>0.39551287263587986</c:v>
                </c:pt>
                <c:pt idx="15">
                  <c:v>0.40057528073331367</c:v>
                </c:pt>
                <c:pt idx="16">
                  <c:v>0.40062471779783743</c:v>
                </c:pt>
                <c:pt idx="17">
                  <c:v>0.40424357517048415</c:v>
                </c:pt>
                <c:pt idx="18">
                  <c:v>0.40617039907168989</c:v>
                </c:pt>
                <c:pt idx="19">
                  <c:v>0.40781838242900093</c:v>
                </c:pt>
                <c:pt idx="20">
                  <c:v>0.40815762160981139</c:v>
                </c:pt>
                <c:pt idx="21">
                  <c:v>0.40818520487322124</c:v>
                </c:pt>
                <c:pt idx="22">
                  <c:v>0.40839763452392436</c:v>
                </c:pt>
                <c:pt idx="23">
                  <c:v>0.41044576819457307</c:v>
                </c:pt>
                <c:pt idx="24">
                  <c:v>0.41053824284705298</c:v>
                </c:pt>
                <c:pt idx="25">
                  <c:v>0.4109166895001804</c:v>
                </c:pt>
                <c:pt idx="26">
                  <c:v>0.41110650082257399</c:v>
                </c:pt>
                <c:pt idx="27">
                  <c:v>0.41239381783860357</c:v>
                </c:pt>
                <c:pt idx="28">
                  <c:v>0.41252128402982036</c:v>
                </c:pt>
                <c:pt idx="29">
                  <c:v>0.41528666177976792</c:v>
                </c:pt>
                <c:pt idx="30">
                  <c:v>0.41744217752208418</c:v>
                </c:pt>
                <c:pt idx="31">
                  <c:v>0.41778324832756847</c:v>
                </c:pt>
                <c:pt idx="32">
                  <c:v>0.41803273727616275</c:v>
                </c:pt>
                <c:pt idx="33">
                  <c:v>0.41820389424779625</c:v>
                </c:pt>
                <c:pt idx="34">
                  <c:v>0.41900774955892139</c:v>
                </c:pt>
                <c:pt idx="35">
                  <c:v>0.41978123193629491</c:v>
                </c:pt>
                <c:pt idx="36">
                  <c:v>0.41987419931905962</c:v>
                </c:pt>
                <c:pt idx="37">
                  <c:v>0.42082708677914482</c:v>
                </c:pt>
                <c:pt idx="38">
                  <c:v>0.42134593826642941</c:v>
                </c:pt>
                <c:pt idx="39">
                  <c:v>0.42329838177236956</c:v>
                </c:pt>
                <c:pt idx="40">
                  <c:v>0.42481888030878062</c:v>
                </c:pt>
                <c:pt idx="41">
                  <c:v>0.42486149997376704</c:v>
                </c:pt>
                <c:pt idx="42">
                  <c:v>0.42637238814632811</c:v>
                </c:pt>
                <c:pt idx="43">
                  <c:v>0.43029835681877321</c:v>
                </c:pt>
                <c:pt idx="44">
                  <c:v>0.4330903264310717</c:v>
                </c:pt>
                <c:pt idx="45">
                  <c:v>0.43384313656896295</c:v>
                </c:pt>
                <c:pt idx="46">
                  <c:v>0.43470093928019593</c:v>
                </c:pt>
                <c:pt idx="47">
                  <c:v>0.43530458235691161</c:v>
                </c:pt>
                <c:pt idx="48">
                  <c:v>0.43587324003856254</c:v>
                </c:pt>
                <c:pt idx="49">
                  <c:v>0.43601515618646797</c:v>
                </c:pt>
                <c:pt idx="50">
                  <c:v>0.43745522973903128</c:v>
                </c:pt>
                <c:pt idx="51">
                  <c:v>0.43748535397119059</c:v>
                </c:pt>
                <c:pt idx="52">
                  <c:v>0.43758686190164442</c:v>
                </c:pt>
                <c:pt idx="53">
                  <c:v>0.43764692463771582</c:v>
                </c:pt>
                <c:pt idx="54">
                  <c:v>0.43826269597442979</c:v>
                </c:pt>
                <c:pt idx="55">
                  <c:v>0.43905172589959884</c:v>
                </c:pt>
                <c:pt idx="56">
                  <c:v>0.43919505326062935</c:v>
                </c:pt>
                <c:pt idx="57">
                  <c:v>0.4392022521633886</c:v>
                </c:pt>
                <c:pt idx="58">
                  <c:v>0.43974016212107037</c:v>
                </c:pt>
                <c:pt idx="59">
                  <c:v>0.43997162517260907</c:v>
                </c:pt>
                <c:pt idx="60">
                  <c:v>0.44020592139305315</c:v>
                </c:pt>
                <c:pt idx="61">
                  <c:v>0.44220159527891195</c:v>
                </c:pt>
                <c:pt idx="62">
                  <c:v>0.44319300879982143</c:v>
                </c:pt>
                <c:pt idx="63">
                  <c:v>0.4434550525872929</c:v>
                </c:pt>
                <c:pt idx="64">
                  <c:v>0.44384971089359465</c:v>
                </c:pt>
                <c:pt idx="65">
                  <c:v>0.44481419027323144</c:v>
                </c:pt>
                <c:pt idx="66">
                  <c:v>0.44578916148336639</c:v>
                </c:pt>
                <c:pt idx="67">
                  <c:v>0.44584736930041585</c:v>
                </c:pt>
                <c:pt idx="68">
                  <c:v>0.44604154697050447</c:v>
                </c:pt>
                <c:pt idx="69">
                  <c:v>0.44660658099474421</c:v>
                </c:pt>
                <c:pt idx="70">
                  <c:v>0.44805347885483615</c:v>
                </c:pt>
                <c:pt idx="71">
                  <c:v>0.44920290278227504</c:v>
                </c:pt>
                <c:pt idx="72">
                  <c:v>0.44989775051124781</c:v>
                </c:pt>
                <c:pt idx="73">
                  <c:v>0.4502310586542751</c:v>
                </c:pt>
                <c:pt idx="74">
                  <c:v>0.4510666907907625</c:v>
                </c:pt>
                <c:pt idx="75">
                  <c:v>0.45200638887252897</c:v>
                </c:pt>
                <c:pt idx="76">
                  <c:v>0.45299283451903599</c:v>
                </c:pt>
                <c:pt idx="77">
                  <c:v>0.45317662085448113</c:v>
                </c:pt>
                <c:pt idx="78">
                  <c:v>0.45325241131273358</c:v>
                </c:pt>
                <c:pt idx="79">
                  <c:v>0.45381772247071572</c:v>
                </c:pt>
                <c:pt idx="80">
                  <c:v>0.45394639473780141</c:v>
                </c:pt>
                <c:pt idx="81">
                  <c:v>0.4542488130747403</c:v>
                </c:pt>
                <c:pt idx="82">
                  <c:v>0.45441592093753896</c:v>
                </c:pt>
                <c:pt idx="83">
                  <c:v>0.45486475071512233</c:v>
                </c:pt>
                <c:pt idx="84">
                  <c:v>0.4551239191808592</c:v>
                </c:pt>
                <c:pt idx="85">
                  <c:v>0.45584328732817303</c:v>
                </c:pt>
                <c:pt idx="86">
                  <c:v>0.45635937837517537</c:v>
                </c:pt>
                <c:pt idx="87">
                  <c:v>0.45706378686641658</c:v>
                </c:pt>
                <c:pt idx="88">
                  <c:v>0.45737839498408567</c:v>
                </c:pt>
                <c:pt idx="89">
                  <c:v>0.45768131183620248</c:v>
                </c:pt>
                <c:pt idx="90">
                  <c:v>0.45844958536774416</c:v>
                </c:pt>
                <c:pt idx="91">
                  <c:v>0.45862631137959758</c:v>
                </c:pt>
                <c:pt idx="92">
                  <c:v>0.45908556778121862</c:v>
                </c:pt>
                <c:pt idx="93">
                  <c:v>0.46009983670631061</c:v>
                </c:pt>
                <c:pt idx="94">
                  <c:v>0.4602028664487362</c:v>
                </c:pt>
                <c:pt idx="95">
                  <c:v>0.46073103331541104</c:v>
                </c:pt>
                <c:pt idx="96">
                  <c:v>0.46128162818591933</c:v>
                </c:pt>
                <c:pt idx="97">
                  <c:v>0.46152235641918826</c:v>
                </c:pt>
                <c:pt idx="98">
                  <c:v>0.46316240859978364</c:v>
                </c:pt>
                <c:pt idx="99">
                  <c:v>0.46435923607151014</c:v>
                </c:pt>
                <c:pt idx="100">
                  <c:v>0.46447624865981507</c:v>
                </c:pt>
                <c:pt idx="101">
                  <c:v>0.46455979193454244</c:v>
                </c:pt>
                <c:pt idx="102">
                  <c:v>0.4645949611392215</c:v>
                </c:pt>
                <c:pt idx="103">
                  <c:v>0.46481602250450926</c:v>
                </c:pt>
                <c:pt idx="104">
                  <c:v>0.46486605182257423</c:v>
                </c:pt>
                <c:pt idx="105">
                  <c:v>0.46495515267067816</c:v>
                </c:pt>
                <c:pt idx="106">
                  <c:v>0.46547840880797126</c:v>
                </c:pt>
                <c:pt idx="107">
                  <c:v>0.46559609295780524</c:v>
                </c:pt>
                <c:pt idx="108">
                  <c:v>0.46651504400379823</c:v>
                </c:pt>
                <c:pt idx="109">
                  <c:v>0.46717973275995639</c:v>
                </c:pt>
                <c:pt idx="110">
                  <c:v>0.46718441995408633</c:v>
                </c:pt>
                <c:pt idx="111">
                  <c:v>0.4673622964132601</c:v>
                </c:pt>
                <c:pt idx="112">
                  <c:v>0.46877429785908653</c:v>
                </c:pt>
                <c:pt idx="113">
                  <c:v>0.46881605655491027</c:v>
                </c:pt>
                <c:pt idx="114">
                  <c:v>0.46884039456922405</c:v>
                </c:pt>
                <c:pt idx="115">
                  <c:v>0.46924889954667903</c:v>
                </c:pt>
                <c:pt idx="116">
                  <c:v>0.46942500463627251</c:v>
                </c:pt>
                <c:pt idx="117">
                  <c:v>0.46960177060360142</c:v>
                </c:pt>
                <c:pt idx="118">
                  <c:v>0.47003819167893157</c:v>
                </c:pt>
                <c:pt idx="119">
                  <c:v>0.47023152796587836</c:v>
                </c:pt>
                <c:pt idx="120">
                  <c:v>0.47024539734885279</c:v>
                </c:pt>
                <c:pt idx="121">
                  <c:v>0.47129017230794068</c:v>
                </c:pt>
                <c:pt idx="122">
                  <c:v>0.47129670433308846</c:v>
                </c:pt>
                <c:pt idx="123">
                  <c:v>0.47189008262635812</c:v>
                </c:pt>
                <c:pt idx="124">
                  <c:v>0.47206094185634245</c:v>
                </c:pt>
                <c:pt idx="125">
                  <c:v>0.47206333780894166</c:v>
                </c:pt>
                <c:pt idx="126">
                  <c:v>0.47237104538716934</c:v>
                </c:pt>
                <c:pt idx="127">
                  <c:v>0.47253090537345521</c:v>
                </c:pt>
                <c:pt idx="128">
                  <c:v>0.47300657683270853</c:v>
                </c:pt>
                <c:pt idx="129">
                  <c:v>0.47388673482114313</c:v>
                </c:pt>
                <c:pt idx="130">
                  <c:v>0.47434621614022415</c:v>
                </c:pt>
                <c:pt idx="131">
                  <c:v>0.47443312516084879</c:v>
                </c:pt>
                <c:pt idx="132">
                  <c:v>0.47445686830143269</c:v>
                </c:pt>
                <c:pt idx="133">
                  <c:v>0.47502542322186947</c:v>
                </c:pt>
                <c:pt idx="134">
                  <c:v>0.47560635425788123</c:v>
                </c:pt>
                <c:pt idx="135">
                  <c:v>0.47562914298510345</c:v>
                </c:pt>
                <c:pt idx="136">
                  <c:v>0.47609810767705463</c:v>
                </c:pt>
                <c:pt idx="137">
                  <c:v>0.4761409355159324</c:v>
                </c:pt>
                <c:pt idx="138">
                  <c:v>0.47653916562289239</c:v>
                </c:pt>
                <c:pt idx="139">
                  <c:v>0.476691917343677</c:v>
                </c:pt>
                <c:pt idx="140">
                  <c:v>0.47696956637208437</c:v>
                </c:pt>
                <c:pt idx="141">
                  <c:v>0.47717315919132697</c:v>
                </c:pt>
                <c:pt idx="142">
                  <c:v>0.47737581634523851</c:v>
                </c:pt>
                <c:pt idx="143">
                  <c:v>0.47761634431814937</c:v>
                </c:pt>
                <c:pt idx="144">
                  <c:v>0.47769639591950619</c:v>
                </c:pt>
                <c:pt idx="145">
                  <c:v>0.47772858876607266</c:v>
                </c:pt>
                <c:pt idx="146">
                  <c:v>0.47796859643979611</c:v>
                </c:pt>
                <c:pt idx="147">
                  <c:v>0.47807333397658897</c:v>
                </c:pt>
                <c:pt idx="148">
                  <c:v>0.47824816556358296</c:v>
                </c:pt>
                <c:pt idx="149">
                  <c:v>0.47833162304211652</c:v>
                </c:pt>
                <c:pt idx="150">
                  <c:v>0.4784018492967031</c:v>
                </c:pt>
                <c:pt idx="151">
                  <c:v>0.4791392952886</c:v>
                </c:pt>
                <c:pt idx="152">
                  <c:v>0.48093578947443094</c:v>
                </c:pt>
                <c:pt idx="153">
                  <c:v>0.48148730481441898</c:v>
                </c:pt>
                <c:pt idx="154">
                  <c:v>0.48148813631172405</c:v>
                </c:pt>
                <c:pt idx="155">
                  <c:v>0.48179046543121351</c:v>
                </c:pt>
                <c:pt idx="156">
                  <c:v>0.48212659210206182</c:v>
                </c:pt>
                <c:pt idx="157">
                  <c:v>0.48263811679885638</c:v>
                </c:pt>
                <c:pt idx="158">
                  <c:v>0.48302048372885154</c:v>
                </c:pt>
                <c:pt idx="159">
                  <c:v>0.48319520492007062</c:v>
                </c:pt>
                <c:pt idx="160">
                  <c:v>0.4838102356243234</c:v>
                </c:pt>
                <c:pt idx="161">
                  <c:v>0.48469971028110559</c:v>
                </c:pt>
                <c:pt idx="162">
                  <c:v>0.48490760761147289</c:v>
                </c:pt>
                <c:pt idx="163">
                  <c:v>0.48492057142266171</c:v>
                </c:pt>
                <c:pt idx="164">
                  <c:v>0.48599638208245427</c:v>
                </c:pt>
                <c:pt idx="165">
                  <c:v>0.48658428085909011</c:v>
                </c:pt>
                <c:pt idx="166">
                  <c:v>0.48662253003517014</c:v>
                </c:pt>
                <c:pt idx="167">
                  <c:v>0.48676529569843108</c:v>
                </c:pt>
                <c:pt idx="168">
                  <c:v>0.48692018181850072</c:v>
                </c:pt>
                <c:pt idx="169">
                  <c:v>0.48741989985782519</c:v>
                </c:pt>
                <c:pt idx="170">
                  <c:v>0.48755711602461782</c:v>
                </c:pt>
                <c:pt idx="171">
                  <c:v>0.48812554899349608</c:v>
                </c:pt>
                <c:pt idx="172">
                  <c:v>0.4892865417194342</c:v>
                </c:pt>
                <c:pt idx="173">
                  <c:v>0.48932574731087936</c:v>
                </c:pt>
                <c:pt idx="174">
                  <c:v>0.48940829376806788</c:v>
                </c:pt>
                <c:pt idx="175">
                  <c:v>0.48954909906419281</c:v>
                </c:pt>
                <c:pt idx="176">
                  <c:v>0.49036809410520676</c:v>
                </c:pt>
                <c:pt idx="177">
                  <c:v>0.49039091642302618</c:v>
                </c:pt>
                <c:pt idx="178">
                  <c:v>0.49056530525308434</c:v>
                </c:pt>
                <c:pt idx="179">
                  <c:v>0.49071970140278015</c:v>
                </c:pt>
                <c:pt idx="180">
                  <c:v>0.49083352428649007</c:v>
                </c:pt>
                <c:pt idx="181">
                  <c:v>0.49093160140413949</c:v>
                </c:pt>
                <c:pt idx="182">
                  <c:v>0.49126613087472498</c:v>
                </c:pt>
                <c:pt idx="183">
                  <c:v>0.49129238023315586</c:v>
                </c:pt>
                <c:pt idx="184">
                  <c:v>0.49137002561718618</c:v>
                </c:pt>
                <c:pt idx="185">
                  <c:v>0.49207886956070757</c:v>
                </c:pt>
                <c:pt idx="186">
                  <c:v>0.49225456139525464</c:v>
                </c:pt>
                <c:pt idx="187">
                  <c:v>0.49225467883912727</c:v>
                </c:pt>
                <c:pt idx="188">
                  <c:v>0.49260776857645361</c:v>
                </c:pt>
                <c:pt idx="189">
                  <c:v>0.49305517864978615</c:v>
                </c:pt>
                <c:pt idx="190">
                  <c:v>0.49337770468626624</c:v>
                </c:pt>
                <c:pt idx="191">
                  <c:v>0.49373727593153061</c:v>
                </c:pt>
                <c:pt idx="192">
                  <c:v>0.49448683160415025</c:v>
                </c:pt>
                <c:pt idx="193">
                  <c:v>0.49461727705607839</c:v>
                </c:pt>
                <c:pt idx="194">
                  <c:v>0.49494428262091317</c:v>
                </c:pt>
                <c:pt idx="195">
                  <c:v>0.49502475342518326</c:v>
                </c:pt>
                <c:pt idx="196">
                  <c:v>0.49616337814772438</c:v>
                </c:pt>
                <c:pt idx="197">
                  <c:v>0.49637166752699263</c:v>
                </c:pt>
                <c:pt idx="198">
                  <c:v>0.49661362150988642</c:v>
                </c:pt>
                <c:pt idx="199">
                  <c:v>0.49691658915422227</c:v>
                </c:pt>
                <c:pt idx="200">
                  <c:v>0.49788181785648439</c:v>
                </c:pt>
                <c:pt idx="201">
                  <c:v>0.49803354836818897</c:v>
                </c:pt>
                <c:pt idx="202">
                  <c:v>0.49807179273463986</c:v>
                </c:pt>
                <c:pt idx="203">
                  <c:v>0.49905468925496776</c:v>
                </c:pt>
                <c:pt idx="204">
                  <c:v>0.49911466042750979</c:v>
                </c:pt>
                <c:pt idx="205">
                  <c:v>0.49915553558879289</c:v>
                </c:pt>
                <c:pt idx="206">
                  <c:v>0.49929322032562806</c:v>
                </c:pt>
                <c:pt idx="207">
                  <c:v>0.49968961441454968</c:v>
                </c:pt>
                <c:pt idx="208">
                  <c:v>0.49986611890171473</c:v>
                </c:pt>
                <c:pt idx="209">
                  <c:v>0.50012293821494458</c:v>
                </c:pt>
                <c:pt idx="210">
                  <c:v>0.5007489752284775</c:v>
                </c:pt>
                <c:pt idx="211">
                  <c:v>0.5010299359000423</c:v>
                </c:pt>
                <c:pt idx="212">
                  <c:v>0.50184275184275184</c:v>
                </c:pt>
                <c:pt idx="213">
                  <c:v>0.50190890572175284</c:v>
                </c:pt>
                <c:pt idx="214">
                  <c:v>0.50252600028889138</c:v>
                </c:pt>
                <c:pt idx="215">
                  <c:v>0.50344497946188227</c:v>
                </c:pt>
                <c:pt idx="216">
                  <c:v>0.50355457172357931</c:v>
                </c:pt>
                <c:pt idx="217">
                  <c:v>0.50378411350081376</c:v>
                </c:pt>
                <c:pt idx="218">
                  <c:v>0.50406782871995814</c:v>
                </c:pt>
                <c:pt idx="219">
                  <c:v>0.50440213062093842</c:v>
                </c:pt>
                <c:pt idx="220">
                  <c:v>0.50577048322110085</c:v>
                </c:pt>
                <c:pt idx="221">
                  <c:v>0.50672805007170352</c:v>
                </c:pt>
                <c:pt idx="222">
                  <c:v>0.50718492665103287</c:v>
                </c:pt>
                <c:pt idx="223">
                  <c:v>0.50727705385606647</c:v>
                </c:pt>
                <c:pt idx="224">
                  <c:v>0.50851753577342662</c:v>
                </c:pt>
                <c:pt idx="225">
                  <c:v>0.50856609596966806</c:v>
                </c:pt>
                <c:pt idx="226">
                  <c:v>0.5087228439763003</c:v>
                </c:pt>
                <c:pt idx="227">
                  <c:v>0.50882822884917478</c:v>
                </c:pt>
                <c:pt idx="228">
                  <c:v>0.50886523424607366</c:v>
                </c:pt>
                <c:pt idx="229">
                  <c:v>0.5090891572456312</c:v>
                </c:pt>
                <c:pt idx="230">
                  <c:v>0.50970055061262132</c:v>
                </c:pt>
                <c:pt idx="231">
                  <c:v>0.5099331593122709</c:v>
                </c:pt>
                <c:pt idx="232">
                  <c:v>0.51013349600175983</c:v>
                </c:pt>
                <c:pt idx="233">
                  <c:v>0.51024853932734138</c:v>
                </c:pt>
                <c:pt idx="234">
                  <c:v>0.51103271452365528</c:v>
                </c:pt>
                <c:pt idx="235">
                  <c:v>0.51163887798951058</c:v>
                </c:pt>
                <c:pt idx="236">
                  <c:v>0.51175468732541829</c:v>
                </c:pt>
                <c:pt idx="237">
                  <c:v>0.51210754069969644</c:v>
                </c:pt>
                <c:pt idx="238">
                  <c:v>0.5122913275115184</c:v>
                </c:pt>
                <c:pt idx="239">
                  <c:v>0.51240346962256522</c:v>
                </c:pt>
                <c:pt idx="240">
                  <c:v>0.51300841442623624</c:v>
                </c:pt>
                <c:pt idx="241">
                  <c:v>0.51300912653109243</c:v>
                </c:pt>
                <c:pt idx="242">
                  <c:v>0.5135627869306244</c:v>
                </c:pt>
                <c:pt idx="243">
                  <c:v>0.51422310737085941</c:v>
                </c:pt>
                <c:pt idx="244">
                  <c:v>0.51422397955464738</c:v>
                </c:pt>
                <c:pt idx="245">
                  <c:v>0.51432662006774998</c:v>
                </c:pt>
                <c:pt idx="246">
                  <c:v>0.51467629084367505</c:v>
                </c:pt>
                <c:pt idx="247">
                  <c:v>0.51473972043929139</c:v>
                </c:pt>
                <c:pt idx="248">
                  <c:v>0.51484997702710789</c:v>
                </c:pt>
                <c:pt idx="249">
                  <c:v>0.51507388593666459</c:v>
                </c:pt>
                <c:pt idx="250">
                  <c:v>0.5152223010974637</c:v>
                </c:pt>
                <c:pt idx="251">
                  <c:v>0.51537655346279854</c:v>
                </c:pt>
                <c:pt idx="252">
                  <c:v>0.51581870550812359</c:v>
                </c:pt>
                <c:pt idx="253">
                  <c:v>0.51629711569019099</c:v>
                </c:pt>
                <c:pt idx="254">
                  <c:v>0.51631150243217627</c:v>
                </c:pt>
                <c:pt idx="255">
                  <c:v>0.51657653760184619</c:v>
                </c:pt>
                <c:pt idx="256">
                  <c:v>0.51717869307837205</c:v>
                </c:pt>
                <c:pt idx="257">
                  <c:v>0.51725732018227255</c:v>
                </c:pt>
                <c:pt idx="258">
                  <c:v>0.51752577388242127</c:v>
                </c:pt>
                <c:pt idx="259">
                  <c:v>0.51766836756209644</c:v>
                </c:pt>
                <c:pt idx="260">
                  <c:v>0.51790521306330661</c:v>
                </c:pt>
                <c:pt idx="261">
                  <c:v>0.51796967686142825</c:v>
                </c:pt>
                <c:pt idx="262">
                  <c:v>0.5181872172395271</c:v>
                </c:pt>
                <c:pt idx="263">
                  <c:v>0.51856311388382581</c:v>
                </c:pt>
                <c:pt idx="264">
                  <c:v>0.51867227266246541</c:v>
                </c:pt>
                <c:pt idx="265">
                  <c:v>0.51902809633027569</c:v>
                </c:pt>
                <c:pt idx="266">
                  <c:v>0.51924966353772029</c:v>
                </c:pt>
                <c:pt idx="267">
                  <c:v>0.51947128600975701</c:v>
                </c:pt>
                <c:pt idx="268">
                  <c:v>0.51948432940900069</c:v>
                </c:pt>
                <c:pt idx="269">
                  <c:v>0.51949030688846753</c:v>
                </c:pt>
                <c:pt idx="270">
                  <c:v>0.52043027935460684</c:v>
                </c:pt>
                <c:pt idx="271">
                  <c:v>0.52077604694381885</c:v>
                </c:pt>
                <c:pt idx="272">
                  <c:v>0.52112985349419394</c:v>
                </c:pt>
                <c:pt idx="273">
                  <c:v>0.5215845606907078</c:v>
                </c:pt>
                <c:pt idx="274">
                  <c:v>0.52195933942206674</c:v>
                </c:pt>
                <c:pt idx="275">
                  <c:v>0.52199035878358802</c:v>
                </c:pt>
                <c:pt idx="276">
                  <c:v>0.52222844129448387</c:v>
                </c:pt>
                <c:pt idx="277">
                  <c:v>0.52306983280080299</c:v>
                </c:pt>
                <c:pt idx="278">
                  <c:v>0.52325443522443893</c:v>
                </c:pt>
                <c:pt idx="279">
                  <c:v>0.52357087488681253</c:v>
                </c:pt>
                <c:pt idx="280">
                  <c:v>0.52386508180661828</c:v>
                </c:pt>
                <c:pt idx="281">
                  <c:v>0.52398640101201743</c:v>
                </c:pt>
                <c:pt idx="282">
                  <c:v>0.52435257004471081</c:v>
                </c:pt>
                <c:pt idx="283">
                  <c:v>0.52487680069817155</c:v>
                </c:pt>
                <c:pt idx="284">
                  <c:v>0.52534419256473608</c:v>
                </c:pt>
                <c:pt idx="285">
                  <c:v>0.52543314646761907</c:v>
                </c:pt>
                <c:pt idx="286">
                  <c:v>0.52617805007185503</c:v>
                </c:pt>
                <c:pt idx="287">
                  <c:v>0.5264795491761759</c:v>
                </c:pt>
                <c:pt idx="288">
                  <c:v>0.52649791471867191</c:v>
                </c:pt>
                <c:pt idx="289">
                  <c:v>0.5271751615931568</c:v>
                </c:pt>
                <c:pt idx="290">
                  <c:v>0.5276350302211531</c:v>
                </c:pt>
                <c:pt idx="291">
                  <c:v>0.52784543587707311</c:v>
                </c:pt>
                <c:pt idx="292">
                  <c:v>0.5279046723573606</c:v>
                </c:pt>
                <c:pt idx="293">
                  <c:v>0.52824680038314242</c:v>
                </c:pt>
                <c:pt idx="294">
                  <c:v>0.52871996390027387</c:v>
                </c:pt>
                <c:pt idx="295">
                  <c:v>0.53083565490526896</c:v>
                </c:pt>
                <c:pt idx="296">
                  <c:v>0.53087302301273176</c:v>
                </c:pt>
                <c:pt idx="297">
                  <c:v>0.53106607734221811</c:v>
                </c:pt>
                <c:pt idx="298">
                  <c:v>0.53128319765424792</c:v>
                </c:pt>
                <c:pt idx="299">
                  <c:v>0.53133997129039068</c:v>
                </c:pt>
                <c:pt idx="300">
                  <c:v>0.53136661480063774</c:v>
                </c:pt>
                <c:pt idx="301">
                  <c:v>0.53147718634821928</c:v>
                </c:pt>
                <c:pt idx="302">
                  <c:v>0.53150913358367113</c:v>
                </c:pt>
                <c:pt idx="303">
                  <c:v>0.53164694281665303</c:v>
                </c:pt>
                <c:pt idx="304">
                  <c:v>0.53176234293988511</c:v>
                </c:pt>
                <c:pt idx="305">
                  <c:v>0.53236657788300368</c:v>
                </c:pt>
                <c:pt idx="306">
                  <c:v>0.53276167290174026</c:v>
                </c:pt>
                <c:pt idx="307">
                  <c:v>0.5330082870382622</c:v>
                </c:pt>
                <c:pt idx="308">
                  <c:v>0.53323958281738382</c:v>
                </c:pt>
                <c:pt idx="309">
                  <c:v>0.53326783540681921</c:v>
                </c:pt>
                <c:pt idx="310">
                  <c:v>0.53333471010986688</c:v>
                </c:pt>
                <c:pt idx="311">
                  <c:v>0.5334996979413541</c:v>
                </c:pt>
                <c:pt idx="312">
                  <c:v>0.53373217373067361</c:v>
                </c:pt>
                <c:pt idx="313">
                  <c:v>0.53379962739417541</c:v>
                </c:pt>
                <c:pt idx="314">
                  <c:v>0.53393984771215031</c:v>
                </c:pt>
                <c:pt idx="315">
                  <c:v>0.5340853658536584</c:v>
                </c:pt>
                <c:pt idx="316">
                  <c:v>0.53420987996367764</c:v>
                </c:pt>
                <c:pt idx="317">
                  <c:v>0.53502552112434643</c:v>
                </c:pt>
                <c:pt idx="318">
                  <c:v>0.53532136259513863</c:v>
                </c:pt>
                <c:pt idx="319">
                  <c:v>0.53543688443119153</c:v>
                </c:pt>
                <c:pt idx="320">
                  <c:v>0.53588593262471595</c:v>
                </c:pt>
                <c:pt idx="321">
                  <c:v>0.5358969886804692</c:v>
                </c:pt>
                <c:pt idx="322">
                  <c:v>0.53594081795868775</c:v>
                </c:pt>
                <c:pt idx="323">
                  <c:v>0.53603935392951541</c:v>
                </c:pt>
                <c:pt idx="324">
                  <c:v>0.5363678224660462</c:v>
                </c:pt>
                <c:pt idx="325">
                  <c:v>0.53658953650032126</c:v>
                </c:pt>
                <c:pt idx="326">
                  <c:v>0.53677252712999435</c:v>
                </c:pt>
                <c:pt idx="327">
                  <c:v>0.53711181187777934</c:v>
                </c:pt>
                <c:pt idx="328">
                  <c:v>0.53732240050894253</c:v>
                </c:pt>
                <c:pt idx="329">
                  <c:v>0.53738418889120698</c:v>
                </c:pt>
                <c:pt idx="330">
                  <c:v>0.53740706319702558</c:v>
                </c:pt>
                <c:pt idx="331">
                  <c:v>0.53743502570223267</c:v>
                </c:pt>
                <c:pt idx="332">
                  <c:v>0.53754506534474944</c:v>
                </c:pt>
                <c:pt idx="333">
                  <c:v>0.53778533444271615</c:v>
                </c:pt>
                <c:pt idx="334">
                  <c:v>0.53785445183686964</c:v>
                </c:pt>
                <c:pt idx="335">
                  <c:v>0.53832403612044233</c:v>
                </c:pt>
                <c:pt idx="336">
                  <c:v>0.53913721936977721</c:v>
                </c:pt>
                <c:pt idx="337">
                  <c:v>0.5391457724841634</c:v>
                </c:pt>
                <c:pt idx="338">
                  <c:v>0.53962019102531922</c:v>
                </c:pt>
                <c:pt idx="339">
                  <c:v>0.54045597940136092</c:v>
                </c:pt>
                <c:pt idx="340">
                  <c:v>0.54055851039297298</c:v>
                </c:pt>
                <c:pt idx="341">
                  <c:v>0.54090218740517393</c:v>
                </c:pt>
                <c:pt idx="342">
                  <c:v>0.54097412656757604</c:v>
                </c:pt>
                <c:pt idx="343">
                  <c:v>0.54100053151574723</c:v>
                </c:pt>
                <c:pt idx="344">
                  <c:v>0.54109353414705896</c:v>
                </c:pt>
                <c:pt idx="345">
                  <c:v>0.54137881645297292</c:v>
                </c:pt>
                <c:pt idx="346">
                  <c:v>0.54207870715659667</c:v>
                </c:pt>
                <c:pt idx="347">
                  <c:v>0.54233432380876023</c:v>
                </c:pt>
                <c:pt idx="348">
                  <c:v>0.54234205429050653</c:v>
                </c:pt>
                <c:pt idx="349">
                  <c:v>0.54250723742211171</c:v>
                </c:pt>
                <c:pt idx="350">
                  <c:v>0.54283143021660196</c:v>
                </c:pt>
                <c:pt idx="351">
                  <c:v>0.5428699391104127</c:v>
                </c:pt>
                <c:pt idx="352">
                  <c:v>0.54333420411006683</c:v>
                </c:pt>
                <c:pt idx="353">
                  <c:v>0.54359521790798826</c:v>
                </c:pt>
                <c:pt idx="354">
                  <c:v>0.54362446032212053</c:v>
                </c:pt>
                <c:pt idx="355">
                  <c:v>0.5437342951777675</c:v>
                </c:pt>
                <c:pt idx="356">
                  <c:v>0.54374440476623087</c:v>
                </c:pt>
                <c:pt idx="357">
                  <c:v>0.5439012256467729</c:v>
                </c:pt>
                <c:pt idx="358">
                  <c:v>0.54421616011248253</c:v>
                </c:pt>
                <c:pt idx="359">
                  <c:v>0.54430967996408164</c:v>
                </c:pt>
                <c:pt idx="360">
                  <c:v>0.54475993862256555</c:v>
                </c:pt>
                <c:pt idx="361">
                  <c:v>0.54477706508814083</c:v>
                </c:pt>
                <c:pt idx="362">
                  <c:v>0.54523566760943443</c:v>
                </c:pt>
                <c:pt idx="363">
                  <c:v>0.54546687935797911</c:v>
                </c:pt>
                <c:pt idx="364">
                  <c:v>0.54580548344646307</c:v>
                </c:pt>
                <c:pt idx="365">
                  <c:v>0.54591661393517532</c:v>
                </c:pt>
                <c:pt idx="366">
                  <c:v>0.54592034849257587</c:v>
                </c:pt>
                <c:pt idx="367">
                  <c:v>0.54647773137945399</c:v>
                </c:pt>
                <c:pt idx="368">
                  <c:v>0.54691043083900148</c:v>
                </c:pt>
                <c:pt idx="369">
                  <c:v>0.5469770010746039</c:v>
                </c:pt>
                <c:pt idx="370">
                  <c:v>0.54697896715613259</c:v>
                </c:pt>
                <c:pt idx="371">
                  <c:v>0.5472763464209548</c:v>
                </c:pt>
                <c:pt idx="372">
                  <c:v>0.5473388733404444</c:v>
                </c:pt>
                <c:pt idx="373">
                  <c:v>0.54743282931965254</c:v>
                </c:pt>
                <c:pt idx="374">
                  <c:v>0.54801242468876232</c:v>
                </c:pt>
                <c:pt idx="375">
                  <c:v>0.54811088383700446</c:v>
                </c:pt>
                <c:pt idx="376">
                  <c:v>0.54813561835541502</c:v>
                </c:pt>
                <c:pt idx="377">
                  <c:v>0.54826621748362547</c:v>
                </c:pt>
                <c:pt idx="378">
                  <c:v>0.54843803277243863</c:v>
                </c:pt>
                <c:pt idx="379">
                  <c:v>0.54853745750054816</c:v>
                </c:pt>
                <c:pt idx="380">
                  <c:v>0.54887444244586203</c:v>
                </c:pt>
                <c:pt idx="381">
                  <c:v>0.54913974841601909</c:v>
                </c:pt>
                <c:pt idx="382">
                  <c:v>0.54918010524155725</c:v>
                </c:pt>
                <c:pt idx="383">
                  <c:v>0.54923657380369972</c:v>
                </c:pt>
                <c:pt idx="384">
                  <c:v>0.54951685783802651</c:v>
                </c:pt>
                <c:pt idx="385">
                  <c:v>0.54961017797105927</c:v>
                </c:pt>
                <c:pt idx="386">
                  <c:v>0.55012305960592667</c:v>
                </c:pt>
                <c:pt idx="387">
                  <c:v>0.55025451696960226</c:v>
                </c:pt>
                <c:pt idx="388">
                  <c:v>0.55070543679739636</c:v>
                </c:pt>
                <c:pt idx="389">
                  <c:v>0.5510860139571373</c:v>
                </c:pt>
                <c:pt idx="390">
                  <c:v>0.55128196333361246</c:v>
                </c:pt>
                <c:pt idx="391">
                  <c:v>0.55218649269330122</c:v>
                </c:pt>
                <c:pt idx="392">
                  <c:v>0.55237401647141537</c:v>
                </c:pt>
                <c:pt idx="393">
                  <c:v>0.55248748008426796</c:v>
                </c:pt>
                <c:pt idx="394">
                  <c:v>0.55252400897630205</c:v>
                </c:pt>
                <c:pt idx="395">
                  <c:v>0.55259720739937268</c:v>
                </c:pt>
                <c:pt idx="396">
                  <c:v>0.55370940434046512</c:v>
                </c:pt>
                <c:pt idx="397">
                  <c:v>0.55374410721392731</c:v>
                </c:pt>
                <c:pt idx="398">
                  <c:v>0.55442960022951548</c:v>
                </c:pt>
                <c:pt idx="399">
                  <c:v>0.55499781430780182</c:v>
                </c:pt>
                <c:pt idx="400">
                  <c:v>0.55516812047818531</c:v>
                </c:pt>
                <c:pt idx="401">
                  <c:v>0.55521695016804518</c:v>
                </c:pt>
                <c:pt idx="402">
                  <c:v>0.55566967781114651</c:v>
                </c:pt>
                <c:pt idx="403">
                  <c:v>0.55582410874443389</c:v>
                </c:pt>
                <c:pt idx="404">
                  <c:v>0.55587361212782194</c:v>
                </c:pt>
                <c:pt idx="405">
                  <c:v>0.55600649666186985</c:v>
                </c:pt>
                <c:pt idx="406">
                  <c:v>0.55601692407414738</c:v>
                </c:pt>
                <c:pt idx="407">
                  <c:v>0.55602288267868594</c:v>
                </c:pt>
                <c:pt idx="408">
                  <c:v>0.55609370836980943</c:v>
                </c:pt>
                <c:pt idx="409">
                  <c:v>0.55617622220395613</c:v>
                </c:pt>
                <c:pt idx="410">
                  <c:v>0.55643440024542434</c:v>
                </c:pt>
                <c:pt idx="411">
                  <c:v>0.55647132725601156</c:v>
                </c:pt>
                <c:pt idx="412">
                  <c:v>0.55726458193696427</c:v>
                </c:pt>
                <c:pt idx="413">
                  <c:v>0.55729717217416808</c:v>
                </c:pt>
                <c:pt idx="414">
                  <c:v>0.5572998773865836</c:v>
                </c:pt>
                <c:pt idx="415">
                  <c:v>0.5574457588036057</c:v>
                </c:pt>
                <c:pt idx="416">
                  <c:v>0.55789905621666136</c:v>
                </c:pt>
                <c:pt idx="417">
                  <c:v>0.5582011074301001</c:v>
                </c:pt>
                <c:pt idx="418">
                  <c:v>0.55821542578502104</c:v>
                </c:pt>
                <c:pt idx="419">
                  <c:v>0.55851885099607779</c:v>
                </c:pt>
                <c:pt idx="420">
                  <c:v>0.55865539652221341</c:v>
                </c:pt>
                <c:pt idx="421">
                  <c:v>0.5589150661241703</c:v>
                </c:pt>
                <c:pt idx="422">
                  <c:v>0.55893199260756465</c:v>
                </c:pt>
                <c:pt idx="423">
                  <c:v>0.55952694066455377</c:v>
                </c:pt>
                <c:pt idx="424">
                  <c:v>0.55953822081229865</c:v>
                </c:pt>
                <c:pt idx="425">
                  <c:v>0.55966310924205376</c:v>
                </c:pt>
                <c:pt idx="426">
                  <c:v>0.55987546176246838</c:v>
                </c:pt>
                <c:pt idx="427">
                  <c:v>0.55989103044167843</c:v>
                </c:pt>
                <c:pt idx="428">
                  <c:v>0.55993963352598752</c:v>
                </c:pt>
                <c:pt idx="429">
                  <c:v>0.56045783813405481</c:v>
                </c:pt>
                <c:pt idx="430">
                  <c:v>0.56081200440413315</c:v>
                </c:pt>
                <c:pt idx="431">
                  <c:v>0.56106667712172342</c:v>
                </c:pt>
                <c:pt idx="432">
                  <c:v>0.56126757977453756</c:v>
                </c:pt>
                <c:pt idx="433">
                  <c:v>0.5614930465218293</c:v>
                </c:pt>
                <c:pt idx="434">
                  <c:v>0.56156173473532722</c:v>
                </c:pt>
                <c:pt idx="435">
                  <c:v>0.56156770075293871</c:v>
                </c:pt>
                <c:pt idx="436">
                  <c:v>0.56184502867348796</c:v>
                </c:pt>
                <c:pt idx="437">
                  <c:v>0.56351439145424875</c:v>
                </c:pt>
                <c:pt idx="438">
                  <c:v>0.56354197243736004</c:v>
                </c:pt>
                <c:pt idx="439">
                  <c:v>0.56369724894612094</c:v>
                </c:pt>
                <c:pt idx="440">
                  <c:v>0.56380749286262877</c:v>
                </c:pt>
                <c:pt idx="441">
                  <c:v>0.56398359633035322</c:v>
                </c:pt>
                <c:pt idx="442">
                  <c:v>0.56417294449585353</c:v>
                </c:pt>
                <c:pt idx="443">
                  <c:v>0.56424376249369479</c:v>
                </c:pt>
                <c:pt idx="444">
                  <c:v>0.56438804033143608</c:v>
                </c:pt>
                <c:pt idx="445">
                  <c:v>0.56450647682417576</c:v>
                </c:pt>
                <c:pt idx="446">
                  <c:v>0.56481571734680547</c:v>
                </c:pt>
                <c:pt idx="447">
                  <c:v>0.56501628976619378</c:v>
                </c:pt>
                <c:pt idx="448">
                  <c:v>0.56507202367397635</c:v>
                </c:pt>
                <c:pt idx="449">
                  <c:v>0.56532393043181384</c:v>
                </c:pt>
                <c:pt idx="450">
                  <c:v>0.56536655024688942</c:v>
                </c:pt>
                <c:pt idx="451">
                  <c:v>0.56537301417385644</c:v>
                </c:pt>
                <c:pt idx="452">
                  <c:v>0.56601275287666675</c:v>
                </c:pt>
                <c:pt idx="453">
                  <c:v>0.56616363853693463</c:v>
                </c:pt>
                <c:pt idx="454">
                  <c:v>0.56619183796549255</c:v>
                </c:pt>
                <c:pt idx="455">
                  <c:v>0.56636415306373689</c:v>
                </c:pt>
                <c:pt idx="456">
                  <c:v>0.56650650803335301</c:v>
                </c:pt>
                <c:pt idx="457">
                  <c:v>0.56653115762537776</c:v>
                </c:pt>
                <c:pt idx="458">
                  <c:v>0.56659459459459394</c:v>
                </c:pt>
                <c:pt idx="459">
                  <c:v>0.56670435807398944</c:v>
                </c:pt>
                <c:pt idx="460">
                  <c:v>0.56698096773462292</c:v>
                </c:pt>
                <c:pt idx="461">
                  <c:v>0.56699524055090034</c:v>
                </c:pt>
                <c:pt idx="462">
                  <c:v>0.56714163261896011</c:v>
                </c:pt>
                <c:pt idx="463">
                  <c:v>0.56717617801680364</c:v>
                </c:pt>
                <c:pt idx="464">
                  <c:v>0.56724467859868755</c:v>
                </c:pt>
                <c:pt idx="465">
                  <c:v>0.5677169584417634</c:v>
                </c:pt>
                <c:pt idx="466">
                  <c:v>0.56821174322287871</c:v>
                </c:pt>
                <c:pt idx="467">
                  <c:v>0.5684328495102019</c:v>
                </c:pt>
                <c:pt idx="468">
                  <c:v>0.56854205037924777</c:v>
                </c:pt>
                <c:pt idx="469">
                  <c:v>0.5685718022131514</c:v>
                </c:pt>
                <c:pt idx="470">
                  <c:v>0.5686048565830466</c:v>
                </c:pt>
                <c:pt idx="471">
                  <c:v>0.56913560825544141</c:v>
                </c:pt>
                <c:pt idx="472">
                  <c:v>0.56914962598033048</c:v>
                </c:pt>
                <c:pt idx="473">
                  <c:v>0.56927565000245506</c:v>
                </c:pt>
                <c:pt idx="474">
                  <c:v>0.56940241500670852</c:v>
                </c:pt>
                <c:pt idx="475">
                  <c:v>0.56952025163945708</c:v>
                </c:pt>
                <c:pt idx="476">
                  <c:v>0.56959931959931831</c:v>
                </c:pt>
                <c:pt idx="477">
                  <c:v>0.56974999629855605</c:v>
                </c:pt>
                <c:pt idx="478">
                  <c:v>0.5700204120228759</c:v>
                </c:pt>
                <c:pt idx="479">
                  <c:v>0.57016156021002851</c:v>
                </c:pt>
                <c:pt idx="480">
                  <c:v>0.57031858190298379</c:v>
                </c:pt>
                <c:pt idx="481">
                  <c:v>0.57044056339332405</c:v>
                </c:pt>
                <c:pt idx="482">
                  <c:v>0.57051416056940885</c:v>
                </c:pt>
                <c:pt idx="483">
                  <c:v>0.57075610251768749</c:v>
                </c:pt>
                <c:pt idx="484">
                  <c:v>0.57078246769064289</c:v>
                </c:pt>
                <c:pt idx="485">
                  <c:v>0.57090087140024415</c:v>
                </c:pt>
                <c:pt idx="486">
                  <c:v>0.57090528519099948</c:v>
                </c:pt>
                <c:pt idx="487">
                  <c:v>0.57090651790169866</c:v>
                </c:pt>
                <c:pt idx="488">
                  <c:v>0.57129864049323831</c:v>
                </c:pt>
                <c:pt idx="489">
                  <c:v>0.57145064990237315</c:v>
                </c:pt>
                <c:pt idx="490">
                  <c:v>0.5715851160131491</c:v>
                </c:pt>
                <c:pt idx="491">
                  <c:v>0.57174016737620581</c:v>
                </c:pt>
                <c:pt idx="492">
                  <c:v>0.57175266224621479</c:v>
                </c:pt>
                <c:pt idx="493">
                  <c:v>0.57183238592240515</c:v>
                </c:pt>
                <c:pt idx="494">
                  <c:v>0.57188050719965711</c:v>
                </c:pt>
                <c:pt idx="495">
                  <c:v>0.57189616057856218</c:v>
                </c:pt>
                <c:pt idx="496">
                  <c:v>0.57200153867259906</c:v>
                </c:pt>
                <c:pt idx="497">
                  <c:v>0.57223035662129673</c:v>
                </c:pt>
                <c:pt idx="498">
                  <c:v>0.57224285657401741</c:v>
                </c:pt>
                <c:pt idx="499">
                  <c:v>0.57240088633369268</c:v>
                </c:pt>
                <c:pt idx="500">
                  <c:v>0.57268758277457443</c:v>
                </c:pt>
                <c:pt idx="501">
                  <c:v>0.57312696263400886</c:v>
                </c:pt>
                <c:pt idx="502">
                  <c:v>0.57347242921013519</c:v>
                </c:pt>
                <c:pt idx="503">
                  <c:v>0.57357865208179615</c:v>
                </c:pt>
                <c:pt idx="504">
                  <c:v>0.57363864646074403</c:v>
                </c:pt>
                <c:pt idx="505">
                  <c:v>0.57364133502648418</c:v>
                </c:pt>
                <c:pt idx="506">
                  <c:v>0.57378587428828021</c:v>
                </c:pt>
                <c:pt idx="507">
                  <c:v>0.57380952380952388</c:v>
                </c:pt>
                <c:pt idx="508">
                  <c:v>0.57406037740135207</c:v>
                </c:pt>
                <c:pt idx="509">
                  <c:v>0.57425689146385739</c:v>
                </c:pt>
                <c:pt idx="510">
                  <c:v>0.57440538413491216</c:v>
                </c:pt>
                <c:pt idx="511">
                  <c:v>0.57462647911966425</c:v>
                </c:pt>
                <c:pt idx="512">
                  <c:v>0.57471387367805038</c:v>
                </c:pt>
                <c:pt idx="513">
                  <c:v>0.5747753113795051</c:v>
                </c:pt>
                <c:pt idx="514">
                  <c:v>0.57526087898616163</c:v>
                </c:pt>
                <c:pt idx="515">
                  <c:v>0.57531578366808345</c:v>
                </c:pt>
                <c:pt idx="516">
                  <c:v>0.57571463902227737</c:v>
                </c:pt>
                <c:pt idx="517">
                  <c:v>0.57590256981041532</c:v>
                </c:pt>
                <c:pt idx="518">
                  <c:v>0.57599715980094635</c:v>
                </c:pt>
                <c:pt idx="519">
                  <c:v>0.57620363338665459</c:v>
                </c:pt>
                <c:pt idx="520">
                  <c:v>0.57624656066398461</c:v>
                </c:pt>
                <c:pt idx="521">
                  <c:v>0.57639528053479672</c:v>
                </c:pt>
                <c:pt idx="522">
                  <c:v>0.57645546953991511</c:v>
                </c:pt>
                <c:pt idx="523">
                  <c:v>0.57649457530297088</c:v>
                </c:pt>
                <c:pt idx="524">
                  <c:v>0.57679894710900248</c:v>
                </c:pt>
                <c:pt idx="525">
                  <c:v>0.57707366431111984</c:v>
                </c:pt>
                <c:pt idx="526">
                  <c:v>0.57736192066900649</c:v>
                </c:pt>
                <c:pt idx="527">
                  <c:v>0.57744361387684429</c:v>
                </c:pt>
                <c:pt idx="528">
                  <c:v>0.57746770393053892</c:v>
                </c:pt>
                <c:pt idx="529">
                  <c:v>0.57762636485707997</c:v>
                </c:pt>
                <c:pt idx="530">
                  <c:v>0.57782511394136715</c:v>
                </c:pt>
                <c:pt idx="531">
                  <c:v>0.57788067664741727</c:v>
                </c:pt>
                <c:pt idx="532">
                  <c:v>0.57792090113681216</c:v>
                </c:pt>
                <c:pt idx="533">
                  <c:v>0.57798961603291843</c:v>
                </c:pt>
                <c:pt idx="534">
                  <c:v>0.57806084851036943</c:v>
                </c:pt>
                <c:pt idx="535">
                  <c:v>0.5782911103574282</c:v>
                </c:pt>
                <c:pt idx="536">
                  <c:v>0.578365171801839</c:v>
                </c:pt>
                <c:pt idx="537">
                  <c:v>0.57858364508893267</c:v>
                </c:pt>
                <c:pt idx="538">
                  <c:v>0.57876740694840767</c:v>
                </c:pt>
                <c:pt idx="539">
                  <c:v>0.57878077169911801</c:v>
                </c:pt>
                <c:pt idx="540">
                  <c:v>0.5788687269289956</c:v>
                </c:pt>
                <c:pt idx="541">
                  <c:v>0.57895014330814976</c:v>
                </c:pt>
                <c:pt idx="542">
                  <c:v>0.57903598243377208</c:v>
                </c:pt>
                <c:pt idx="543">
                  <c:v>0.5803021514052763</c:v>
                </c:pt>
                <c:pt idx="544">
                  <c:v>0.58033670167260121</c:v>
                </c:pt>
                <c:pt idx="545">
                  <c:v>0.58038985031859047</c:v>
                </c:pt>
                <c:pt idx="546">
                  <c:v>0.58044419198713804</c:v>
                </c:pt>
                <c:pt idx="547">
                  <c:v>0.58059232473112565</c:v>
                </c:pt>
                <c:pt idx="548">
                  <c:v>0.58060710609904742</c:v>
                </c:pt>
                <c:pt idx="549">
                  <c:v>0.58079765934281169</c:v>
                </c:pt>
                <c:pt idx="550">
                  <c:v>0.58131907077779676</c:v>
                </c:pt>
                <c:pt idx="551">
                  <c:v>0.58166567763184507</c:v>
                </c:pt>
                <c:pt idx="552">
                  <c:v>0.58177627011291333</c:v>
                </c:pt>
                <c:pt idx="553">
                  <c:v>0.58184506695144989</c:v>
                </c:pt>
                <c:pt idx="554">
                  <c:v>0.58197753496750027</c:v>
                </c:pt>
                <c:pt idx="555">
                  <c:v>0.58207179502134565</c:v>
                </c:pt>
                <c:pt idx="556">
                  <c:v>0.58207436685697589</c:v>
                </c:pt>
                <c:pt idx="557">
                  <c:v>0.58210076642794317</c:v>
                </c:pt>
                <c:pt idx="558">
                  <c:v>0.58214416093127552</c:v>
                </c:pt>
                <c:pt idx="559">
                  <c:v>0.5823931495418011</c:v>
                </c:pt>
                <c:pt idx="560">
                  <c:v>0.58267320502219344</c:v>
                </c:pt>
                <c:pt idx="561">
                  <c:v>0.58270471967456328</c:v>
                </c:pt>
                <c:pt idx="562">
                  <c:v>0.58281536452206695</c:v>
                </c:pt>
                <c:pt idx="563">
                  <c:v>0.58300249514642855</c:v>
                </c:pt>
                <c:pt idx="564">
                  <c:v>0.58311365633790957</c:v>
                </c:pt>
                <c:pt idx="565">
                  <c:v>0.58343299090338763</c:v>
                </c:pt>
                <c:pt idx="566">
                  <c:v>0.58357059973639314</c:v>
                </c:pt>
                <c:pt idx="567">
                  <c:v>0.58363273145975469</c:v>
                </c:pt>
                <c:pt idx="568">
                  <c:v>0.58380971519817726</c:v>
                </c:pt>
                <c:pt idx="569">
                  <c:v>0.58426157356718411</c:v>
                </c:pt>
                <c:pt idx="570">
                  <c:v>0.58428071231227818</c:v>
                </c:pt>
                <c:pt idx="571">
                  <c:v>0.58429350958994197</c:v>
                </c:pt>
                <c:pt idx="572">
                  <c:v>0.58437284100708076</c:v>
                </c:pt>
                <c:pt idx="573">
                  <c:v>0.5845623133713489</c:v>
                </c:pt>
                <c:pt idx="574">
                  <c:v>0.58460543818889565</c:v>
                </c:pt>
                <c:pt idx="575">
                  <c:v>0.58464725218694558</c:v>
                </c:pt>
                <c:pt idx="576">
                  <c:v>0.58486658300121463</c:v>
                </c:pt>
                <c:pt idx="577">
                  <c:v>0.58527131782945807</c:v>
                </c:pt>
                <c:pt idx="578">
                  <c:v>0.58532340739198641</c:v>
                </c:pt>
                <c:pt idx="579">
                  <c:v>0.58542938542938483</c:v>
                </c:pt>
                <c:pt idx="580">
                  <c:v>0.58543861636645211</c:v>
                </c:pt>
                <c:pt idx="581">
                  <c:v>0.58549537425423892</c:v>
                </c:pt>
                <c:pt idx="582">
                  <c:v>0.58552842098568958</c:v>
                </c:pt>
                <c:pt idx="583">
                  <c:v>0.5856241104289307</c:v>
                </c:pt>
                <c:pt idx="584">
                  <c:v>0.5862004147045714</c:v>
                </c:pt>
                <c:pt idx="585">
                  <c:v>0.5862352689310365</c:v>
                </c:pt>
                <c:pt idx="586">
                  <c:v>0.58660702445524848</c:v>
                </c:pt>
                <c:pt idx="587">
                  <c:v>0.58672085362096704</c:v>
                </c:pt>
                <c:pt idx="588">
                  <c:v>0.58682245925631171</c:v>
                </c:pt>
                <c:pt idx="589">
                  <c:v>0.58696639832959652</c:v>
                </c:pt>
                <c:pt idx="590">
                  <c:v>0.58710515775976535</c:v>
                </c:pt>
                <c:pt idx="591">
                  <c:v>0.58721131074804667</c:v>
                </c:pt>
                <c:pt idx="592">
                  <c:v>0.58723545886042672</c:v>
                </c:pt>
                <c:pt idx="593">
                  <c:v>0.58739091705166468</c:v>
                </c:pt>
                <c:pt idx="594">
                  <c:v>0.58761371639786975</c:v>
                </c:pt>
                <c:pt idx="595">
                  <c:v>0.58794425451555388</c:v>
                </c:pt>
                <c:pt idx="596">
                  <c:v>0.58797498229879597</c:v>
                </c:pt>
                <c:pt idx="597">
                  <c:v>0.58832900348826189</c:v>
                </c:pt>
                <c:pt idx="598">
                  <c:v>0.58842612871137223</c:v>
                </c:pt>
                <c:pt idx="599">
                  <c:v>0.58914774443315709</c:v>
                </c:pt>
                <c:pt idx="600">
                  <c:v>0.58958394892712662</c:v>
                </c:pt>
                <c:pt idx="601">
                  <c:v>0.5896889430411506</c:v>
                </c:pt>
                <c:pt idx="602">
                  <c:v>0.58969597896195758</c:v>
                </c:pt>
                <c:pt idx="603">
                  <c:v>0.58985849787734157</c:v>
                </c:pt>
                <c:pt idx="604">
                  <c:v>0.59002274889192974</c:v>
                </c:pt>
                <c:pt idx="605">
                  <c:v>0.59014943389943353</c:v>
                </c:pt>
                <c:pt idx="606">
                  <c:v>0.59021299067065658</c:v>
                </c:pt>
                <c:pt idx="607">
                  <c:v>0.59029130937249985</c:v>
                </c:pt>
                <c:pt idx="608">
                  <c:v>0.59036563207636794</c:v>
                </c:pt>
                <c:pt idx="609">
                  <c:v>0.59048492474769232</c:v>
                </c:pt>
                <c:pt idx="610">
                  <c:v>0.59060418559375938</c:v>
                </c:pt>
                <c:pt idx="611">
                  <c:v>0.5909072548032247</c:v>
                </c:pt>
                <c:pt idx="612">
                  <c:v>0.59117027893982477</c:v>
                </c:pt>
                <c:pt idx="613">
                  <c:v>0.59143721628114532</c:v>
                </c:pt>
                <c:pt idx="614">
                  <c:v>0.59148301775807988</c:v>
                </c:pt>
                <c:pt idx="615">
                  <c:v>0.59163878230629929</c:v>
                </c:pt>
                <c:pt idx="616">
                  <c:v>0.59164472046434258</c:v>
                </c:pt>
                <c:pt idx="617">
                  <c:v>0.59184692134254535</c:v>
                </c:pt>
                <c:pt idx="618">
                  <c:v>0.59192411698158154</c:v>
                </c:pt>
                <c:pt idx="619">
                  <c:v>0.59199498504497738</c:v>
                </c:pt>
                <c:pt idx="620">
                  <c:v>0.59201086424586458</c:v>
                </c:pt>
                <c:pt idx="621">
                  <c:v>0.59205592564228104</c:v>
                </c:pt>
                <c:pt idx="622">
                  <c:v>0.59214064329933336</c:v>
                </c:pt>
                <c:pt idx="623">
                  <c:v>0.59234854551433802</c:v>
                </c:pt>
                <c:pt idx="624">
                  <c:v>0.59248838409912297</c:v>
                </c:pt>
                <c:pt idx="625">
                  <c:v>0.59250438903416724</c:v>
                </c:pt>
                <c:pt idx="626">
                  <c:v>0.59262234810316261</c:v>
                </c:pt>
                <c:pt idx="627">
                  <c:v>0.59268133524090538</c:v>
                </c:pt>
                <c:pt idx="628">
                  <c:v>0.59288410032391148</c:v>
                </c:pt>
                <c:pt idx="629">
                  <c:v>0.59332258149281891</c:v>
                </c:pt>
                <c:pt idx="630">
                  <c:v>0.59332545901991529</c:v>
                </c:pt>
                <c:pt idx="631">
                  <c:v>0.59350402819336523</c:v>
                </c:pt>
                <c:pt idx="632">
                  <c:v>0.59350418970878827</c:v>
                </c:pt>
                <c:pt idx="633">
                  <c:v>0.59362843643450069</c:v>
                </c:pt>
                <c:pt idx="634">
                  <c:v>0.59372416663575889</c:v>
                </c:pt>
                <c:pt idx="635">
                  <c:v>0.59385243324313775</c:v>
                </c:pt>
                <c:pt idx="636">
                  <c:v>0.59401042681626726</c:v>
                </c:pt>
                <c:pt idx="637">
                  <c:v>0.59414369103398679</c:v>
                </c:pt>
                <c:pt idx="638">
                  <c:v>0.5942787474534803</c:v>
                </c:pt>
                <c:pt idx="639">
                  <c:v>0.59446937967366675</c:v>
                </c:pt>
                <c:pt idx="640">
                  <c:v>0.59457361263907627</c:v>
                </c:pt>
                <c:pt idx="641">
                  <c:v>0.59459618181400375</c:v>
                </c:pt>
                <c:pt idx="642">
                  <c:v>0.59513620051983163</c:v>
                </c:pt>
                <c:pt idx="643">
                  <c:v>0.59543467302439756</c:v>
                </c:pt>
                <c:pt idx="644">
                  <c:v>0.59565442494957832</c:v>
                </c:pt>
                <c:pt idx="645">
                  <c:v>0.59576315177117101</c:v>
                </c:pt>
                <c:pt idx="646">
                  <c:v>0.59600767376232766</c:v>
                </c:pt>
                <c:pt idx="647">
                  <c:v>0.59608203550708649</c:v>
                </c:pt>
                <c:pt idx="648">
                  <c:v>0.59643440979611984</c:v>
                </c:pt>
                <c:pt idx="649">
                  <c:v>0.59644357376306778</c:v>
                </c:pt>
                <c:pt idx="650">
                  <c:v>0.59655693144065203</c:v>
                </c:pt>
                <c:pt idx="651">
                  <c:v>0.59676630438628686</c:v>
                </c:pt>
                <c:pt idx="652">
                  <c:v>0.59713712567166966</c:v>
                </c:pt>
                <c:pt idx="653">
                  <c:v>0.59717487860214369</c:v>
                </c:pt>
                <c:pt idx="654">
                  <c:v>0.59755739054868717</c:v>
                </c:pt>
                <c:pt idx="655">
                  <c:v>0.59771033013844466</c:v>
                </c:pt>
                <c:pt idx="656">
                  <c:v>0.59779354665217821</c:v>
                </c:pt>
                <c:pt idx="657">
                  <c:v>0.59786101891365107</c:v>
                </c:pt>
                <c:pt idx="658">
                  <c:v>0.59802415808739673</c:v>
                </c:pt>
                <c:pt idx="659">
                  <c:v>0.59814529818463791</c:v>
                </c:pt>
                <c:pt idx="660">
                  <c:v>0.59820641765801619</c:v>
                </c:pt>
                <c:pt idx="661">
                  <c:v>0.59824059739550106</c:v>
                </c:pt>
                <c:pt idx="662">
                  <c:v>0.59830096670569355</c:v>
                </c:pt>
                <c:pt idx="663">
                  <c:v>0.59840425531914865</c:v>
                </c:pt>
                <c:pt idx="664">
                  <c:v>0.59872598602713811</c:v>
                </c:pt>
                <c:pt idx="665">
                  <c:v>0.59874745513624272</c:v>
                </c:pt>
                <c:pt idx="666">
                  <c:v>0.59878168763897199</c:v>
                </c:pt>
                <c:pt idx="667">
                  <c:v>0.59917604089254972</c:v>
                </c:pt>
                <c:pt idx="668">
                  <c:v>0.5991956520680296</c:v>
                </c:pt>
                <c:pt idx="669">
                  <c:v>0.59926738798419621</c:v>
                </c:pt>
                <c:pt idx="670">
                  <c:v>0.59943112354055794</c:v>
                </c:pt>
                <c:pt idx="671">
                  <c:v>0.59953078623729772</c:v>
                </c:pt>
                <c:pt idx="672">
                  <c:v>0.59966581764559423</c:v>
                </c:pt>
                <c:pt idx="673">
                  <c:v>0.59970496566192855</c:v>
                </c:pt>
                <c:pt idx="674">
                  <c:v>0.600429082268783</c:v>
                </c:pt>
                <c:pt idx="675">
                  <c:v>0.60114228420146554</c:v>
                </c:pt>
                <c:pt idx="676">
                  <c:v>0.60144765984729354</c:v>
                </c:pt>
                <c:pt idx="677">
                  <c:v>0.60147950256217875</c:v>
                </c:pt>
                <c:pt idx="678">
                  <c:v>0.60156224237759548</c:v>
                </c:pt>
                <c:pt idx="679">
                  <c:v>0.60179153600846214</c:v>
                </c:pt>
                <c:pt idx="680">
                  <c:v>0.60192713038241397</c:v>
                </c:pt>
                <c:pt idx="681">
                  <c:v>0.60196158008658018</c:v>
                </c:pt>
                <c:pt idx="682">
                  <c:v>0.60206289462657714</c:v>
                </c:pt>
                <c:pt idx="683">
                  <c:v>0.60209265608505202</c:v>
                </c:pt>
                <c:pt idx="684">
                  <c:v>0.60249686340049569</c:v>
                </c:pt>
                <c:pt idx="685">
                  <c:v>0.60254391652002126</c:v>
                </c:pt>
                <c:pt idx="686">
                  <c:v>0.60268755619471104</c:v>
                </c:pt>
                <c:pt idx="687">
                  <c:v>0.60304004426416691</c:v>
                </c:pt>
                <c:pt idx="688">
                  <c:v>0.60310023193659434</c:v>
                </c:pt>
                <c:pt idx="689">
                  <c:v>0.60372284698666856</c:v>
                </c:pt>
                <c:pt idx="690">
                  <c:v>0.6040203079508093</c:v>
                </c:pt>
                <c:pt idx="691">
                  <c:v>0.60410962941027258</c:v>
                </c:pt>
                <c:pt idx="692">
                  <c:v>0.60411142676767715</c:v>
                </c:pt>
                <c:pt idx="693">
                  <c:v>0.60420713332214171</c:v>
                </c:pt>
                <c:pt idx="694">
                  <c:v>0.60434784324117774</c:v>
                </c:pt>
                <c:pt idx="695">
                  <c:v>0.60450439306006865</c:v>
                </c:pt>
                <c:pt idx="696">
                  <c:v>0.6046163462054609</c:v>
                </c:pt>
                <c:pt idx="697">
                  <c:v>0.6049107142857143</c:v>
                </c:pt>
                <c:pt idx="698">
                  <c:v>0.60502524970657612</c:v>
                </c:pt>
                <c:pt idx="699">
                  <c:v>0.60507721642932089</c:v>
                </c:pt>
                <c:pt idx="700">
                  <c:v>0.60534313929926864</c:v>
                </c:pt>
                <c:pt idx="701">
                  <c:v>0.60550903307431492</c:v>
                </c:pt>
                <c:pt idx="702">
                  <c:v>0.60560986105891135</c:v>
                </c:pt>
                <c:pt idx="703">
                  <c:v>0.60567646056470748</c:v>
                </c:pt>
                <c:pt idx="704">
                  <c:v>0.60568668916624713</c:v>
                </c:pt>
                <c:pt idx="705">
                  <c:v>0.60593230419946498</c:v>
                </c:pt>
                <c:pt idx="706">
                  <c:v>0.60603898899206665</c:v>
                </c:pt>
                <c:pt idx="707">
                  <c:v>0.60616315111271102</c:v>
                </c:pt>
                <c:pt idx="708">
                  <c:v>0.60617580514860459</c:v>
                </c:pt>
                <c:pt idx="709">
                  <c:v>0.60622799787885251</c:v>
                </c:pt>
                <c:pt idx="710">
                  <c:v>0.60624055669594257</c:v>
                </c:pt>
                <c:pt idx="711">
                  <c:v>0.60679862495191994</c:v>
                </c:pt>
                <c:pt idx="712">
                  <c:v>0.60683126782230024</c:v>
                </c:pt>
                <c:pt idx="713">
                  <c:v>0.60717519719305713</c:v>
                </c:pt>
                <c:pt idx="714">
                  <c:v>0.60726695228587058</c:v>
                </c:pt>
                <c:pt idx="715">
                  <c:v>0.60748059706299196</c:v>
                </c:pt>
                <c:pt idx="716">
                  <c:v>0.60753300802146692</c:v>
                </c:pt>
                <c:pt idx="717">
                  <c:v>0.60755495850999786</c:v>
                </c:pt>
                <c:pt idx="718">
                  <c:v>0.60777127852621693</c:v>
                </c:pt>
                <c:pt idx="719">
                  <c:v>0.60778138321562647</c:v>
                </c:pt>
                <c:pt idx="720">
                  <c:v>0.6077821207218439</c:v>
                </c:pt>
                <c:pt idx="721">
                  <c:v>0.60779177778010296</c:v>
                </c:pt>
                <c:pt idx="722">
                  <c:v>0.60786760617399127</c:v>
                </c:pt>
                <c:pt idx="723">
                  <c:v>0.60794439828476998</c:v>
                </c:pt>
                <c:pt idx="724">
                  <c:v>0.60804459509639497</c:v>
                </c:pt>
                <c:pt idx="725">
                  <c:v>0.60811583158696869</c:v>
                </c:pt>
                <c:pt idx="726">
                  <c:v>0.60825308659535826</c:v>
                </c:pt>
                <c:pt idx="727">
                  <c:v>0.6085062996837578</c:v>
                </c:pt>
                <c:pt idx="728">
                  <c:v>0.60860079411698487</c:v>
                </c:pt>
                <c:pt idx="729">
                  <c:v>0.60892089066324495</c:v>
                </c:pt>
                <c:pt idx="730">
                  <c:v>0.60897936089240234</c:v>
                </c:pt>
                <c:pt idx="731">
                  <c:v>0.6089985358039206</c:v>
                </c:pt>
                <c:pt idx="732">
                  <c:v>0.60917842264340605</c:v>
                </c:pt>
                <c:pt idx="733">
                  <c:v>0.60920837366755665</c:v>
                </c:pt>
                <c:pt idx="734">
                  <c:v>0.60952371621736168</c:v>
                </c:pt>
                <c:pt idx="735">
                  <c:v>0.60964302528188963</c:v>
                </c:pt>
                <c:pt idx="736">
                  <c:v>0.60964659446962555</c:v>
                </c:pt>
                <c:pt idx="737">
                  <c:v>0.60966637815721147</c:v>
                </c:pt>
                <c:pt idx="738">
                  <c:v>0.60973804362638906</c:v>
                </c:pt>
                <c:pt idx="739">
                  <c:v>0.60991806815680505</c:v>
                </c:pt>
                <c:pt idx="740">
                  <c:v>0.60991919128327043</c:v>
                </c:pt>
                <c:pt idx="741">
                  <c:v>0.60994280311705329</c:v>
                </c:pt>
                <c:pt idx="742">
                  <c:v>0.60995110266879626</c:v>
                </c:pt>
                <c:pt idx="743">
                  <c:v>0.61007078488456246</c:v>
                </c:pt>
                <c:pt idx="744">
                  <c:v>0.6101012319915059</c:v>
                </c:pt>
                <c:pt idx="745">
                  <c:v>0.61017754146783809</c:v>
                </c:pt>
                <c:pt idx="746">
                  <c:v>0.61047585290850526</c:v>
                </c:pt>
                <c:pt idx="747">
                  <c:v>0.61051352117326463</c:v>
                </c:pt>
                <c:pt idx="748">
                  <c:v>0.61058924492797051</c:v>
                </c:pt>
                <c:pt idx="749">
                  <c:v>0.61069223229898562</c:v>
                </c:pt>
                <c:pt idx="750">
                  <c:v>0.6107086437605741</c:v>
                </c:pt>
                <c:pt idx="751">
                  <c:v>0.6109229865022896</c:v>
                </c:pt>
                <c:pt idx="752">
                  <c:v>0.61103069371264662</c:v>
                </c:pt>
                <c:pt idx="753">
                  <c:v>0.61107438435332673</c:v>
                </c:pt>
                <c:pt idx="754">
                  <c:v>0.61122993581305218</c:v>
                </c:pt>
                <c:pt idx="755">
                  <c:v>0.61126913422358053</c:v>
                </c:pt>
                <c:pt idx="756">
                  <c:v>0.61143743067459855</c:v>
                </c:pt>
                <c:pt idx="757">
                  <c:v>0.61158219463144814</c:v>
                </c:pt>
                <c:pt idx="758">
                  <c:v>0.61167174160705517</c:v>
                </c:pt>
                <c:pt idx="759">
                  <c:v>0.61169007109918283</c:v>
                </c:pt>
                <c:pt idx="760">
                  <c:v>0.61170590368224242</c:v>
                </c:pt>
                <c:pt idx="761">
                  <c:v>0.61174692680456932</c:v>
                </c:pt>
                <c:pt idx="762">
                  <c:v>0.61180122036121787</c:v>
                </c:pt>
                <c:pt idx="763">
                  <c:v>0.61180692351153654</c:v>
                </c:pt>
                <c:pt idx="764">
                  <c:v>0.61192341202413914</c:v>
                </c:pt>
                <c:pt idx="765">
                  <c:v>0.6120317823197976</c:v>
                </c:pt>
                <c:pt idx="766">
                  <c:v>0.61211629562693393</c:v>
                </c:pt>
                <c:pt idx="767">
                  <c:v>0.61218517745808843</c:v>
                </c:pt>
                <c:pt idx="768">
                  <c:v>0.61225503814948123</c:v>
                </c:pt>
                <c:pt idx="769">
                  <c:v>0.61261143639660953</c:v>
                </c:pt>
                <c:pt idx="770">
                  <c:v>0.61265019130512666</c:v>
                </c:pt>
                <c:pt idx="771">
                  <c:v>0.61272565404414403</c:v>
                </c:pt>
                <c:pt idx="772">
                  <c:v>0.61292136383539009</c:v>
                </c:pt>
                <c:pt idx="773">
                  <c:v>0.61294609320467508</c:v>
                </c:pt>
                <c:pt idx="774">
                  <c:v>0.61299620274808464</c:v>
                </c:pt>
                <c:pt idx="775">
                  <c:v>0.61307033365122077</c:v>
                </c:pt>
                <c:pt idx="776">
                  <c:v>0.61321415158200787</c:v>
                </c:pt>
                <c:pt idx="777">
                  <c:v>0.61339336314064907</c:v>
                </c:pt>
                <c:pt idx="778">
                  <c:v>0.61342838837413893</c:v>
                </c:pt>
                <c:pt idx="779">
                  <c:v>0.6134528120890731</c:v>
                </c:pt>
                <c:pt idx="780">
                  <c:v>0.61352769044061195</c:v>
                </c:pt>
                <c:pt idx="781">
                  <c:v>0.61354461882874023</c:v>
                </c:pt>
                <c:pt idx="782">
                  <c:v>0.61361993651793589</c:v>
                </c:pt>
                <c:pt idx="783">
                  <c:v>0.61371066057457635</c:v>
                </c:pt>
                <c:pt idx="784">
                  <c:v>0.61383784712773759</c:v>
                </c:pt>
                <c:pt idx="785">
                  <c:v>0.61390770562068198</c:v>
                </c:pt>
                <c:pt idx="786">
                  <c:v>0.61396433776187176</c:v>
                </c:pt>
                <c:pt idx="787">
                  <c:v>0.61411282372746023</c:v>
                </c:pt>
                <c:pt idx="788">
                  <c:v>0.61439160068997922</c:v>
                </c:pt>
                <c:pt idx="789">
                  <c:v>0.6144993391150162</c:v>
                </c:pt>
                <c:pt idx="790">
                  <c:v>0.61460005047293254</c:v>
                </c:pt>
                <c:pt idx="791">
                  <c:v>0.61475201302583593</c:v>
                </c:pt>
                <c:pt idx="792">
                  <c:v>0.61487170905988064</c:v>
                </c:pt>
                <c:pt idx="793">
                  <c:v>0.61487774945718843</c:v>
                </c:pt>
                <c:pt idx="794">
                  <c:v>0.61492880508769576</c:v>
                </c:pt>
                <c:pt idx="795">
                  <c:v>0.61502743891860634</c:v>
                </c:pt>
                <c:pt idx="796">
                  <c:v>0.61508683431210087</c:v>
                </c:pt>
                <c:pt idx="797">
                  <c:v>0.61513558225616949</c:v>
                </c:pt>
                <c:pt idx="798">
                  <c:v>0.61523146897787728</c:v>
                </c:pt>
                <c:pt idx="799">
                  <c:v>0.61531818416095807</c:v>
                </c:pt>
                <c:pt idx="800">
                  <c:v>0.61538571326625291</c:v>
                </c:pt>
                <c:pt idx="801">
                  <c:v>0.61539693734584333</c:v>
                </c:pt>
                <c:pt idx="802">
                  <c:v>0.61543921403634982</c:v>
                </c:pt>
                <c:pt idx="803">
                  <c:v>0.61556575064700314</c:v>
                </c:pt>
                <c:pt idx="804">
                  <c:v>0.61561995325649699</c:v>
                </c:pt>
                <c:pt idx="805">
                  <c:v>0.61562869918145313</c:v>
                </c:pt>
                <c:pt idx="806">
                  <c:v>0.61587019672180554</c:v>
                </c:pt>
                <c:pt idx="807">
                  <c:v>0.61590398290409298</c:v>
                </c:pt>
                <c:pt idx="808">
                  <c:v>0.61596407728483193</c:v>
                </c:pt>
                <c:pt idx="809">
                  <c:v>0.61608964601483218</c:v>
                </c:pt>
                <c:pt idx="810">
                  <c:v>0.6161251688135323</c:v>
                </c:pt>
                <c:pt idx="811">
                  <c:v>0.61647092323060637</c:v>
                </c:pt>
                <c:pt idx="812">
                  <c:v>0.61651762663824894</c:v>
                </c:pt>
                <c:pt idx="813">
                  <c:v>0.6165373173938008</c:v>
                </c:pt>
                <c:pt idx="814">
                  <c:v>0.61666271731953481</c:v>
                </c:pt>
                <c:pt idx="815">
                  <c:v>0.61687413712671979</c:v>
                </c:pt>
                <c:pt idx="816">
                  <c:v>0.61720182414836144</c:v>
                </c:pt>
                <c:pt idx="817">
                  <c:v>0.61721869836248477</c:v>
                </c:pt>
                <c:pt idx="818">
                  <c:v>0.61731627091262309</c:v>
                </c:pt>
                <c:pt idx="819">
                  <c:v>0.61751543821199495</c:v>
                </c:pt>
                <c:pt idx="820">
                  <c:v>0.61759883605626897</c:v>
                </c:pt>
                <c:pt idx="821">
                  <c:v>0.61766443550124805</c:v>
                </c:pt>
                <c:pt idx="822">
                  <c:v>0.61790795341898253</c:v>
                </c:pt>
                <c:pt idx="823">
                  <c:v>0.61793714426527035</c:v>
                </c:pt>
                <c:pt idx="824">
                  <c:v>0.61803740321911194</c:v>
                </c:pt>
                <c:pt idx="825">
                  <c:v>0.61816637355445159</c:v>
                </c:pt>
                <c:pt idx="826">
                  <c:v>0.61824148715915506</c:v>
                </c:pt>
                <c:pt idx="827">
                  <c:v>0.61833436440834877</c:v>
                </c:pt>
                <c:pt idx="828">
                  <c:v>0.61841880317406761</c:v>
                </c:pt>
                <c:pt idx="829">
                  <c:v>0.61846455213715634</c:v>
                </c:pt>
                <c:pt idx="830">
                  <c:v>0.61852648913766861</c:v>
                </c:pt>
                <c:pt idx="831">
                  <c:v>0.61857309771982427</c:v>
                </c:pt>
                <c:pt idx="832">
                  <c:v>0.61861493554357638</c:v>
                </c:pt>
                <c:pt idx="833">
                  <c:v>0.61876168335849002</c:v>
                </c:pt>
                <c:pt idx="834">
                  <c:v>0.61890433005906642</c:v>
                </c:pt>
                <c:pt idx="835">
                  <c:v>0.61914379456860691</c:v>
                </c:pt>
                <c:pt idx="836">
                  <c:v>0.61920083481890531</c:v>
                </c:pt>
                <c:pt idx="837">
                  <c:v>0.61922973943021131</c:v>
                </c:pt>
                <c:pt idx="838">
                  <c:v>0.61934450121950679</c:v>
                </c:pt>
                <c:pt idx="839">
                  <c:v>0.61941725010233617</c:v>
                </c:pt>
                <c:pt idx="840">
                  <c:v>0.61942545826460516</c:v>
                </c:pt>
                <c:pt idx="841">
                  <c:v>0.61954302382109827</c:v>
                </c:pt>
                <c:pt idx="842">
                  <c:v>0.61959773635524262</c:v>
                </c:pt>
                <c:pt idx="843">
                  <c:v>0.61960855641943058</c:v>
                </c:pt>
                <c:pt idx="844">
                  <c:v>0.61978168309415282</c:v>
                </c:pt>
                <c:pt idx="845">
                  <c:v>0.61982371923802437</c:v>
                </c:pt>
                <c:pt idx="846">
                  <c:v>0.62000345767036469</c:v>
                </c:pt>
                <c:pt idx="847">
                  <c:v>0.62000650882759667</c:v>
                </c:pt>
                <c:pt idx="848">
                  <c:v>0.62001673081691377</c:v>
                </c:pt>
                <c:pt idx="849">
                  <c:v>0.62032479296269738</c:v>
                </c:pt>
                <c:pt idx="850">
                  <c:v>0.62036689394724154</c:v>
                </c:pt>
                <c:pt idx="851">
                  <c:v>0.62039510345192039</c:v>
                </c:pt>
                <c:pt idx="852">
                  <c:v>0.62061544879029307</c:v>
                </c:pt>
                <c:pt idx="853">
                  <c:v>0.62074573381710485</c:v>
                </c:pt>
                <c:pt idx="854">
                  <c:v>0.62076215158406955</c:v>
                </c:pt>
                <c:pt idx="855">
                  <c:v>0.620764673078953</c:v>
                </c:pt>
                <c:pt idx="856">
                  <c:v>0.6210457423851129</c:v>
                </c:pt>
                <c:pt idx="857">
                  <c:v>0.62131701655433658</c:v>
                </c:pt>
                <c:pt idx="858">
                  <c:v>0.62133010628222674</c:v>
                </c:pt>
                <c:pt idx="859">
                  <c:v>0.6213933341055129</c:v>
                </c:pt>
                <c:pt idx="860">
                  <c:v>0.62140844861114553</c:v>
                </c:pt>
                <c:pt idx="861">
                  <c:v>0.62144468565104505</c:v>
                </c:pt>
                <c:pt idx="862">
                  <c:v>0.62183160236871082</c:v>
                </c:pt>
                <c:pt idx="863">
                  <c:v>0.62209164853306009</c:v>
                </c:pt>
                <c:pt idx="864">
                  <c:v>0.62218625751284606</c:v>
                </c:pt>
                <c:pt idx="865">
                  <c:v>0.62219207870176241</c:v>
                </c:pt>
                <c:pt idx="866">
                  <c:v>0.62221524496206615</c:v>
                </c:pt>
                <c:pt idx="867">
                  <c:v>0.62222970264978006</c:v>
                </c:pt>
                <c:pt idx="868">
                  <c:v>0.62226553051780931</c:v>
                </c:pt>
                <c:pt idx="869">
                  <c:v>0.62231679696236886</c:v>
                </c:pt>
                <c:pt idx="870">
                  <c:v>0.62236769315876816</c:v>
                </c:pt>
                <c:pt idx="871">
                  <c:v>0.62243360893628219</c:v>
                </c:pt>
                <c:pt idx="872">
                  <c:v>0.62244943700755551</c:v>
                </c:pt>
                <c:pt idx="873">
                  <c:v>0.62258462378858193</c:v>
                </c:pt>
                <c:pt idx="874">
                  <c:v>0.62266029698692493</c:v>
                </c:pt>
                <c:pt idx="875">
                  <c:v>0.62268373722567694</c:v>
                </c:pt>
                <c:pt idx="876">
                  <c:v>0.62269810666855141</c:v>
                </c:pt>
                <c:pt idx="877">
                  <c:v>0.62271386076380264</c:v>
                </c:pt>
                <c:pt idx="878">
                  <c:v>0.6227201476397205</c:v>
                </c:pt>
                <c:pt idx="879">
                  <c:v>0.62293734899435105</c:v>
                </c:pt>
                <c:pt idx="880">
                  <c:v>0.62294373680970028</c:v>
                </c:pt>
                <c:pt idx="881">
                  <c:v>0.62300311911736783</c:v>
                </c:pt>
                <c:pt idx="882">
                  <c:v>0.62304872023783742</c:v>
                </c:pt>
                <c:pt idx="883">
                  <c:v>0.62325966603927896</c:v>
                </c:pt>
                <c:pt idx="884">
                  <c:v>0.62351287338843331</c:v>
                </c:pt>
                <c:pt idx="885">
                  <c:v>0.62351781714884069</c:v>
                </c:pt>
                <c:pt idx="886">
                  <c:v>0.62367062179467592</c:v>
                </c:pt>
                <c:pt idx="887">
                  <c:v>0.62385396108234215</c:v>
                </c:pt>
                <c:pt idx="888">
                  <c:v>0.6240095512293371</c:v>
                </c:pt>
                <c:pt idx="889">
                  <c:v>0.62416488893841249</c:v>
                </c:pt>
                <c:pt idx="890">
                  <c:v>0.62431388948470534</c:v>
                </c:pt>
                <c:pt idx="891">
                  <c:v>0.62432483837538144</c:v>
                </c:pt>
                <c:pt idx="892">
                  <c:v>0.62452318326039913</c:v>
                </c:pt>
                <c:pt idx="893">
                  <c:v>0.62463676828756187</c:v>
                </c:pt>
                <c:pt idx="894">
                  <c:v>0.62482959923043968</c:v>
                </c:pt>
                <c:pt idx="895">
                  <c:v>0.62483940430305995</c:v>
                </c:pt>
                <c:pt idx="896">
                  <c:v>0.62489696938146888</c:v>
                </c:pt>
                <c:pt idx="897">
                  <c:v>0.6249830287048177</c:v>
                </c:pt>
                <c:pt idx="898">
                  <c:v>0.62498610519295184</c:v>
                </c:pt>
                <c:pt idx="899">
                  <c:v>0.62508465069901697</c:v>
                </c:pt>
                <c:pt idx="900">
                  <c:v>0.62510307063945447</c:v>
                </c:pt>
                <c:pt idx="901">
                  <c:v>0.62511822573408649</c:v>
                </c:pt>
                <c:pt idx="902">
                  <c:v>0.62520682024573559</c:v>
                </c:pt>
                <c:pt idx="903">
                  <c:v>0.62524073795668822</c:v>
                </c:pt>
                <c:pt idx="904">
                  <c:v>0.62534217156730121</c:v>
                </c:pt>
                <c:pt idx="905">
                  <c:v>0.62562816129444576</c:v>
                </c:pt>
                <c:pt idx="906">
                  <c:v>0.62583684895726011</c:v>
                </c:pt>
                <c:pt idx="907">
                  <c:v>0.62591024803630924</c:v>
                </c:pt>
                <c:pt idx="908">
                  <c:v>0.62598335029668395</c:v>
                </c:pt>
                <c:pt idx="909">
                  <c:v>0.62605819331420887</c:v>
                </c:pt>
                <c:pt idx="910">
                  <c:v>0.62606392531551902</c:v>
                </c:pt>
                <c:pt idx="911">
                  <c:v>0.62616319752686789</c:v>
                </c:pt>
                <c:pt idx="912">
                  <c:v>0.62628229728104301</c:v>
                </c:pt>
                <c:pt idx="913">
                  <c:v>0.62629743032447127</c:v>
                </c:pt>
                <c:pt idx="914">
                  <c:v>0.62642197596454907</c:v>
                </c:pt>
                <c:pt idx="915">
                  <c:v>0.62645116475393758</c:v>
                </c:pt>
                <c:pt idx="916">
                  <c:v>0.62661156642594629</c:v>
                </c:pt>
                <c:pt idx="917">
                  <c:v>0.62671232876712302</c:v>
                </c:pt>
                <c:pt idx="918">
                  <c:v>0.62671733713497657</c:v>
                </c:pt>
                <c:pt idx="919">
                  <c:v>0.6268058858877058</c:v>
                </c:pt>
                <c:pt idx="920">
                  <c:v>0.62704590494476098</c:v>
                </c:pt>
                <c:pt idx="921">
                  <c:v>0.62727425389206137</c:v>
                </c:pt>
                <c:pt idx="922">
                  <c:v>0.62729806862680038</c:v>
                </c:pt>
                <c:pt idx="923">
                  <c:v>0.62734798915572343</c:v>
                </c:pt>
                <c:pt idx="924">
                  <c:v>0.62747880834300584</c:v>
                </c:pt>
                <c:pt idx="925">
                  <c:v>0.62748284554754996</c:v>
                </c:pt>
                <c:pt idx="926">
                  <c:v>0.62757008702357409</c:v>
                </c:pt>
                <c:pt idx="927">
                  <c:v>0.62758291577189174</c:v>
                </c:pt>
                <c:pt idx="928">
                  <c:v>0.62759700224694392</c:v>
                </c:pt>
                <c:pt idx="929">
                  <c:v>0.62761552617230121</c:v>
                </c:pt>
                <c:pt idx="930">
                  <c:v>0.62767215653123931</c:v>
                </c:pt>
                <c:pt idx="931">
                  <c:v>0.62796392349372565</c:v>
                </c:pt>
                <c:pt idx="932">
                  <c:v>0.62798194713088307</c:v>
                </c:pt>
                <c:pt idx="933">
                  <c:v>0.62798404217520321</c:v>
                </c:pt>
                <c:pt idx="934">
                  <c:v>0.62802172189207295</c:v>
                </c:pt>
                <c:pt idx="935">
                  <c:v>0.62815490990837575</c:v>
                </c:pt>
                <c:pt idx="936">
                  <c:v>0.62836062346181709</c:v>
                </c:pt>
                <c:pt idx="937">
                  <c:v>0.62854265458159142</c:v>
                </c:pt>
                <c:pt idx="938">
                  <c:v>0.62857944072131866</c:v>
                </c:pt>
                <c:pt idx="939">
                  <c:v>0.6287276251926297</c:v>
                </c:pt>
                <c:pt idx="940">
                  <c:v>0.62900025114145841</c:v>
                </c:pt>
                <c:pt idx="941">
                  <c:v>0.62906592619865775</c:v>
                </c:pt>
                <c:pt idx="942">
                  <c:v>0.62912936696506394</c:v>
                </c:pt>
                <c:pt idx="943">
                  <c:v>0.62933534021720705</c:v>
                </c:pt>
                <c:pt idx="944">
                  <c:v>0.62951889130343452</c:v>
                </c:pt>
                <c:pt idx="945">
                  <c:v>0.62958202802673457</c:v>
                </c:pt>
                <c:pt idx="946">
                  <c:v>0.62963220724777813</c:v>
                </c:pt>
                <c:pt idx="947">
                  <c:v>0.62970349516173485</c:v>
                </c:pt>
                <c:pt idx="948">
                  <c:v>0.62981691368788251</c:v>
                </c:pt>
                <c:pt idx="949">
                  <c:v>0.62994352524079056</c:v>
                </c:pt>
                <c:pt idx="950">
                  <c:v>0.63000428269112141</c:v>
                </c:pt>
                <c:pt idx="951">
                  <c:v>0.63008496342706377</c:v>
                </c:pt>
                <c:pt idx="952">
                  <c:v>0.63016630891248682</c:v>
                </c:pt>
                <c:pt idx="953">
                  <c:v>0.63032454361054735</c:v>
                </c:pt>
                <c:pt idx="954">
                  <c:v>0.63045601015525821</c:v>
                </c:pt>
                <c:pt idx="955">
                  <c:v>0.63045723332424664</c:v>
                </c:pt>
                <c:pt idx="956">
                  <c:v>0.63050707254528859</c:v>
                </c:pt>
                <c:pt idx="957">
                  <c:v>0.63051551882411994</c:v>
                </c:pt>
                <c:pt idx="958">
                  <c:v>0.63059533345036711</c:v>
                </c:pt>
                <c:pt idx="959">
                  <c:v>0.63065144581509458</c:v>
                </c:pt>
                <c:pt idx="960">
                  <c:v>0.63066021492953861</c:v>
                </c:pt>
                <c:pt idx="961">
                  <c:v>0.63080220042063773</c:v>
                </c:pt>
                <c:pt idx="962">
                  <c:v>0.63090662440950684</c:v>
                </c:pt>
                <c:pt idx="963">
                  <c:v>0.63091322055137866</c:v>
                </c:pt>
                <c:pt idx="964">
                  <c:v>0.63143668960689303</c:v>
                </c:pt>
                <c:pt idx="965">
                  <c:v>0.63150206140620369</c:v>
                </c:pt>
                <c:pt idx="966">
                  <c:v>0.63150875604146606</c:v>
                </c:pt>
                <c:pt idx="967">
                  <c:v>0.6316886066027303</c:v>
                </c:pt>
                <c:pt idx="968">
                  <c:v>0.6317078743739597</c:v>
                </c:pt>
                <c:pt idx="969">
                  <c:v>0.63189540294648427</c:v>
                </c:pt>
                <c:pt idx="970">
                  <c:v>0.6319105691056911</c:v>
                </c:pt>
                <c:pt idx="971">
                  <c:v>0.63233641434207855</c:v>
                </c:pt>
                <c:pt idx="972">
                  <c:v>0.63237706565879981</c:v>
                </c:pt>
                <c:pt idx="973">
                  <c:v>0.63281214414966491</c:v>
                </c:pt>
                <c:pt idx="974">
                  <c:v>0.63286234748883652</c:v>
                </c:pt>
                <c:pt idx="975">
                  <c:v>0.6329061868799305</c:v>
                </c:pt>
                <c:pt idx="976">
                  <c:v>0.63292706754608719</c:v>
                </c:pt>
                <c:pt idx="977">
                  <c:v>0.63293082254749056</c:v>
                </c:pt>
                <c:pt idx="978">
                  <c:v>0.63293407956166448</c:v>
                </c:pt>
                <c:pt idx="979">
                  <c:v>0.63293428284253994</c:v>
                </c:pt>
                <c:pt idx="980">
                  <c:v>0.63305588470622598</c:v>
                </c:pt>
                <c:pt idx="981">
                  <c:v>0.63315599027329805</c:v>
                </c:pt>
                <c:pt idx="982">
                  <c:v>0.63315754028545479</c:v>
                </c:pt>
                <c:pt idx="983">
                  <c:v>0.63322355289421073</c:v>
                </c:pt>
                <c:pt idx="984">
                  <c:v>0.6332378197693258</c:v>
                </c:pt>
                <c:pt idx="985">
                  <c:v>0.63351735539629972</c:v>
                </c:pt>
                <c:pt idx="986">
                  <c:v>0.63366680792026309</c:v>
                </c:pt>
                <c:pt idx="987">
                  <c:v>0.6337990168111971</c:v>
                </c:pt>
                <c:pt idx="988">
                  <c:v>0.63382210756828217</c:v>
                </c:pt>
                <c:pt idx="989">
                  <c:v>0.63383733434591982</c:v>
                </c:pt>
                <c:pt idx="990">
                  <c:v>0.6343650377671447</c:v>
                </c:pt>
                <c:pt idx="991">
                  <c:v>0.63445165540016146</c:v>
                </c:pt>
                <c:pt idx="992">
                  <c:v>0.63446109670463113</c:v>
                </c:pt>
                <c:pt idx="993">
                  <c:v>0.63452320840930221</c:v>
                </c:pt>
                <c:pt idx="994">
                  <c:v>0.63487050359045472</c:v>
                </c:pt>
                <c:pt idx="995">
                  <c:v>0.63498451961234581</c:v>
                </c:pt>
                <c:pt idx="996">
                  <c:v>0.63518284690204363</c:v>
                </c:pt>
                <c:pt idx="997">
                  <c:v>0.63525213515426804</c:v>
                </c:pt>
                <c:pt idx="998">
                  <c:v>0.6353454474742255</c:v>
                </c:pt>
                <c:pt idx="999">
                  <c:v>0.63539394397444149</c:v>
                </c:pt>
                <c:pt idx="1000">
                  <c:v>0.63546261255382974</c:v>
                </c:pt>
                <c:pt idx="1001">
                  <c:v>0.63546450774210528</c:v>
                </c:pt>
                <c:pt idx="1002">
                  <c:v>0.63547672619884732</c:v>
                </c:pt>
                <c:pt idx="1003">
                  <c:v>0.6355192169883862</c:v>
                </c:pt>
                <c:pt idx="1004">
                  <c:v>0.63552132401412664</c:v>
                </c:pt>
                <c:pt idx="1005">
                  <c:v>0.63559600534949889</c:v>
                </c:pt>
                <c:pt idx="1006">
                  <c:v>0.63560791513667902</c:v>
                </c:pt>
                <c:pt idx="1007">
                  <c:v>0.6356405268724864</c:v>
                </c:pt>
                <c:pt idx="1008">
                  <c:v>0.63572929581776449</c:v>
                </c:pt>
                <c:pt idx="1009">
                  <c:v>0.63575052795664355</c:v>
                </c:pt>
                <c:pt idx="1010">
                  <c:v>0.63595456502611469</c:v>
                </c:pt>
                <c:pt idx="1011">
                  <c:v>0.63620723420817049</c:v>
                </c:pt>
                <c:pt idx="1012">
                  <c:v>0.63667759562841475</c:v>
                </c:pt>
                <c:pt idx="1013">
                  <c:v>0.63704141923968982</c:v>
                </c:pt>
                <c:pt idx="1014">
                  <c:v>0.63742232046787062</c:v>
                </c:pt>
                <c:pt idx="1015">
                  <c:v>0.63755034938193378</c:v>
                </c:pt>
                <c:pt idx="1016">
                  <c:v>0.63774470641423442</c:v>
                </c:pt>
                <c:pt idx="1017">
                  <c:v>0.63789820621570215</c:v>
                </c:pt>
                <c:pt idx="1018">
                  <c:v>0.6378997479054328</c:v>
                </c:pt>
                <c:pt idx="1019">
                  <c:v>0.63805384335774606</c:v>
                </c:pt>
                <c:pt idx="1020">
                  <c:v>0.63811160868668126</c:v>
                </c:pt>
                <c:pt idx="1021">
                  <c:v>0.63835164835164837</c:v>
                </c:pt>
                <c:pt idx="1022">
                  <c:v>0.6384236644375364</c:v>
                </c:pt>
                <c:pt idx="1023">
                  <c:v>0.63860328316873727</c:v>
                </c:pt>
                <c:pt idx="1024">
                  <c:v>0.63861885353113546</c:v>
                </c:pt>
                <c:pt idx="1025">
                  <c:v>0.63867002420489449</c:v>
                </c:pt>
                <c:pt idx="1026">
                  <c:v>0.63872131791680398</c:v>
                </c:pt>
                <c:pt idx="1027">
                  <c:v>0.63875104619320378</c:v>
                </c:pt>
                <c:pt idx="1028">
                  <c:v>0.63884656055688871</c:v>
                </c:pt>
                <c:pt idx="1029">
                  <c:v>0.63908103195344756</c:v>
                </c:pt>
                <c:pt idx="1030">
                  <c:v>0.63912064329937557</c:v>
                </c:pt>
                <c:pt idx="1031">
                  <c:v>0.6391452276131675</c:v>
                </c:pt>
                <c:pt idx="1032">
                  <c:v>0.63929543504753505</c:v>
                </c:pt>
                <c:pt idx="1033">
                  <c:v>0.63931020317881659</c:v>
                </c:pt>
                <c:pt idx="1034">
                  <c:v>0.63939634440974547</c:v>
                </c:pt>
                <c:pt idx="1035">
                  <c:v>0.63953126542470451</c:v>
                </c:pt>
                <c:pt idx="1036">
                  <c:v>0.63966136495137227</c:v>
                </c:pt>
                <c:pt idx="1037">
                  <c:v>0.63972681800692588</c:v>
                </c:pt>
                <c:pt idx="1038">
                  <c:v>0.63973184331137534</c:v>
                </c:pt>
                <c:pt idx="1039">
                  <c:v>0.63992913814522445</c:v>
                </c:pt>
                <c:pt idx="1040">
                  <c:v>0.64017447685327988</c:v>
                </c:pt>
                <c:pt idx="1041">
                  <c:v>0.64033513920622909</c:v>
                </c:pt>
                <c:pt idx="1042">
                  <c:v>0.64034368879416748</c:v>
                </c:pt>
                <c:pt idx="1043">
                  <c:v>0.64034977997892695</c:v>
                </c:pt>
                <c:pt idx="1044">
                  <c:v>0.64038398312772438</c:v>
                </c:pt>
                <c:pt idx="1045">
                  <c:v>0.64040221704687783</c:v>
                </c:pt>
                <c:pt idx="1046">
                  <c:v>0.64048359538482214</c:v>
                </c:pt>
                <c:pt idx="1047">
                  <c:v>0.64051715890297156</c:v>
                </c:pt>
                <c:pt idx="1048">
                  <c:v>0.64058696883852595</c:v>
                </c:pt>
                <c:pt idx="1049">
                  <c:v>0.64059590906881569</c:v>
                </c:pt>
                <c:pt idx="1050">
                  <c:v>0.64086276461957703</c:v>
                </c:pt>
                <c:pt idx="1051">
                  <c:v>0.64089494473925857</c:v>
                </c:pt>
                <c:pt idx="1052">
                  <c:v>0.64094777098827138</c:v>
                </c:pt>
                <c:pt idx="1053">
                  <c:v>0.64108068514762195</c:v>
                </c:pt>
                <c:pt idx="1054">
                  <c:v>0.64108923250552119</c:v>
                </c:pt>
                <c:pt idx="1055">
                  <c:v>0.64151106972892802</c:v>
                </c:pt>
                <c:pt idx="1056">
                  <c:v>0.64173090955236212</c:v>
                </c:pt>
                <c:pt idx="1057">
                  <c:v>0.64188854489164127</c:v>
                </c:pt>
                <c:pt idx="1058">
                  <c:v>0.64208818923054778</c:v>
                </c:pt>
                <c:pt idx="1059">
                  <c:v>0.64210513818573567</c:v>
                </c:pt>
                <c:pt idx="1060">
                  <c:v>0.64211166507549322</c:v>
                </c:pt>
                <c:pt idx="1061">
                  <c:v>0.64225226451329931</c:v>
                </c:pt>
                <c:pt idx="1062">
                  <c:v>0.64231943212811538</c:v>
                </c:pt>
                <c:pt idx="1063">
                  <c:v>0.64246613135082586</c:v>
                </c:pt>
                <c:pt idx="1064">
                  <c:v>0.64251083484489135</c:v>
                </c:pt>
                <c:pt idx="1065">
                  <c:v>0.64279470107369907</c:v>
                </c:pt>
                <c:pt idx="1066">
                  <c:v>0.64279827191902383</c:v>
                </c:pt>
                <c:pt idx="1067">
                  <c:v>0.64283963763094054</c:v>
                </c:pt>
                <c:pt idx="1068">
                  <c:v>0.64298152150750343</c:v>
                </c:pt>
                <c:pt idx="1069">
                  <c:v>0.64299142488305583</c:v>
                </c:pt>
                <c:pt idx="1070">
                  <c:v>0.6430008364818679</c:v>
                </c:pt>
                <c:pt idx="1071">
                  <c:v>0.64306740170584575</c:v>
                </c:pt>
                <c:pt idx="1072">
                  <c:v>0.64308695313991582</c:v>
                </c:pt>
                <c:pt idx="1073">
                  <c:v>0.64311401648869049</c:v>
                </c:pt>
                <c:pt idx="1074">
                  <c:v>0.64338736555067377</c:v>
                </c:pt>
                <c:pt idx="1075">
                  <c:v>0.64351262123879371</c:v>
                </c:pt>
                <c:pt idx="1076">
                  <c:v>0.64359698681732624</c:v>
                </c:pt>
                <c:pt idx="1077">
                  <c:v>0.64363428695429237</c:v>
                </c:pt>
                <c:pt idx="1078">
                  <c:v>0.64364165184074318</c:v>
                </c:pt>
                <c:pt idx="1079">
                  <c:v>0.64374772010887371</c:v>
                </c:pt>
                <c:pt idx="1080">
                  <c:v>0.64378793083705477</c:v>
                </c:pt>
                <c:pt idx="1081">
                  <c:v>0.64381831717957438</c:v>
                </c:pt>
                <c:pt idx="1082">
                  <c:v>0.64407551477606251</c:v>
                </c:pt>
                <c:pt idx="1083">
                  <c:v>0.64410299003322324</c:v>
                </c:pt>
                <c:pt idx="1084">
                  <c:v>0.64411255130497524</c:v>
                </c:pt>
                <c:pt idx="1085">
                  <c:v>0.64411867112843346</c:v>
                </c:pt>
                <c:pt idx="1086">
                  <c:v>0.64419599099778013</c:v>
                </c:pt>
                <c:pt idx="1087">
                  <c:v>0.64424174418956714</c:v>
                </c:pt>
                <c:pt idx="1088">
                  <c:v>0.64444080579155849</c:v>
                </c:pt>
                <c:pt idx="1089">
                  <c:v>0.64477241098695115</c:v>
                </c:pt>
                <c:pt idx="1090">
                  <c:v>0.64508074152126993</c:v>
                </c:pt>
                <c:pt idx="1091">
                  <c:v>0.64508225411270581</c:v>
                </c:pt>
                <c:pt idx="1092">
                  <c:v>0.64522785415431183</c:v>
                </c:pt>
                <c:pt idx="1093">
                  <c:v>0.64528459413167139</c:v>
                </c:pt>
                <c:pt idx="1094">
                  <c:v>0.64536141015626658</c:v>
                </c:pt>
                <c:pt idx="1095">
                  <c:v>0.6453730961865255</c:v>
                </c:pt>
                <c:pt idx="1096">
                  <c:v>0.64554173982632834</c:v>
                </c:pt>
                <c:pt idx="1097">
                  <c:v>0.64567673491895661</c:v>
                </c:pt>
                <c:pt idx="1098">
                  <c:v>0.64583234670408418</c:v>
                </c:pt>
                <c:pt idx="1099">
                  <c:v>0.64598272112120136</c:v>
                </c:pt>
                <c:pt idx="1100">
                  <c:v>0.64598997493734289</c:v>
                </c:pt>
                <c:pt idx="1101">
                  <c:v>0.6461297140866491</c:v>
                </c:pt>
                <c:pt idx="1102">
                  <c:v>0.64613685456609016</c:v>
                </c:pt>
                <c:pt idx="1103">
                  <c:v>0.64622183799037825</c:v>
                </c:pt>
                <c:pt idx="1104">
                  <c:v>0.64639969779409578</c:v>
                </c:pt>
                <c:pt idx="1105">
                  <c:v>0.64641967263711286</c:v>
                </c:pt>
                <c:pt idx="1106">
                  <c:v>0.6464202858091751</c:v>
                </c:pt>
                <c:pt idx="1107">
                  <c:v>0.64667618946222805</c:v>
                </c:pt>
                <c:pt idx="1108">
                  <c:v>0.64678957871802956</c:v>
                </c:pt>
                <c:pt idx="1109">
                  <c:v>0.64702434449611224</c:v>
                </c:pt>
                <c:pt idx="1110">
                  <c:v>0.64705519446349624</c:v>
                </c:pt>
                <c:pt idx="1111">
                  <c:v>0.64722493052108143</c:v>
                </c:pt>
                <c:pt idx="1112">
                  <c:v>0.64729275289978128</c:v>
                </c:pt>
                <c:pt idx="1113">
                  <c:v>0.64745697694133619</c:v>
                </c:pt>
                <c:pt idx="1114">
                  <c:v>0.64748498813014865</c:v>
                </c:pt>
                <c:pt idx="1115">
                  <c:v>0.64750663502152639</c:v>
                </c:pt>
                <c:pt idx="1116">
                  <c:v>0.64780802644020274</c:v>
                </c:pt>
                <c:pt idx="1117">
                  <c:v>0.64787679795239717</c:v>
                </c:pt>
                <c:pt idx="1118">
                  <c:v>0.64791878511356249</c:v>
                </c:pt>
                <c:pt idx="1119">
                  <c:v>0.64796387876792727</c:v>
                </c:pt>
                <c:pt idx="1120">
                  <c:v>0.6481612114371702</c:v>
                </c:pt>
                <c:pt idx="1121">
                  <c:v>0.64817062999277208</c:v>
                </c:pt>
                <c:pt idx="1122">
                  <c:v>0.64828697114530498</c:v>
                </c:pt>
                <c:pt idx="1123">
                  <c:v>0.64832202058068911</c:v>
                </c:pt>
                <c:pt idx="1124">
                  <c:v>0.64837046175449542</c:v>
                </c:pt>
                <c:pt idx="1125">
                  <c:v>0.64844535535595804</c:v>
                </c:pt>
                <c:pt idx="1126">
                  <c:v>0.64846388160007118</c:v>
                </c:pt>
                <c:pt idx="1127">
                  <c:v>0.64849581841286874</c:v>
                </c:pt>
                <c:pt idx="1128">
                  <c:v>0.64853190511085312</c:v>
                </c:pt>
                <c:pt idx="1129">
                  <c:v>0.64859695937391681</c:v>
                </c:pt>
                <c:pt idx="1130">
                  <c:v>0.64865178595988493</c:v>
                </c:pt>
                <c:pt idx="1131">
                  <c:v>0.64868655196576075</c:v>
                </c:pt>
                <c:pt idx="1132">
                  <c:v>0.64876650412578363</c:v>
                </c:pt>
                <c:pt idx="1133">
                  <c:v>0.6487833178592739</c:v>
                </c:pt>
                <c:pt idx="1134">
                  <c:v>0.64878993602361901</c:v>
                </c:pt>
                <c:pt idx="1135">
                  <c:v>0.64884430011222338</c:v>
                </c:pt>
                <c:pt idx="1136">
                  <c:v>0.64886526382295295</c:v>
                </c:pt>
                <c:pt idx="1137">
                  <c:v>0.64887026247745427</c:v>
                </c:pt>
                <c:pt idx="1138">
                  <c:v>0.64891445012248972</c:v>
                </c:pt>
                <c:pt idx="1139">
                  <c:v>0.64915117088089469</c:v>
                </c:pt>
                <c:pt idx="1140">
                  <c:v>0.64920622791097515</c:v>
                </c:pt>
                <c:pt idx="1141">
                  <c:v>0.64923562446892702</c:v>
                </c:pt>
                <c:pt idx="1142">
                  <c:v>0.64953118466003379</c:v>
                </c:pt>
                <c:pt idx="1143">
                  <c:v>0.64961413990540295</c:v>
                </c:pt>
                <c:pt idx="1144">
                  <c:v>0.64964785444911899</c:v>
                </c:pt>
                <c:pt idx="1145">
                  <c:v>0.64975588609886192</c:v>
                </c:pt>
                <c:pt idx="1146">
                  <c:v>0.64992105933282407</c:v>
                </c:pt>
                <c:pt idx="1147">
                  <c:v>0.65000216690984181</c:v>
                </c:pt>
                <c:pt idx="1148">
                  <c:v>0.65001555312473547</c:v>
                </c:pt>
                <c:pt idx="1149">
                  <c:v>0.65009499580260499</c:v>
                </c:pt>
                <c:pt idx="1150">
                  <c:v>0.65011492539998572</c:v>
                </c:pt>
                <c:pt idx="1151">
                  <c:v>0.65016803146370716</c:v>
                </c:pt>
                <c:pt idx="1152">
                  <c:v>0.65038700418547346</c:v>
                </c:pt>
                <c:pt idx="1153">
                  <c:v>0.65059205413894516</c:v>
                </c:pt>
                <c:pt idx="1154">
                  <c:v>0.65062767462158644</c:v>
                </c:pt>
                <c:pt idx="1155">
                  <c:v>0.65072267173157539</c:v>
                </c:pt>
                <c:pt idx="1156">
                  <c:v>0.65092383347293903</c:v>
                </c:pt>
                <c:pt idx="1157">
                  <c:v>0.6510242883337839</c:v>
                </c:pt>
                <c:pt idx="1158">
                  <c:v>0.65108542329310737</c:v>
                </c:pt>
                <c:pt idx="1159">
                  <c:v>0.65114463176575021</c:v>
                </c:pt>
                <c:pt idx="1160">
                  <c:v>0.65123693453681408</c:v>
                </c:pt>
                <c:pt idx="1161">
                  <c:v>0.65123974155889652</c:v>
                </c:pt>
                <c:pt idx="1162">
                  <c:v>0.65130551568001227</c:v>
                </c:pt>
                <c:pt idx="1163">
                  <c:v>0.65137305083007202</c:v>
                </c:pt>
                <c:pt idx="1164">
                  <c:v>0.65147575874885078</c:v>
                </c:pt>
                <c:pt idx="1165">
                  <c:v>0.65148967509517797</c:v>
                </c:pt>
                <c:pt idx="1166">
                  <c:v>0.65156217844109743</c:v>
                </c:pt>
                <c:pt idx="1167">
                  <c:v>0.65182317616246832</c:v>
                </c:pt>
                <c:pt idx="1168">
                  <c:v>0.65192934350659704</c:v>
                </c:pt>
                <c:pt idx="1169">
                  <c:v>0.65195168863494868</c:v>
                </c:pt>
                <c:pt idx="1170">
                  <c:v>0.65213048916366301</c:v>
                </c:pt>
                <c:pt idx="1171">
                  <c:v>0.65220427100877176</c:v>
                </c:pt>
                <c:pt idx="1172">
                  <c:v>0.65226567422021842</c:v>
                </c:pt>
                <c:pt idx="1173">
                  <c:v>0.65231580297353564</c:v>
                </c:pt>
                <c:pt idx="1174">
                  <c:v>0.65241463902286678</c:v>
                </c:pt>
                <c:pt idx="1175">
                  <c:v>0.65244534944791122</c:v>
                </c:pt>
                <c:pt idx="1176">
                  <c:v>0.65269143017205233</c:v>
                </c:pt>
                <c:pt idx="1177">
                  <c:v>0.65269640821815555</c:v>
                </c:pt>
                <c:pt idx="1178">
                  <c:v>0.65286217708593508</c:v>
                </c:pt>
                <c:pt idx="1179">
                  <c:v>0.65295327091279465</c:v>
                </c:pt>
                <c:pt idx="1180">
                  <c:v>0.65302173732983726</c:v>
                </c:pt>
                <c:pt idx="1181">
                  <c:v>0.65302622612243766</c:v>
                </c:pt>
                <c:pt idx="1182">
                  <c:v>0.65307830067220107</c:v>
                </c:pt>
                <c:pt idx="1183">
                  <c:v>0.65314171811478772</c:v>
                </c:pt>
                <c:pt idx="1184">
                  <c:v>0.6532313958819822</c:v>
                </c:pt>
                <c:pt idx="1185">
                  <c:v>0.65347800253786148</c:v>
                </c:pt>
                <c:pt idx="1186">
                  <c:v>0.65374135090793772</c:v>
                </c:pt>
                <c:pt idx="1187">
                  <c:v>0.65378537004875248</c:v>
                </c:pt>
                <c:pt idx="1188">
                  <c:v>0.653811869227236</c:v>
                </c:pt>
                <c:pt idx="1189">
                  <c:v>0.65395317787648177</c:v>
                </c:pt>
                <c:pt idx="1190">
                  <c:v>0.65400222235450545</c:v>
                </c:pt>
                <c:pt idx="1191">
                  <c:v>0.65405270166220231</c:v>
                </c:pt>
                <c:pt idx="1192">
                  <c:v>0.65433413018576636</c:v>
                </c:pt>
                <c:pt idx="1193">
                  <c:v>0.65435389692815449</c:v>
                </c:pt>
                <c:pt idx="1194">
                  <c:v>0.65440291384501148</c:v>
                </c:pt>
                <c:pt idx="1195">
                  <c:v>0.65447778262948808</c:v>
                </c:pt>
                <c:pt idx="1196">
                  <c:v>0.65448477562250085</c:v>
                </c:pt>
                <c:pt idx="1197">
                  <c:v>0.65452256570538969</c:v>
                </c:pt>
                <c:pt idx="1198">
                  <c:v>0.65458087350078342</c:v>
                </c:pt>
                <c:pt idx="1199">
                  <c:v>0.65474733596408563</c:v>
                </c:pt>
                <c:pt idx="1200">
                  <c:v>0.65487031290277475</c:v>
                </c:pt>
                <c:pt idx="1201">
                  <c:v>0.6550419973572803</c:v>
                </c:pt>
                <c:pt idx="1202">
                  <c:v>0.65509196074608411</c:v>
                </c:pt>
                <c:pt idx="1203">
                  <c:v>0.65513585363366778</c:v>
                </c:pt>
                <c:pt idx="1204">
                  <c:v>0.65526677164587033</c:v>
                </c:pt>
                <c:pt idx="1205">
                  <c:v>0.65538824108340332</c:v>
                </c:pt>
                <c:pt idx="1206">
                  <c:v>0.65540784952070863</c:v>
                </c:pt>
                <c:pt idx="1207">
                  <c:v>0.65561783706961796</c:v>
                </c:pt>
                <c:pt idx="1208">
                  <c:v>0.65578096285936871</c:v>
                </c:pt>
                <c:pt idx="1209">
                  <c:v>0.65582859330640242</c:v>
                </c:pt>
                <c:pt idx="1210">
                  <c:v>0.65589221302779455</c:v>
                </c:pt>
                <c:pt idx="1211">
                  <c:v>0.65591940541202454</c:v>
                </c:pt>
                <c:pt idx="1212">
                  <c:v>0.65600547581224822</c:v>
                </c:pt>
                <c:pt idx="1213">
                  <c:v>0.65601546756712537</c:v>
                </c:pt>
                <c:pt idx="1214">
                  <c:v>0.65604890854734854</c:v>
                </c:pt>
                <c:pt idx="1215">
                  <c:v>0.65608498843222951</c:v>
                </c:pt>
                <c:pt idx="1216">
                  <c:v>0.6561640929382917</c:v>
                </c:pt>
                <c:pt idx="1217">
                  <c:v>0.65618370542479021</c:v>
                </c:pt>
                <c:pt idx="1218">
                  <c:v>0.65628190001805042</c:v>
                </c:pt>
                <c:pt idx="1219">
                  <c:v>0.65630469015071757</c:v>
                </c:pt>
                <c:pt idx="1220">
                  <c:v>0.65641397746233232</c:v>
                </c:pt>
                <c:pt idx="1221">
                  <c:v>0.65642243328810568</c:v>
                </c:pt>
                <c:pt idx="1222">
                  <c:v>0.65656291823110413</c:v>
                </c:pt>
                <c:pt idx="1223">
                  <c:v>0.65667046509982518</c:v>
                </c:pt>
                <c:pt idx="1224">
                  <c:v>0.65698464150652269</c:v>
                </c:pt>
                <c:pt idx="1225">
                  <c:v>0.65730258955739274</c:v>
                </c:pt>
                <c:pt idx="1226">
                  <c:v>0.65739647281895019</c:v>
                </c:pt>
                <c:pt idx="1227">
                  <c:v>0.65740273361422119</c:v>
                </c:pt>
                <c:pt idx="1228">
                  <c:v>0.6575318850472156</c:v>
                </c:pt>
                <c:pt idx="1229">
                  <c:v>0.65766256254316624</c:v>
                </c:pt>
                <c:pt idx="1230">
                  <c:v>0.65774413363635587</c:v>
                </c:pt>
                <c:pt idx="1231">
                  <c:v>0.65787413809121531</c:v>
                </c:pt>
                <c:pt idx="1232">
                  <c:v>0.65787705157922916</c:v>
                </c:pt>
                <c:pt idx="1233">
                  <c:v>0.65790924531154071</c:v>
                </c:pt>
                <c:pt idx="1234">
                  <c:v>0.65793923744761185</c:v>
                </c:pt>
                <c:pt idx="1235">
                  <c:v>0.65795446122011902</c:v>
                </c:pt>
                <c:pt idx="1236">
                  <c:v>0.65805801704626921</c:v>
                </c:pt>
                <c:pt idx="1237">
                  <c:v>0.65809121564725159</c:v>
                </c:pt>
                <c:pt idx="1238">
                  <c:v>0.65811164119565568</c:v>
                </c:pt>
                <c:pt idx="1239">
                  <c:v>0.6581830432465835</c:v>
                </c:pt>
                <c:pt idx="1240">
                  <c:v>0.65829203602191211</c:v>
                </c:pt>
                <c:pt idx="1241">
                  <c:v>0.65841214048962382</c:v>
                </c:pt>
                <c:pt idx="1242">
                  <c:v>0.6584685931297789</c:v>
                </c:pt>
                <c:pt idx="1243">
                  <c:v>0.65850401671297221</c:v>
                </c:pt>
                <c:pt idx="1244">
                  <c:v>0.65873787964635799</c:v>
                </c:pt>
                <c:pt idx="1245">
                  <c:v>0.65875330500145324</c:v>
                </c:pt>
                <c:pt idx="1246">
                  <c:v>0.65880818899394811</c:v>
                </c:pt>
                <c:pt idx="1247">
                  <c:v>0.65898598645882567</c:v>
                </c:pt>
                <c:pt idx="1248">
                  <c:v>0.65904442350561909</c:v>
                </c:pt>
                <c:pt idx="1249">
                  <c:v>0.65904877574370269</c:v>
                </c:pt>
                <c:pt idx="1250">
                  <c:v>0.65915235388208504</c:v>
                </c:pt>
                <c:pt idx="1251">
                  <c:v>0.65924825611103766</c:v>
                </c:pt>
                <c:pt idx="1252">
                  <c:v>0.65959815159947999</c:v>
                </c:pt>
                <c:pt idx="1253">
                  <c:v>0.65967837259718043</c:v>
                </c:pt>
                <c:pt idx="1254">
                  <c:v>0.65974376477002128</c:v>
                </c:pt>
                <c:pt idx="1255">
                  <c:v>0.65992985853207065</c:v>
                </c:pt>
                <c:pt idx="1256">
                  <c:v>0.65994441712140028</c:v>
                </c:pt>
                <c:pt idx="1257">
                  <c:v>0.65999358322549484</c:v>
                </c:pt>
                <c:pt idx="1258">
                  <c:v>0.66015090389741748</c:v>
                </c:pt>
                <c:pt idx="1259">
                  <c:v>0.66016198580745855</c:v>
                </c:pt>
                <c:pt idx="1260">
                  <c:v>0.66024505331425032</c:v>
                </c:pt>
                <c:pt idx="1261">
                  <c:v>0.66024759868309579</c:v>
                </c:pt>
                <c:pt idx="1262">
                  <c:v>0.6602798742106144</c:v>
                </c:pt>
                <c:pt idx="1263">
                  <c:v>0.66030040246459365</c:v>
                </c:pt>
                <c:pt idx="1264">
                  <c:v>0.66043678821238427</c:v>
                </c:pt>
                <c:pt idx="1265">
                  <c:v>0.66044063170208611</c:v>
                </c:pt>
                <c:pt idx="1266">
                  <c:v>0.66053491863244462</c:v>
                </c:pt>
                <c:pt idx="1267">
                  <c:v>0.66069732588818342</c:v>
                </c:pt>
                <c:pt idx="1268">
                  <c:v>0.66088404626096298</c:v>
                </c:pt>
                <c:pt idx="1269">
                  <c:v>0.66102311322172391</c:v>
                </c:pt>
                <c:pt idx="1270">
                  <c:v>0.66104818382868447</c:v>
                </c:pt>
                <c:pt idx="1271">
                  <c:v>0.66105771518186918</c:v>
                </c:pt>
                <c:pt idx="1272">
                  <c:v>0.66106461675541506</c:v>
                </c:pt>
                <c:pt idx="1273">
                  <c:v>0.66116761274045943</c:v>
                </c:pt>
                <c:pt idx="1274">
                  <c:v>0.66122991045173241</c:v>
                </c:pt>
                <c:pt idx="1275">
                  <c:v>0.66138531385774935</c:v>
                </c:pt>
                <c:pt idx="1276">
                  <c:v>0.66196550975449797</c:v>
                </c:pt>
                <c:pt idx="1277">
                  <c:v>0.66207725235937598</c:v>
                </c:pt>
                <c:pt idx="1278">
                  <c:v>0.66211419250483849</c:v>
                </c:pt>
                <c:pt idx="1279">
                  <c:v>0.66225090233080641</c:v>
                </c:pt>
                <c:pt idx="1280">
                  <c:v>0.66254494658147189</c:v>
                </c:pt>
                <c:pt idx="1281">
                  <c:v>0.66256875318612241</c:v>
                </c:pt>
                <c:pt idx="1282">
                  <c:v>0.66272788621423362</c:v>
                </c:pt>
                <c:pt idx="1283">
                  <c:v>0.66300107613666903</c:v>
                </c:pt>
                <c:pt idx="1284">
                  <c:v>0.66305511005229611</c:v>
                </c:pt>
                <c:pt idx="1285">
                  <c:v>0.66305986711194775</c:v>
                </c:pt>
                <c:pt idx="1286">
                  <c:v>0.6632709255289857</c:v>
                </c:pt>
                <c:pt idx="1287">
                  <c:v>0.66333098662375567</c:v>
                </c:pt>
                <c:pt idx="1288">
                  <c:v>0.66340100230629162</c:v>
                </c:pt>
                <c:pt idx="1289">
                  <c:v>0.66346072111638421</c:v>
                </c:pt>
                <c:pt idx="1290">
                  <c:v>0.66358402595574029</c:v>
                </c:pt>
                <c:pt idx="1291">
                  <c:v>0.66380102960760701</c:v>
                </c:pt>
                <c:pt idx="1292">
                  <c:v>0.66381452970717125</c:v>
                </c:pt>
                <c:pt idx="1293">
                  <c:v>0.66397203113880943</c:v>
                </c:pt>
                <c:pt idx="1294">
                  <c:v>0.66416345442621239</c:v>
                </c:pt>
                <c:pt idx="1295">
                  <c:v>0.664338776514806</c:v>
                </c:pt>
                <c:pt idx="1296">
                  <c:v>0.66434624886637217</c:v>
                </c:pt>
                <c:pt idx="1297">
                  <c:v>0.66435579771186948</c:v>
                </c:pt>
                <c:pt idx="1298">
                  <c:v>0.66439525862882143</c:v>
                </c:pt>
                <c:pt idx="1299">
                  <c:v>0.6644171779141087</c:v>
                </c:pt>
                <c:pt idx="1300">
                  <c:v>0.66443094201582875</c:v>
                </c:pt>
                <c:pt idx="1301">
                  <c:v>0.66450806618102398</c:v>
                </c:pt>
                <c:pt idx="1302">
                  <c:v>0.66454294584966134</c:v>
                </c:pt>
                <c:pt idx="1303">
                  <c:v>0.66458365828642141</c:v>
                </c:pt>
                <c:pt idx="1304">
                  <c:v>0.66467453388430309</c:v>
                </c:pt>
                <c:pt idx="1305">
                  <c:v>0.66469696969697001</c:v>
                </c:pt>
                <c:pt idx="1306">
                  <c:v>0.66476626904069414</c:v>
                </c:pt>
                <c:pt idx="1307">
                  <c:v>0.66478366016508084</c:v>
                </c:pt>
                <c:pt idx="1308">
                  <c:v>0.66502060923930151</c:v>
                </c:pt>
                <c:pt idx="1309">
                  <c:v>0.66529010116122955</c:v>
                </c:pt>
                <c:pt idx="1310">
                  <c:v>0.6652995902263461</c:v>
                </c:pt>
                <c:pt idx="1311">
                  <c:v>0.66531561511079196</c:v>
                </c:pt>
                <c:pt idx="1312">
                  <c:v>0.66575252164961474</c:v>
                </c:pt>
                <c:pt idx="1313">
                  <c:v>0.66600480369283921</c:v>
                </c:pt>
                <c:pt idx="1314">
                  <c:v>0.66606154647453386</c:v>
                </c:pt>
                <c:pt idx="1315">
                  <c:v>0.66622810114758002</c:v>
                </c:pt>
                <c:pt idx="1316">
                  <c:v>0.66631038248711827</c:v>
                </c:pt>
                <c:pt idx="1317">
                  <c:v>0.66637962122061833</c:v>
                </c:pt>
                <c:pt idx="1318">
                  <c:v>0.66651801921595499</c:v>
                </c:pt>
                <c:pt idx="1319">
                  <c:v>0.66687282253490698</c:v>
                </c:pt>
                <c:pt idx="1320">
                  <c:v>0.667011159906443</c:v>
                </c:pt>
                <c:pt idx="1321">
                  <c:v>0.66722784057108897</c:v>
                </c:pt>
                <c:pt idx="1322">
                  <c:v>0.66724926271465657</c:v>
                </c:pt>
                <c:pt idx="1323">
                  <c:v>0.66728045325779017</c:v>
                </c:pt>
                <c:pt idx="1324">
                  <c:v>0.66733452593917719</c:v>
                </c:pt>
                <c:pt idx="1325">
                  <c:v>0.66743648960739044</c:v>
                </c:pt>
                <c:pt idx="1326">
                  <c:v>0.66757142857142737</c:v>
                </c:pt>
                <c:pt idx="1327">
                  <c:v>0.66758375726197328</c:v>
                </c:pt>
                <c:pt idx="1328">
                  <c:v>0.66758993309186021</c:v>
                </c:pt>
                <c:pt idx="1329">
                  <c:v>0.66768945035875304</c:v>
                </c:pt>
                <c:pt idx="1330">
                  <c:v>0.66781837237050268</c:v>
                </c:pt>
                <c:pt idx="1331">
                  <c:v>0.66794063600632936</c:v>
                </c:pt>
                <c:pt idx="1332">
                  <c:v>0.66825961244904053</c:v>
                </c:pt>
                <c:pt idx="1333">
                  <c:v>0.66831483314216367</c:v>
                </c:pt>
                <c:pt idx="1334">
                  <c:v>0.66882397172546704</c:v>
                </c:pt>
                <c:pt idx="1335">
                  <c:v>0.66884041960970186</c:v>
                </c:pt>
                <c:pt idx="1336">
                  <c:v>0.66906552094522043</c:v>
                </c:pt>
                <c:pt idx="1337">
                  <c:v>0.66908480702207151</c:v>
                </c:pt>
                <c:pt idx="1338">
                  <c:v>0.66926323915014541</c:v>
                </c:pt>
                <c:pt idx="1339">
                  <c:v>0.66929165086043418</c:v>
                </c:pt>
                <c:pt idx="1340">
                  <c:v>0.66943347416326549</c:v>
                </c:pt>
                <c:pt idx="1341">
                  <c:v>0.66955386892733992</c:v>
                </c:pt>
                <c:pt idx="1342">
                  <c:v>0.6696013666151629</c:v>
                </c:pt>
                <c:pt idx="1343">
                  <c:v>0.66960169338392816</c:v>
                </c:pt>
                <c:pt idx="1344">
                  <c:v>0.669636203636092</c:v>
                </c:pt>
                <c:pt idx="1345">
                  <c:v>0.66967054263565884</c:v>
                </c:pt>
                <c:pt idx="1346">
                  <c:v>0.66971107908503913</c:v>
                </c:pt>
                <c:pt idx="1347">
                  <c:v>0.66981877264281431</c:v>
                </c:pt>
                <c:pt idx="1348">
                  <c:v>0.66984390567917673</c:v>
                </c:pt>
                <c:pt idx="1349">
                  <c:v>0.66994170013708187</c:v>
                </c:pt>
                <c:pt idx="1350">
                  <c:v>0.67010513707568042</c:v>
                </c:pt>
                <c:pt idx="1351">
                  <c:v>0.67012193561819433</c:v>
                </c:pt>
                <c:pt idx="1352">
                  <c:v>0.6701239571925891</c:v>
                </c:pt>
                <c:pt idx="1353">
                  <c:v>0.67031215540196942</c:v>
                </c:pt>
                <c:pt idx="1354">
                  <c:v>0.67034399983599147</c:v>
                </c:pt>
                <c:pt idx="1355">
                  <c:v>0.67056351724480512</c:v>
                </c:pt>
                <c:pt idx="1356">
                  <c:v>0.67079780956120838</c:v>
                </c:pt>
                <c:pt idx="1357">
                  <c:v>0.67087853728852109</c:v>
                </c:pt>
                <c:pt idx="1358">
                  <c:v>0.67092282717282692</c:v>
                </c:pt>
                <c:pt idx="1359">
                  <c:v>0.6709570898186491</c:v>
                </c:pt>
                <c:pt idx="1360">
                  <c:v>0.6711356106651718</c:v>
                </c:pt>
                <c:pt idx="1361">
                  <c:v>0.67123198258110883</c:v>
                </c:pt>
                <c:pt idx="1362">
                  <c:v>0.67135897283245016</c:v>
                </c:pt>
                <c:pt idx="1363">
                  <c:v>0.67162358582453019</c:v>
                </c:pt>
                <c:pt idx="1364">
                  <c:v>0.67179491862494267</c:v>
                </c:pt>
                <c:pt idx="1365">
                  <c:v>0.67182146854192815</c:v>
                </c:pt>
                <c:pt idx="1366">
                  <c:v>0.67187304227541</c:v>
                </c:pt>
                <c:pt idx="1367">
                  <c:v>0.67197125256673429</c:v>
                </c:pt>
                <c:pt idx="1368">
                  <c:v>0.67199289835774634</c:v>
                </c:pt>
                <c:pt idx="1369">
                  <c:v>0.6721023582948259</c:v>
                </c:pt>
                <c:pt idx="1370">
                  <c:v>0.67226854762494004</c:v>
                </c:pt>
                <c:pt idx="1371">
                  <c:v>0.67228438550444358</c:v>
                </c:pt>
                <c:pt idx="1372">
                  <c:v>0.67229944677925002</c:v>
                </c:pt>
                <c:pt idx="1373">
                  <c:v>0.67239263213449285</c:v>
                </c:pt>
                <c:pt idx="1374">
                  <c:v>0.67252845352909063</c:v>
                </c:pt>
                <c:pt idx="1375">
                  <c:v>0.67257764970082212</c:v>
                </c:pt>
                <c:pt idx="1376">
                  <c:v>0.67258812137558233</c:v>
                </c:pt>
                <c:pt idx="1377">
                  <c:v>0.67262814188057285</c:v>
                </c:pt>
                <c:pt idx="1378">
                  <c:v>0.67271990898540057</c:v>
                </c:pt>
                <c:pt idx="1379">
                  <c:v>0.67289430369076864</c:v>
                </c:pt>
                <c:pt idx="1380">
                  <c:v>0.67295942770395234</c:v>
                </c:pt>
                <c:pt idx="1381">
                  <c:v>0.6730173968697275</c:v>
                </c:pt>
                <c:pt idx="1382">
                  <c:v>0.67302138089431907</c:v>
                </c:pt>
                <c:pt idx="1383">
                  <c:v>0.6731339812538244</c:v>
                </c:pt>
                <c:pt idx="1384">
                  <c:v>0.67359792835665311</c:v>
                </c:pt>
                <c:pt idx="1385">
                  <c:v>0.673743097936645</c:v>
                </c:pt>
                <c:pt idx="1386">
                  <c:v>0.6737521554330651</c:v>
                </c:pt>
                <c:pt idx="1387">
                  <c:v>0.67388316930473136</c:v>
                </c:pt>
                <c:pt idx="1388">
                  <c:v>0.67404743485200203</c:v>
                </c:pt>
                <c:pt idx="1389">
                  <c:v>0.67418854543074602</c:v>
                </c:pt>
                <c:pt idx="1390">
                  <c:v>0.67421241513043439</c:v>
                </c:pt>
                <c:pt idx="1391">
                  <c:v>0.67421823748086596</c:v>
                </c:pt>
                <c:pt idx="1392">
                  <c:v>0.67430280242962015</c:v>
                </c:pt>
                <c:pt idx="1393">
                  <c:v>0.67436887660844158</c:v>
                </c:pt>
                <c:pt idx="1394">
                  <c:v>0.6744289996211319</c:v>
                </c:pt>
                <c:pt idx="1395">
                  <c:v>0.67444879048217787</c:v>
                </c:pt>
                <c:pt idx="1396">
                  <c:v>0.67446541171709773</c:v>
                </c:pt>
                <c:pt idx="1397">
                  <c:v>0.67457181297334845</c:v>
                </c:pt>
                <c:pt idx="1398">
                  <c:v>0.67459818657019588</c:v>
                </c:pt>
                <c:pt idx="1399">
                  <c:v>0.67487295313382278</c:v>
                </c:pt>
                <c:pt idx="1400">
                  <c:v>0.67489562911557643</c:v>
                </c:pt>
                <c:pt idx="1401">
                  <c:v>0.67495737904659825</c:v>
                </c:pt>
                <c:pt idx="1402">
                  <c:v>0.67506326201978373</c:v>
                </c:pt>
                <c:pt idx="1403">
                  <c:v>0.67513663548499403</c:v>
                </c:pt>
                <c:pt idx="1404">
                  <c:v>0.67518836162972073</c:v>
                </c:pt>
                <c:pt idx="1405">
                  <c:v>0.67523860021208959</c:v>
                </c:pt>
                <c:pt idx="1406">
                  <c:v>0.67524698919770176</c:v>
                </c:pt>
                <c:pt idx="1407">
                  <c:v>0.67530266438193431</c:v>
                </c:pt>
                <c:pt idx="1408">
                  <c:v>0.67536627072511024</c:v>
                </c:pt>
                <c:pt idx="1409">
                  <c:v>0.67557360022660728</c:v>
                </c:pt>
                <c:pt idx="1410">
                  <c:v>0.67567398694743919</c:v>
                </c:pt>
                <c:pt idx="1411">
                  <c:v>0.67575171675311163</c:v>
                </c:pt>
                <c:pt idx="1412">
                  <c:v>0.67579273145282492</c:v>
                </c:pt>
                <c:pt idx="1413">
                  <c:v>0.67586213914299997</c:v>
                </c:pt>
                <c:pt idx="1414">
                  <c:v>0.67597642204538777</c:v>
                </c:pt>
                <c:pt idx="1415">
                  <c:v>0.67602372368335362</c:v>
                </c:pt>
                <c:pt idx="1416">
                  <c:v>0.67610622545856014</c:v>
                </c:pt>
                <c:pt idx="1417">
                  <c:v>0.67615251429757739</c:v>
                </c:pt>
                <c:pt idx="1418">
                  <c:v>0.67635909736269451</c:v>
                </c:pt>
                <c:pt idx="1419">
                  <c:v>0.67638318670576736</c:v>
                </c:pt>
                <c:pt idx="1420">
                  <c:v>0.67645702037850697</c:v>
                </c:pt>
                <c:pt idx="1421">
                  <c:v>0.67652772040241005</c:v>
                </c:pt>
                <c:pt idx="1422">
                  <c:v>0.67673014077249272</c:v>
                </c:pt>
                <c:pt idx="1423">
                  <c:v>0.67691676916768961</c:v>
                </c:pt>
                <c:pt idx="1424">
                  <c:v>0.67706338947325384</c:v>
                </c:pt>
                <c:pt idx="1425">
                  <c:v>0.67709012651623846</c:v>
                </c:pt>
                <c:pt idx="1426">
                  <c:v>0.67709282015407612</c:v>
                </c:pt>
                <c:pt idx="1427">
                  <c:v>0.67725194330132599</c:v>
                </c:pt>
                <c:pt idx="1428">
                  <c:v>0.67732531140684682</c:v>
                </c:pt>
                <c:pt idx="1429">
                  <c:v>0.67741100780991381</c:v>
                </c:pt>
                <c:pt idx="1430">
                  <c:v>0.67744200984743663</c:v>
                </c:pt>
                <c:pt idx="1431">
                  <c:v>0.67748206448083359</c:v>
                </c:pt>
                <c:pt idx="1432">
                  <c:v>0.67755093069406436</c:v>
                </c:pt>
                <c:pt idx="1433">
                  <c:v>0.67756824664521453</c:v>
                </c:pt>
                <c:pt idx="1434">
                  <c:v>0.67756849315068568</c:v>
                </c:pt>
                <c:pt idx="1435">
                  <c:v>0.6777793262208176</c:v>
                </c:pt>
                <c:pt idx="1436">
                  <c:v>0.6778685021481442</c:v>
                </c:pt>
                <c:pt idx="1437">
                  <c:v>0.67790032387977717</c:v>
                </c:pt>
                <c:pt idx="1438">
                  <c:v>0.67800665470301225</c:v>
                </c:pt>
                <c:pt idx="1439">
                  <c:v>0.67805036834275367</c:v>
                </c:pt>
                <c:pt idx="1440">
                  <c:v>0.67812281639777305</c:v>
                </c:pt>
                <c:pt idx="1441">
                  <c:v>0.67821173076591923</c:v>
                </c:pt>
                <c:pt idx="1442">
                  <c:v>0.67828367515350851</c:v>
                </c:pt>
                <c:pt idx="1443">
                  <c:v>0.67835211146469332</c:v>
                </c:pt>
                <c:pt idx="1444">
                  <c:v>0.67845976705422717</c:v>
                </c:pt>
                <c:pt idx="1445">
                  <c:v>0.67849809309378262</c:v>
                </c:pt>
                <c:pt idx="1446">
                  <c:v>0.67849852101820585</c:v>
                </c:pt>
                <c:pt idx="1447">
                  <c:v>0.67851479778602675</c:v>
                </c:pt>
                <c:pt idx="1448">
                  <c:v>0.67852072468627722</c:v>
                </c:pt>
                <c:pt idx="1449">
                  <c:v>0.67852750104683834</c:v>
                </c:pt>
                <c:pt idx="1450">
                  <c:v>0.67856460862412205</c:v>
                </c:pt>
                <c:pt idx="1451">
                  <c:v>0.67865414500029875</c:v>
                </c:pt>
                <c:pt idx="1452">
                  <c:v>0.67870479411379869</c:v>
                </c:pt>
                <c:pt idx="1453">
                  <c:v>0.67872553664180524</c:v>
                </c:pt>
                <c:pt idx="1454">
                  <c:v>0.67876425932691931</c:v>
                </c:pt>
                <c:pt idx="1455">
                  <c:v>0.67879351718293535</c:v>
                </c:pt>
                <c:pt idx="1456">
                  <c:v>0.67880114059013086</c:v>
                </c:pt>
                <c:pt idx="1457">
                  <c:v>0.67887817023036556</c:v>
                </c:pt>
                <c:pt idx="1458">
                  <c:v>0.67899035108114503</c:v>
                </c:pt>
                <c:pt idx="1459">
                  <c:v>0.67924641148325293</c:v>
                </c:pt>
                <c:pt idx="1460">
                  <c:v>0.67936531401680422</c:v>
                </c:pt>
                <c:pt idx="1461">
                  <c:v>0.67945634453795178</c:v>
                </c:pt>
                <c:pt idx="1462">
                  <c:v>0.67957137919115118</c:v>
                </c:pt>
                <c:pt idx="1463">
                  <c:v>0.67971240950986955</c:v>
                </c:pt>
                <c:pt idx="1464">
                  <c:v>0.67978551193848613</c:v>
                </c:pt>
                <c:pt idx="1465">
                  <c:v>0.68001895217751485</c:v>
                </c:pt>
                <c:pt idx="1466">
                  <c:v>0.68010226180263789</c:v>
                </c:pt>
                <c:pt idx="1467">
                  <c:v>0.68011228422214687</c:v>
                </c:pt>
                <c:pt idx="1468">
                  <c:v>0.68023460634090116</c:v>
                </c:pt>
                <c:pt idx="1469">
                  <c:v>0.680337859510318</c:v>
                </c:pt>
                <c:pt idx="1470">
                  <c:v>0.68036637566586378</c:v>
                </c:pt>
                <c:pt idx="1471">
                  <c:v>0.68045872508380856</c:v>
                </c:pt>
                <c:pt idx="1472">
                  <c:v>0.68057896015839392</c:v>
                </c:pt>
                <c:pt idx="1473">
                  <c:v>0.68080929106168342</c:v>
                </c:pt>
                <c:pt idx="1474">
                  <c:v>0.68083045551535804</c:v>
                </c:pt>
                <c:pt idx="1475">
                  <c:v>0.68085973190848903</c:v>
                </c:pt>
                <c:pt idx="1476">
                  <c:v>0.68095250208807689</c:v>
                </c:pt>
                <c:pt idx="1477">
                  <c:v>0.68096502039133711</c:v>
                </c:pt>
                <c:pt idx="1478">
                  <c:v>0.68096514745308345</c:v>
                </c:pt>
                <c:pt idx="1479">
                  <c:v>0.6810583568811085</c:v>
                </c:pt>
                <c:pt idx="1480">
                  <c:v>0.68107087742140549</c:v>
                </c:pt>
                <c:pt idx="1481">
                  <c:v>0.68118262771441984</c:v>
                </c:pt>
                <c:pt idx="1482">
                  <c:v>0.68130055948398383</c:v>
                </c:pt>
                <c:pt idx="1483">
                  <c:v>0.68147773407857481</c:v>
                </c:pt>
                <c:pt idx="1484">
                  <c:v>0.68153477910502003</c:v>
                </c:pt>
                <c:pt idx="1485">
                  <c:v>0.68159628617642509</c:v>
                </c:pt>
                <c:pt idx="1486">
                  <c:v>0.68171432040308366</c:v>
                </c:pt>
                <c:pt idx="1487">
                  <c:v>0.68177591470994914</c:v>
                </c:pt>
                <c:pt idx="1488">
                  <c:v>0.68199230267734601</c:v>
                </c:pt>
                <c:pt idx="1489">
                  <c:v>0.68207181889149071</c:v>
                </c:pt>
                <c:pt idx="1490">
                  <c:v>0.68216632606176386</c:v>
                </c:pt>
                <c:pt idx="1491">
                  <c:v>0.6821758272581403</c:v>
                </c:pt>
                <c:pt idx="1492">
                  <c:v>0.68249168150220452</c:v>
                </c:pt>
                <c:pt idx="1493">
                  <c:v>0.68249468462083707</c:v>
                </c:pt>
                <c:pt idx="1494">
                  <c:v>0.682597333290063</c:v>
                </c:pt>
                <c:pt idx="1495">
                  <c:v>0.68262088958358014</c:v>
                </c:pt>
                <c:pt idx="1496">
                  <c:v>0.68270740012743836</c:v>
                </c:pt>
                <c:pt idx="1497">
                  <c:v>0.68271936178730053</c:v>
                </c:pt>
                <c:pt idx="1498">
                  <c:v>0.68283305809291006</c:v>
                </c:pt>
                <c:pt idx="1499">
                  <c:v>0.68296004564109158</c:v>
                </c:pt>
                <c:pt idx="1500">
                  <c:v>0.68330300126119004</c:v>
                </c:pt>
                <c:pt idx="1501">
                  <c:v>0.68342203740637575</c:v>
                </c:pt>
                <c:pt idx="1502">
                  <c:v>0.68355442283713619</c:v>
                </c:pt>
                <c:pt idx="1503">
                  <c:v>0.68356681504756889</c:v>
                </c:pt>
                <c:pt idx="1504">
                  <c:v>0.68360703449870686</c:v>
                </c:pt>
                <c:pt idx="1505">
                  <c:v>0.68372097515743846</c:v>
                </c:pt>
                <c:pt idx="1506">
                  <c:v>0.68374655647382898</c:v>
                </c:pt>
                <c:pt idx="1507">
                  <c:v>0.68376356327981547</c:v>
                </c:pt>
                <c:pt idx="1508">
                  <c:v>0.68381943143934854</c:v>
                </c:pt>
                <c:pt idx="1509">
                  <c:v>0.68395573162434453</c:v>
                </c:pt>
                <c:pt idx="1510">
                  <c:v>0.68396050161045696</c:v>
                </c:pt>
                <c:pt idx="1511">
                  <c:v>0.68408271795631426</c:v>
                </c:pt>
                <c:pt idx="1512">
                  <c:v>0.68409437580654364</c:v>
                </c:pt>
                <c:pt idx="1513">
                  <c:v>0.68409494043594177</c:v>
                </c:pt>
                <c:pt idx="1514">
                  <c:v>0.68444767305619358</c:v>
                </c:pt>
                <c:pt idx="1515">
                  <c:v>0.68445240622788406</c:v>
                </c:pt>
                <c:pt idx="1516">
                  <c:v>0.68462891688300709</c:v>
                </c:pt>
                <c:pt idx="1517">
                  <c:v>0.68475600135241765</c:v>
                </c:pt>
                <c:pt idx="1518">
                  <c:v>0.6848381336369681</c:v>
                </c:pt>
                <c:pt idx="1519">
                  <c:v>0.68486673438320667</c:v>
                </c:pt>
                <c:pt idx="1520">
                  <c:v>0.68489021408575124</c:v>
                </c:pt>
                <c:pt idx="1521">
                  <c:v>0.68491158409898878</c:v>
                </c:pt>
                <c:pt idx="1522">
                  <c:v>0.68491297905504411</c:v>
                </c:pt>
                <c:pt idx="1523">
                  <c:v>0.68493268158819931</c:v>
                </c:pt>
                <c:pt idx="1524">
                  <c:v>0.68517303301862265</c:v>
                </c:pt>
                <c:pt idx="1525">
                  <c:v>0.68519376439421142</c:v>
                </c:pt>
                <c:pt idx="1526">
                  <c:v>0.68539637901044947</c:v>
                </c:pt>
                <c:pt idx="1527">
                  <c:v>0.68542442528079073</c:v>
                </c:pt>
                <c:pt idx="1528">
                  <c:v>0.68545215268165027</c:v>
                </c:pt>
                <c:pt idx="1529">
                  <c:v>0.68547503016920441</c:v>
                </c:pt>
                <c:pt idx="1530">
                  <c:v>0.68555291439825317</c:v>
                </c:pt>
                <c:pt idx="1531">
                  <c:v>0.68560385119421829</c:v>
                </c:pt>
                <c:pt idx="1532">
                  <c:v>0.68568056142842682</c:v>
                </c:pt>
                <c:pt idx="1533">
                  <c:v>0.68575762629930515</c:v>
                </c:pt>
                <c:pt idx="1534">
                  <c:v>0.68600294562400599</c:v>
                </c:pt>
                <c:pt idx="1535">
                  <c:v>0.68611738011981083</c:v>
                </c:pt>
                <c:pt idx="1536">
                  <c:v>0.68625414211163427</c:v>
                </c:pt>
                <c:pt idx="1537">
                  <c:v>0.6865608878690781</c:v>
                </c:pt>
                <c:pt idx="1538">
                  <c:v>0.68673684210526331</c:v>
                </c:pt>
                <c:pt idx="1539">
                  <c:v>0.68680319810043189</c:v>
                </c:pt>
                <c:pt idx="1540">
                  <c:v>0.68695269262717507</c:v>
                </c:pt>
                <c:pt idx="1541">
                  <c:v>0.68704714110111564</c:v>
                </c:pt>
                <c:pt idx="1542">
                  <c:v>0.68713966070392662</c:v>
                </c:pt>
                <c:pt idx="1543">
                  <c:v>0.6872552493500762</c:v>
                </c:pt>
                <c:pt idx="1544">
                  <c:v>0.68730436877388612</c:v>
                </c:pt>
                <c:pt idx="1545">
                  <c:v>0.68741946497208084</c:v>
                </c:pt>
                <c:pt idx="1546">
                  <c:v>0.68757674250631973</c:v>
                </c:pt>
                <c:pt idx="1547">
                  <c:v>0.68783274938829686</c:v>
                </c:pt>
                <c:pt idx="1548">
                  <c:v>0.6878512760012413</c:v>
                </c:pt>
                <c:pt idx="1549">
                  <c:v>0.68793305770940039</c:v>
                </c:pt>
                <c:pt idx="1550">
                  <c:v>0.68816741278253535</c:v>
                </c:pt>
                <c:pt idx="1551">
                  <c:v>0.68821039099056591</c:v>
                </c:pt>
                <c:pt idx="1552">
                  <c:v>0.68833371886806904</c:v>
                </c:pt>
                <c:pt idx="1553">
                  <c:v>0.68850861300111632</c:v>
                </c:pt>
                <c:pt idx="1554">
                  <c:v>0.68858165057530785</c:v>
                </c:pt>
                <c:pt idx="1555">
                  <c:v>0.68871222934023779</c:v>
                </c:pt>
                <c:pt idx="1556">
                  <c:v>0.68880024906778747</c:v>
                </c:pt>
                <c:pt idx="1557">
                  <c:v>0.68896551724137989</c:v>
                </c:pt>
                <c:pt idx="1558">
                  <c:v>0.68897500206925588</c:v>
                </c:pt>
                <c:pt idx="1559">
                  <c:v>0.68906160328102839</c:v>
                </c:pt>
                <c:pt idx="1560">
                  <c:v>0.68920358078092314</c:v>
                </c:pt>
                <c:pt idx="1561">
                  <c:v>0.68922079433500194</c:v>
                </c:pt>
                <c:pt idx="1562">
                  <c:v>0.6892284346445261</c:v>
                </c:pt>
                <c:pt idx="1563">
                  <c:v>0.68960832415539774</c:v>
                </c:pt>
                <c:pt idx="1564">
                  <c:v>0.68989857956660772</c:v>
                </c:pt>
                <c:pt idx="1565">
                  <c:v>0.68990800264609453</c:v>
                </c:pt>
                <c:pt idx="1566">
                  <c:v>0.68995888885249135</c:v>
                </c:pt>
                <c:pt idx="1567">
                  <c:v>0.69016155482271169</c:v>
                </c:pt>
                <c:pt idx="1568">
                  <c:v>0.69023533012970617</c:v>
                </c:pt>
                <c:pt idx="1569">
                  <c:v>0.69041672829981393</c:v>
                </c:pt>
                <c:pt idx="1570">
                  <c:v>0.69043106475252003</c:v>
                </c:pt>
                <c:pt idx="1571">
                  <c:v>0.69046171660153433</c:v>
                </c:pt>
                <c:pt idx="1572">
                  <c:v>0.69046992168720789</c:v>
                </c:pt>
                <c:pt idx="1573">
                  <c:v>0.69064184596882461</c:v>
                </c:pt>
                <c:pt idx="1574">
                  <c:v>0.69071756463648648</c:v>
                </c:pt>
                <c:pt idx="1575">
                  <c:v>0.69080593239229315</c:v>
                </c:pt>
                <c:pt idx="1576">
                  <c:v>0.6908238025259299</c:v>
                </c:pt>
                <c:pt idx="1577">
                  <c:v>0.6908399103585966</c:v>
                </c:pt>
                <c:pt idx="1578">
                  <c:v>0.69090832622817266</c:v>
                </c:pt>
                <c:pt idx="1579">
                  <c:v>0.69095814952575219</c:v>
                </c:pt>
                <c:pt idx="1580">
                  <c:v>0.69112156280297976</c:v>
                </c:pt>
                <c:pt idx="1581">
                  <c:v>0.69124057214492618</c:v>
                </c:pt>
                <c:pt idx="1582">
                  <c:v>0.69133658330758951</c:v>
                </c:pt>
                <c:pt idx="1583">
                  <c:v>0.69153577812174583</c:v>
                </c:pt>
                <c:pt idx="1584">
                  <c:v>0.69156701956927669</c:v>
                </c:pt>
                <c:pt idx="1585">
                  <c:v>0.69174757642441065</c:v>
                </c:pt>
                <c:pt idx="1586">
                  <c:v>0.69187172068309222</c:v>
                </c:pt>
                <c:pt idx="1587">
                  <c:v>0.69192243956292065</c:v>
                </c:pt>
                <c:pt idx="1588">
                  <c:v>0.69192659033175397</c:v>
                </c:pt>
                <c:pt idx="1589">
                  <c:v>0.69232884629726232</c:v>
                </c:pt>
                <c:pt idx="1590">
                  <c:v>0.69255750565084351</c:v>
                </c:pt>
                <c:pt idx="1591">
                  <c:v>0.69256632519043859</c:v>
                </c:pt>
                <c:pt idx="1592">
                  <c:v>0.69279601009790093</c:v>
                </c:pt>
                <c:pt idx="1593">
                  <c:v>0.69280170159349974</c:v>
                </c:pt>
                <c:pt idx="1594">
                  <c:v>0.69290078624772378</c:v>
                </c:pt>
                <c:pt idx="1595">
                  <c:v>0.69290880909325703</c:v>
                </c:pt>
                <c:pt idx="1596">
                  <c:v>0.69299910950958588</c:v>
                </c:pt>
                <c:pt idx="1597">
                  <c:v>0.69326567700460917</c:v>
                </c:pt>
                <c:pt idx="1598">
                  <c:v>0.69336110446003352</c:v>
                </c:pt>
                <c:pt idx="1599">
                  <c:v>0.69338292197302753</c:v>
                </c:pt>
                <c:pt idx="1600">
                  <c:v>0.69342957383329951</c:v>
                </c:pt>
                <c:pt idx="1601">
                  <c:v>0.69352451433857587</c:v>
                </c:pt>
                <c:pt idx="1602">
                  <c:v>0.69360371267150911</c:v>
                </c:pt>
                <c:pt idx="1603">
                  <c:v>0.693818511397857</c:v>
                </c:pt>
                <c:pt idx="1604">
                  <c:v>0.69383662420469983</c:v>
                </c:pt>
                <c:pt idx="1605">
                  <c:v>0.69395675712027882</c:v>
                </c:pt>
                <c:pt idx="1606">
                  <c:v>0.69395789953486386</c:v>
                </c:pt>
                <c:pt idx="1607">
                  <c:v>0.69396872673119969</c:v>
                </c:pt>
                <c:pt idx="1608">
                  <c:v>0.69397110159203357</c:v>
                </c:pt>
                <c:pt idx="1609">
                  <c:v>0.69403990709252494</c:v>
                </c:pt>
                <c:pt idx="1610">
                  <c:v>0.69405196985328954</c:v>
                </c:pt>
                <c:pt idx="1611">
                  <c:v>0.69414740555091425</c:v>
                </c:pt>
                <c:pt idx="1612">
                  <c:v>0.6941940848311392</c:v>
                </c:pt>
                <c:pt idx="1613">
                  <c:v>0.69422162447764046</c:v>
                </c:pt>
                <c:pt idx="1614">
                  <c:v>0.69423573842178488</c:v>
                </c:pt>
                <c:pt idx="1615">
                  <c:v>0.69433342550470856</c:v>
                </c:pt>
                <c:pt idx="1616">
                  <c:v>0.69436461679522488</c:v>
                </c:pt>
                <c:pt idx="1617">
                  <c:v>0.69438740426339107</c:v>
                </c:pt>
                <c:pt idx="1618">
                  <c:v>0.69440492062247328</c:v>
                </c:pt>
                <c:pt idx="1619">
                  <c:v>0.69443558265988592</c:v>
                </c:pt>
                <c:pt idx="1620">
                  <c:v>0.69445477806409528</c:v>
                </c:pt>
                <c:pt idx="1621">
                  <c:v>0.69450765556960226</c:v>
                </c:pt>
                <c:pt idx="1622">
                  <c:v>0.69457594934658029</c:v>
                </c:pt>
                <c:pt idx="1623">
                  <c:v>0.69462328779730065</c:v>
                </c:pt>
                <c:pt idx="1624">
                  <c:v>0.69463317407743941</c:v>
                </c:pt>
                <c:pt idx="1625">
                  <c:v>0.6946401250642702</c:v>
                </c:pt>
                <c:pt idx="1626">
                  <c:v>0.69469337495154238</c:v>
                </c:pt>
                <c:pt idx="1627">
                  <c:v>0.69474493417134353</c:v>
                </c:pt>
                <c:pt idx="1628">
                  <c:v>0.69475522076560758</c:v>
                </c:pt>
                <c:pt idx="1629">
                  <c:v>0.69489284301807419</c:v>
                </c:pt>
                <c:pt idx="1630">
                  <c:v>0.694897902614803</c:v>
                </c:pt>
                <c:pt idx="1631">
                  <c:v>0.69510462053861555</c:v>
                </c:pt>
                <c:pt idx="1632">
                  <c:v>0.69521806457577362</c:v>
                </c:pt>
                <c:pt idx="1633">
                  <c:v>0.69529790660225521</c:v>
                </c:pt>
                <c:pt idx="1634">
                  <c:v>0.69538367799237333</c:v>
                </c:pt>
                <c:pt idx="1635">
                  <c:v>0.69574624837274524</c:v>
                </c:pt>
                <c:pt idx="1636">
                  <c:v>0.69594125822089492</c:v>
                </c:pt>
                <c:pt idx="1637">
                  <c:v>0.69598770849253533</c:v>
                </c:pt>
                <c:pt idx="1638">
                  <c:v>0.69608592290711435</c:v>
                </c:pt>
                <c:pt idx="1639">
                  <c:v>0.69636457548247188</c:v>
                </c:pt>
                <c:pt idx="1640">
                  <c:v>0.69640114026628863</c:v>
                </c:pt>
                <c:pt idx="1641">
                  <c:v>0.69644417036984374</c:v>
                </c:pt>
                <c:pt idx="1642">
                  <c:v>0.69651039787225943</c:v>
                </c:pt>
                <c:pt idx="1643">
                  <c:v>0.69664127019160205</c:v>
                </c:pt>
                <c:pt idx="1644">
                  <c:v>0.69668636522685745</c:v>
                </c:pt>
                <c:pt idx="1645">
                  <c:v>0.69674289674289691</c:v>
                </c:pt>
                <c:pt idx="1646">
                  <c:v>0.69674901867590433</c:v>
                </c:pt>
                <c:pt idx="1647">
                  <c:v>0.69675261658544818</c:v>
                </c:pt>
                <c:pt idx="1648">
                  <c:v>0.69678022874617485</c:v>
                </c:pt>
                <c:pt idx="1649">
                  <c:v>0.69678808280933846</c:v>
                </c:pt>
                <c:pt idx="1650">
                  <c:v>0.69715097584685559</c:v>
                </c:pt>
                <c:pt idx="1651">
                  <c:v>0.69722866931688621</c:v>
                </c:pt>
                <c:pt idx="1652">
                  <c:v>0.69728453364816956</c:v>
                </c:pt>
                <c:pt idx="1653">
                  <c:v>0.69760499522471708</c:v>
                </c:pt>
                <c:pt idx="1654">
                  <c:v>0.69764911782791694</c:v>
                </c:pt>
                <c:pt idx="1655">
                  <c:v>0.6977644014126182</c:v>
                </c:pt>
                <c:pt idx="1656">
                  <c:v>0.69792808020407748</c:v>
                </c:pt>
                <c:pt idx="1657">
                  <c:v>0.69798579396793736</c:v>
                </c:pt>
                <c:pt idx="1658">
                  <c:v>0.69806582965727815</c:v>
                </c:pt>
                <c:pt idx="1659">
                  <c:v>0.69812195646185804</c:v>
                </c:pt>
                <c:pt idx="1660">
                  <c:v>0.69813818265628214</c:v>
                </c:pt>
                <c:pt idx="1661">
                  <c:v>0.69820041887095263</c:v>
                </c:pt>
                <c:pt idx="1662">
                  <c:v>0.69836291078618873</c:v>
                </c:pt>
                <c:pt idx="1663">
                  <c:v>0.69837007925692285</c:v>
                </c:pt>
                <c:pt idx="1664">
                  <c:v>0.69840982286634457</c:v>
                </c:pt>
                <c:pt idx="1665">
                  <c:v>0.69843629856421896</c:v>
                </c:pt>
                <c:pt idx="1666">
                  <c:v>0.6984412091055443</c:v>
                </c:pt>
                <c:pt idx="1667">
                  <c:v>0.69848876129089676</c:v>
                </c:pt>
                <c:pt idx="1668">
                  <c:v>0.69851653513244649</c:v>
                </c:pt>
                <c:pt idx="1669">
                  <c:v>0.69854701147652443</c:v>
                </c:pt>
                <c:pt idx="1670">
                  <c:v>0.69857162153035657</c:v>
                </c:pt>
                <c:pt idx="1671">
                  <c:v>0.6987198238699347</c:v>
                </c:pt>
                <c:pt idx="1672">
                  <c:v>0.69872060791889246</c:v>
                </c:pt>
                <c:pt idx="1673">
                  <c:v>0.69885777994494469</c:v>
                </c:pt>
                <c:pt idx="1674">
                  <c:v>0.69896433596890939</c:v>
                </c:pt>
                <c:pt idx="1675">
                  <c:v>0.69920832701518587</c:v>
                </c:pt>
                <c:pt idx="1676">
                  <c:v>0.69922288904271324</c:v>
                </c:pt>
                <c:pt idx="1677">
                  <c:v>0.69971473328386546</c:v>
                </c:pt>
                <c:pt idx="1678">
                  <c:v>0.69975007372051812</c:v>
                </c:pt>
                <c:pt idx="1679">
                  <c:v>0.69982907548148854</c:v>
                </c:pt>
                <c:pt idx="1680">
                  <c:v>0.69986864593740639</c:v>
                </c:pt>
                <c:pt idx="1681">
                  <c:v>0.70000260009710913</c:v>
                </c:pt>
                <c:pt idx="1682">
                  <c:v>0.7002728469056626</c:v>
                </c:pt>
                <c:pt idx="1683">
                  <c:v>0.70050943888153194</c:v>
                </c:pt>
                <c:pt idx="1684">
                  <c:v>0.70056626952932244</c:v>
                </c:pt>
                <c:pt idx="1685">
                  <c:v>0.70057688293784048</c:v>
                </c:pt>
                <c:pt idx="1686">
                  <c:v>0.70066835693578033</c:v>
                </c:pt>
                <c:pt idx="1687">
                  <c:v>0.70075113767202124</c:v>
                </c:pt>
                <c:pt idx="1688">
                  <c:v>0.70102514506769753</c:v>
                </c:pt>
                <c:pt idx="1689">
                  <c:v>0.701062469437016</c:v>
                </c:pt>
                <c:pt idx="1690">
                  <c:v>0.70112415340766066</c:v>
                </c:pt>
                <c:pt idx="1691">
                  <c:v>0.70117699311570125</c:v>
                </c:pt>
                <c:pt idx="1692">
                  <c:v>0.70123254288124437</c:v>
                </c:pt>
                <c:pt idx="1693">
                  <c:v>0.70130058388375427</c:v>
                </c:pt>
                <c:pt idx="1694">
                  <c:v>0.70132165983692474</c:v>
                </c:pt>
                <c:pt idx="1695">
                  <c:v>0.70132400514839588</c:v>
                </c:pt>
                <c:pt idx="1696">
                  <c:v>0.70132747206401769</c:v>
                </c:pt>
                <c:pt idx="1697">
                  <c:v>0.70133404621666917</c:v>
                </c:pt>
                <c:pt idx="1698">
                  <c:v>0.70148964543600512</c:v>
                </c:pt>
                <c:pt idx="1699">
                  <c:v>0.701504543423209</c:v>
                </c:pt>
                <c:pt idx="1700">
                  <c:v>0.70165886507349851</c:v>
                </c:pt>
                <c:pt idx="1701">
                  <c:v>0.70206900788211757</c:v>
                </c:pt>
                <c:pt idx="1702">
                  <c:v>0.70213607594936767</c:v>
                </c:pt>
                <c:pt idx="1703">
                  <c:v>0.70218066635086562</c:v>
                </c:pt>
                <c:pt idx="1704">
                  <c:v>0.70252424844870154</c:v>
                </c:pt>
                <c:pt idx="1705">
                  <c:v>0.70265056216764243</c:v>
                </c:pt>
                <c:pt idx="1706">
                  <c:v>0.70265401540153971</c:v>
                </c:pt>
                <c:pt idx="1707">
                  <c:v>0.70287026406429365</c:v>
                </c:pt>
                <c:pt idx="1708">
                  <c:v>0.70303246455530755</c:v>
                </c:pt>
                <c:pt idx="1709">
                  <c:v>0.70322491392031372</c:v>
                </c:pt>
                <c:pt idx="1710">
                  <c:v>0.70344506903667992</c:v>
                </c:pt>
                <c:pt idx="1711">
                  <c:v>0.70348125394854322</c:v>
                </c:pt>
                <c:pt idx="1712">
                  <c:v>0.70361485923704747</c:v>
                </c:pt>
                <c:pt idx="1713">
                  <c:v>0.70362293227916139</c:v>
                </c:pt>
                <c:pt idx="1714">
                  <c:v>0.70365322601858327</c:v>
                </c:pt>
                <c:pt idx="1715">
                  <c:v>0.70366151657061926</c:v>
                </c:pt>
                <c:pt idx="1716">
                  <c:v>0.70366192138956063</c:v>
                </c:pt>
                <c:pt idx="1717">
                  <c:v>0.70369530756354703</c:v>
                </c:pt>
                <c:pt idx="1718">
                  <c:v>0.70377948083985675</c:v>
                </c:pt>
                <c:pt idx="1719">
                  <c:v>0.70399289802786114</c:v>
                </c:pt>
                <c:pt idx="1720">
                  <c:v>0.70404040404040413</c:v>
                </c:pt>
                <c:pt idx="1721">
                  <c:v>0.70413060454220044</c:v>
                </c:pt>
                <c:pt idx="1722">
                  <c:v>0.70418307878058051</c:v>
                </c:pt>
                <c:pt idx="1723">
                  <c:v>0.70427411478301427</c:v>
                </c:pt>
                <c:pt idx="1724">
                  <c:v>0.70428144028115724</c:v>
                </c:pt>
                <c:pt idx="1725">
                  <c:v>0.70429334564400103</c:v>
                </c:pt>
                <c:pt idx="1726">
                  <c:v>0.70430071632467839</c:v>
                </c:pt>
                <c:pt idx="1727">
                  <c:v>0.70431283521528476</c:v>
                </c:pt>
                <c:pt idx="1728">
                  <c:v>0.70446271494593315</c:v>
                </c:pt>
                <c:pt idx="1729">
                  <c:v>0.70459163790223811</c:v>
                </c:pt>
                <c:pt idx="1730">
                  <c:v>0.704652544597825</c:v>
                </c:pt>
                <c:pt idx="1731">
                  <c:v>0.7046586807706019</c:v>
                </c:pt>
                <c:pt idx="1732">
                  <c:v>0.70486712419861575</c:v>
                </c:pt>
                <c:pt idx="1733">
                  <c:v>0.70505462104835948</c:v>
                </c:pt>
                <c:pt idx="1734">
                  <c:v>0.70508091972171516</c:v>
                </c:pt>
                <c:pt idx="1735">
                  <c:v>0.70527923631869083</c:v>
                </c:pt>
                <c:pt idx="1736">
                  <c:v>0.70532674314148125</c:v>
                </c:pt>
                <c:pt idx="1737">
                  <c:v>0.70534796339411243</c:v>
                </c:pt>
                <c:pt idx="1738">
                  <c:v>0.70553248440236949</c:v>
                </c:pt>
                <c:pt idx="1739">
                  <c:v>0.7055398117743491</c:v>
                </c:pt>
                <c:pt idx="1740">
                  <c:v>0.70554553326598368</c:v>
                </c:pt>
                <c:pt idx="1741">
                  <c:v>0.70585238148857121</c:v>
                </c:pt>
                <c:pt idx="1742">
                  <c:v>0.70586225138579994</c:v>
                </c:pt>
                <c:pt idx="1743">
                  <c:v>0.70597944120777856</c:v>
                </c:pt>
                <c:pt idx="1744">
                  <c:v>0.70604440352678766</c:v>
                </c:pt>
                <c:pt idx="1745">
                  <c:v>0.70604914679079578</c:v>
                </c:pt>
                <c:pt idx="1746">
                  <c:v>0.70633202253327754</c:v>
                </c:pt>
                <c:pt idx="1747">
                  <c:v>0.70635954573394666</c:v>
                </c:pt>
                <c:pt idx="1748">
                  <c:v>0.70636064914163077</c:v>
                </c:pt>
                <c:pt idx="1749">
                  <c:v>0.70639499042860321</c:v>
                </c:pt>
                <c:pt idx="1750">
                  <c:v>0.70650544319454955</c:v>
                </c:pt>
                <c:pt idx="1751">
                  <c:v>0.70658319539815484</c:v>
                </c:pt>
                <c:pt idx="1752">
                  <c:v>0.70668344996301957</c:v>
                </c:pt>
                <c:pt idx="1753">
                  <c:v>0.70677831194880414</c:v>
                </c:pt>
                <c:pt idx="1754">
                  <c:v>0.70702054794520519</c:v>
                </c:pt>
                <c:pt idx="1755">
                  <c:v>0.70712229590851272</c:v>
                </c:pt>
                <c:pt idx="1756">
                  <c:v>0.70712798831180568</c:v>
                </c:pt>
                <c:pt idx="1757">
                  <c:v>0.70719160885232357</c:v>
                </c:pt>
                <c:pt idx="1758">
                  <c:v>0.70733554727515369</c:v>
                </c:pt>
                <c:pt idx="1759">
                  <c:v>0.70737300182424134</c:v>
                </c:pt>
                <c:pt idx="1760">
                  <c:v>0.70751828620238122</c:v>
                </c:pt>
                <c:pt idx="1761">
                  <c:v>0.70753233466522869</c:v>
                </c:pt>
                <c:pt idx="1762">
                  <c:v>0.7075574301023918</c:v>
                </c:pt>
                <c:pt idx="1763">
                  <c:v>0.70760880243638891</c:v>
                </c:pt>
                <c:pt idx="1764">
                  <c:v>0.70776269114586443</c:v>
                </c:pt>
                <c:pt idx="1765">
                  <c:v>0.7077773054414217</c:v>
                </c:pt>
                <c:pt idx="1766">
                  <c:v>0.70800196367206558</c:v>
                </c:pt>
                <c:pt idx="1767">
                  <c:v>0.70828499634587982</c:v>
                </c:pt>
                <c:pt idx="1768">
                  <c:v>0.70840629611964379</c:v>
                </c:pt>
                <c:pt idx="1769">
                  <c:v>0.70850756416794158</c:v>
                </c:pt>
                <c:pt idx="1770">
                  <c:v>0.70855040270472258</c:v>
                </c:pt>
                <c:pt idx="1771">
                  <c:v>0.70880904670922851</c:v>
                </c:pt>
                <c:pt idx="1772">
                  <c:v>0.70883725589294599</c:v>
                </c:pt>
                <c:pt idx="1773">
                  <c:v>0.70887775736823033</c:v>
                </c:pt>
                <c:pt idx="1774">
                  <c:v>0.70888177756309612</c:v>
                </c:pt>
                <c:pt idx="1775">
                  <c:v>0.70889613455718781</c:v>
                </c:pt>
                <c:pt idx="1776">
                  <c:v>0.70916160299061803</c:v>
                </c:pt>
                <c:pt idx="1777">
                  <c:v>0.70940411870644526</c:v>
                </c:pt>
                <c:pt idx="1778">
                  <c:v>0.70941339620308386</c:v>
                </c:pt>
                <c:pt idx="1779">
                  <c:v>0.70943863254249906</c:v>
                </c:pt>
                <c:pt idx="1780">
                  <c:v>0.70951932006369922</c:v>
                </c:pt>
                <c:pt idx="1781">
                  <c:v>0.70953584045808626</c:v>
                </c:pt>
                <c:pt idx="1782">
                  <c:v>0.70971021116032762</c:v>
                </c:pt>
                <c:pt idx="1783">
                  <c:v>0.70981026444558404</c:v>
                </c:pt>
                <c:pt idx="1784">
                  <c:v>0.70995366424398421</c:v>
                </c:pt>
                <c:pt idx="1785">
                  <c:v>0.70997306420266648</c:v>
                </c:pt>
                <c:pt idx="1786">
                  <c:v>0.71031816340994136</c:v>
                </c:pt>
                <c:pt idx="1787">
                  <c:v>0.7103744366083431</c:v>
                </c:pt>
                <c:pt idx="1788">
                  <c:v>0.71050823324395906</c:v>
                </c:pt>
                <c:pt idx="1789">
                  <c:v>0.71064168991630128</c:v>
                </c:pt>
                <c:pt idx="1790">
                  <c:v>0.71085210829685985</c:v>
                </c:pt>
                <c:pt idx="1791">
                  <c:v>0.71087322363500294</c:v>
                </c:pt>
                <c:pt idx="1792">
                  <c:v>0.71093470526857416</c:v>
                </c:pt>
                <c:pt idx="1793">
                  <c:v>0.71108343992005341</c:v>
                </c:pt>
                <c:pt idx="1794">
                  <c:v>0.71124741492761723</c:v>
                </c:pt>
                <c:pt idx="1795">
                  <c:v>0.71137285882766677</c:v>
                </c:pt>
                <c:pt idx="1796">
                  <c:v>0.71138133613920951</c:v>
                </c:pt>
                <c:pt idx="1797">
                  <c:v>0.71139527395326863</c:v>
                </c:pt>
                <c:pt idx="1798">
                  <c:v>0.71161334289616351</c:v>
                </c:pt>
                <c:pt idx="1799">
                  <c:v>0.71165488334188742</c:v>
                </c:pt>
                <c:pt idx="1800">
                  <c:v>0.71168867406285763</c:v>
                </c:pt>
                <c:pt idx="1801">
                  <c:v>0.71170913041095163</c:v>
                </c:pt>
                <c:pt idx="1802">
                  <c:v>0.71174082747853196</c:v>
                </c:pt>
                <c:pt idx="1803">
                  <c:v>0.71184137785604806</c:v>
                </c:pt>
                <c:pt idx="1804">
                  <c:v>0.71185120010737202</c:v>
                </c:pt>
                <c:pt idx="1805">
                  <c:v>0.71189234004691471</c:v>
                </c:pt>
                <c:pt idx="1806">
                  <c:v>0.71192163889004934</c:v>
                </c:pt>
                <c:pt idx="1807">
                  <c:v>0.71193450606703002</c:v>
                </c:pt>
                <c:pt idx="1808">
                  <c:v>0.71193906447012101</c:v>
                </c:pt>
                <c:pt idx="1809">
                  <c:v>0.7119741650378173</c:v>
                </c:pt>
                <c:pt idx="1810">
                  <c:v>0.7120784512558952</c:v>
                </c:pt>
                <c:pt idx="1811">
                  <c:v>0.71210219632451766</c:v>
                </c:pt>
                <c:pt idx="1812">
                  <c:v>0.7124179544022079</c:v>
                </c:pt>
                <c:pt idx="1813">
                  <c:v>0.71261878984722726</c:v>
                </c:pt>
                <c:pt idx="1814">
                  <c:v>0.71265141232864604</c:v>
                </c:pt>
                <c:pt idx="1815">
                  <c:v>0.71285944793407496</c:v>
                </c:pt>
                <c:pt idx="1816">
                  <c:v>0.712876047064958</c:v>
                </c:pt>
                <c:pt idx="1817">
                  <c:v>0.71308863824635105</c:v>
                </c:pt>
                <c:pt idx="1818">
                  <c:v>0.71309254949802803</c:v>
                </c:pt>
                <c:pt idx="1819">
                  <c:v>0.71309728449857057</c:v>
                </c:pt>
                <c:pt idx="1820">
                  <c:v>0.71317364075436607</c:v>
                </c:pt>
                <c:pt idx="1821">
                  <c:v>0.71332936822627435</c:v>
                </c:pt>
                <c:pt idx="1822">
                  <c:v>0.7134798869543314</c:v>
                </c:pt>
                <c:pt idx="1823">
                  <c:v>0.71353353878434167</c:v>
                </c:pt>
                <c:pt idx="1824">
                  <c:v>0.71360389116887146</c:v>
                </c:pt>
                <c:pt idx="1825">
                  <c:v>0.71374999999999966</c:v>
                </c:pt>
                <c:pt idx="1826">
                  <c:v>0.71388636089471458</c:v>
                </c:pt>
                <c:pt idx="1827">
                  <c:v>0.71390798489446494</c:v>
                </c:pt>
                <c:pt idx="1828">
                  <c:v>0.71394137105688005</c:v>
                </c:pt>
                <c:pt idx="1829">
                  <c:v>0.71422158189259122</c:v>
                </c:pt>
                <c:pt idx="1830">
                  <c:v>0.71435153408597829</c:v>
                </c:pt>
                <c:pt idx="1831">
                  <c:v>0.71447606828949806</c:v>
                </c:pt>
                <c:pt idx="1832">
                  <c:v>0.71455642147966325</c:v>
                </c:pt>
                <c:pt idx="1833">
                  <c:v>0.71459365748589909</c:v>
                </c:pt>
                <c:pt idx="1834">
                  <c:v>0.71473246108211408</c:v>
                </c:pt>
                <c:pt idx="1835">
                  <c:v>0.71477509995390398</c:v>
                </c:pt>
                <c:pt idx="1836">
                  <c:v>0.71478225833910158</c:v>
                </c:pt>
                <c:pt idx="1837">
                  <c:v>0.71479586491111657</c:v>
                </c:pt>
                <c:pt idx="1838">
                  <c:v>0.71488332722571257</c:v>
                </c:pt>
                <c:pt idx="1839">
                  <c:v>0.71505683092420247</c:v>
                </c:pt>
                <c:pt idx="1840">
                  <c:v>0.71511590995664776</c:v>
                </c:pt>
                <c:pt idx="1841">
                  <c:v>0.71515206607277271</c:v>
                </c:pt>
                <c:pt idx="1842">
                  <c:v>0.71517998518162762</c:v>
                </c:pt>
                <c:pt idx="1843">
                  <c:v>0.71521960877143909</c:v>
                </c:pt>
                <c:pt idx="1844">
                  <c:v>0.71534463774498946</c:v>
                </c:pt>
                <c:pt idx="1845">
                  <c:v>0.71536441700376019</c:v>
                </c:pt>
                <c:pt idx="1846">
                  <c:v>0.71536538675440076</c:v>
                </c:pt>
                <c:pt idx="1847">
                  <c:v>0.71553200244232673</c:v>
                </c:pt>
                <c:pt idx="1848">
                  <c:v>0.71554038491657679</c:v>
                </c:pt>
                <c:pt idx="1849">
                  <c:v>0.71556853682888366</c:v>
                </c:pt>
                <c:pt idx="1850">
                  <c:v>0.71562655416645293</c:v>
                </c:pt>
                <c:pt idx="1851">
                  <c:v>0.71569391792463011</c:v>
                </c:pt>
                <c:pt idx="1852">
                  <c:v>0.71573131724338457</c:v>
                </c:pt>
                <c:pt idx="1853">
                  <c:v>0.71577207024603795</c:v>
                </c:pt>
                <c:pt idx="1854">
                  <c:v>0.71603222602223049</c:v>
                </c:pt>
                <c:pt idx="1855">
                  <c:v>0.71655014276019224</c:v>
                </c:pt>
                <c:pt idx="1856">
                  <c:v>0.716636154115047</c:v>
                </c:pt>
                <c:pt idx="1857">
                  <c:v>0.71665465032444131</c:v>
                </c:pt>
                <c:pt idx="1858">
                  <c:v>0.71666666666666634</c:v>
                </c:pt>
                <c:pt idx="1859">
                  <c:v>0.71671906519923412</c:v>
                </c:pt>
                <c:pt idx="1860">
                  <c:v>0.71683815743028645</c:v>
                </c:pt>
                <c:pt idx="1861">
                  <c:v>0.71690846764392813</c:v>
                </c:pt>
                <c:pt idx="1862">
                  <c:v>0.71692755747314096</c:v>
                </c:pt>
                <c:pt idx="1863">
                  <c:v>0.717030868097013</c:v>
                </c:pt>
                <c:pt idx="1864">
                  <c:v>0.71716797416338296</c:v>
                </c:pt>
                <c:pt idx="1865">
                  <c:v>0.71730992574549257</c:v>
                </c:pt>
                <c:pt idx="1866">
                  <c:v>0.71732410239472844</c:v>
                </c:pt>
                <c:pt idx="1867">
                  <c:v>0.71734103361307</c:v>
                </c:pt>
                <c:pt idx="1868">
                  <c:v>0.71737636599018684</c:v>
                </c:pt>
                <c:pt idx="1869">
                  <c:v>0.71758897349740136</c:v>
                </c:pt>
                <c:pt idx="1870">
                  <c:v>0.71765932102441943</c:v>
                </c:pt>
                <c:pt idx="1871">
                  <c:v>0.71776492614011955</c:v>
                </c:pt>
                <c:pt idx="1872">
                  <c:v>0.71787303072222708</c:v>
                </c:pt>
                <c:pt idx="1873">
                  <c:v>0.71806747074403565</c:v>
                </c:pt>
                <c:pt idx="1874">
                  <c:v>0.71809246464752008</c:v>
                </c:pt>
                <c:pt idx="1875">
                  <c:v>0.71809802726658722</c:v>
                </c:pt>
                <c:pt idx="1876">
                  <c:v>0.7182266419981499</c:v>
                </c:pt>
                <c:pt idx="1877">
                  <c:v>0.7184731182795705</c:v>
                </c:pt>
                <c:pt idx="1878">
                  <c:v>0.71861104066375503</c:v>
                </c:pt>
                <c:pt idx="1879">
                  <c:v>0.71888762220469049</c:v>
                </c:pt>
                <c:pt idx="1880">
                  <c:v>0.71902733417775888</c:v>
                </c:pt>
                <c:pt idx="1881">
                  <c:v>0.71906381655024076</c:v>
                </c:pt>
                <c:pt idx="1882">
                  <c:v>0.71932194148139827</c:v>
                </c:pt>
                <c:pt idx="1883">
                  <c:v>0.7193923327449574</c:v>
                </c:pt>
                <c:pt idx="1884">
                  <c:v>0.71953599012360459</c:v>
                </c:pt>
                <c:pt idx="1885">
                  <c:v>0.72002575875476149</c:v>
                </c:pt>
                <c:pt idx="1886">
                  <c:v>0.72006708952258136</c:v>
                </c:pt>
                <c:pt idx="1887">
                  <c:v>0.72032289374831315</c:v>
                </c:pt>
                <c:pt idx="1888">
                  <c:v>0.72041366251547601</c:v>
                </c:pt>
                <c:pt idx="1889">
                  <c:v>0.72045275785372409</c:v>
                </c:pt>
                <c:pt idx="1890">
                  <c:v>0.72055477218976816</c:v>
                </c:pt>
                <c:pt idx="1891">
                  <c:v>0.7206277631432636</c:v>
                </c:pt>
                <c:pt idx="1892">
                  <c:v>0.72079734113137939</c:v>
                </c:pt>
                <c:pt idx="1893">
                  <c:v>0.72104257558264206</c:v>
                </c:pt>
                <c:pt idx="1894">
                  <c:v>0.72105636542554508</c:v>
                </c:pt>
                <c:pt idx="1895">
                  <c:v>0.72120866140696482</c:v>
                </c:pt>
                <c:pt idx="1896">
                  <c:v>0.72146708368426682</c:v>
                </c:pt>
                <c:pt idx="1897">
                  <c:v>0.72207534600551437</c:v>
                </c:pt>
                <c:pt idx="1898">
                  <c:v>0.72217946518444054</c:v>
                </c:pt>
                <c:pt idx="1899">
                  <c:v>0.72225414134559074</c:v>
                </c:pt>
                <c:pt idx="1900">
                  <c:v>0.72251582714010443</c:v>
                </c:pt>
                <c:pt idx="1901">
                  <c:v>0.72257792422731559</c:v>
                </c:pt>
                <c:pt idx="1902">
                  <c:v>0.72277350260452433</c:v>
                </c:pt>
                <c:pt idx="1903">
                  <c:v>0.72282913012417049</c:v>
                </c:pt>
                <c:pt idx="1904">
                  <c:v>0.72284302495937769</c:v>
                </c:pt>
                <c:pt idx="1905">
                  <c:v>0.72296422782335357</c:v>
                </c:pt>
                <c:pt idx="1906">
                  <c:v>0.72308102345415759</c:v>
                </c:pt>
                <c:pt idx="1907">
                  <c:v>0.72312113709942605</c:v>
                </c:pt>
                <c:pt idx="1908">
                  <c:v>0.72327005728841565</c:v>
                </c:pt>
                <c:pt idx="1909">
                  <c:v>0.72327738294272403</c:v>
                </c:pt>
                <c:pt idx="1910">
                  <c:v>0.72401865825033662</c:v>
                </c:pt>
                <c:pt idx="1911">
                  <c:v>0.72409879289745749</c:v>
                </c:pt>
                <c:pt idx="1912">
                  <c:v>0.72412398435769143</c:v>
                </c:pt>
                <c:pt idx="1913">
                  <c:v>0.72424768970261943</c:v>
                </c:pt>
                <c:pt idx="1914">
                  <c:v>0.72442721445879821</c:v>
                </c:pt>
                <c:pt idx="1915">
                  <c:v>0.72450157349554545</c:v>
                </c:pt>
                <c:pt idx="1916">
                  <c:v>0.7245603823085891</c:v>
                </c:pt>
                <c:pt idx="1917">
                  <c:v>0.72459316180652689</c:v>
                </c:pt>
                <c:pt idx="1918">
                  <c:v>0.72470075473584306</c:v>
                </c:pt>
                <c:pt idx="1919">
                  <c:v>0.72477038608637401</c:v>
                </c:pt>
                <c:pt idx="1920">
                  <c:v>0.72484415572899552</c:v>
                </c:pt>
                <c:pt idx="1921">
                  <c:v>0.72485108648630692</c:v>
                </c:pt>
                <c:pt idx="1922">
                  <c:v>0.72502016409400616</c:v>
                </c:pt>
                <c:pt idx="1923">
                  <c:v>0.72503723854606694</c:v>
                </c:pt>
                <c:pt idx="1924">
                  <c:v>0.72527400444889534</c:v>
                </c:pt>
                <c:pt idx="1925">
                  <c:v>0.72535465089413642</c:v>
                </c:pt>
                <c:pt idx="1926">
                  <c:v>0.7256205089880714</c:v>
                </c:pt>
                <c:pt idx="1927">
                  <c:v>0.72570787041087059</c:v>
                </c:pt>
                <c:pt idx="1928">
                  <c:v>0.72585150698358225</c:v>
                </c:pt>
                <c:pt idx="1929">
                  <c:v>0.7259377697222722</c:v>
                </c:pt>
                <c:pt idx="1930">
                  <c:v>0.72617302172397435</c:v>
                </c:pt>
                <c:pt idx="1931">
                  <c:v>0.72653724383906126</c:v>
                </c:pt>
                <c:pt idx="1932">
                  <c:v>0.72655780555418226</c:v>
                </c:pt>
                <c:pt idx="1933">
                  <c:v>0.72662160846860768</c:v>
                </c:pt>
                <c:pt idx="1934">
                  <c:v>0.72674781160430657</c:v>
                </c:pt>
                <c:pt idx="1935">
                  <c:v>0.7268494320970611</c:v>
                </c:pt>
                <c:pt idx="1936">
                  <c:v>0.72685637234388767</c:v>
                </c:pt>
                <c:pt idx="1937">
                  <c:v>0.72686076913980946</c:v>
                </c:pt>
                <c:pt idx="1938">
                  <c:v>0.72690073093318586</c:v>
                </c:pt>
                <c:pt idx="1939">
                  <c:v>0.72696698278890037</c:v>
                </c:pt>
                <c:pt idx="1940">
                  <c:v>0.72704507512520722</c:v>
                </c:pt>
                <c:pt idx="1941">
                  <c:v>0.72743591299530186</c:v>
                </c:pt>
                <c:pt idx="1942">
                  <c:v>0.72746815190004843</c:v>
                </c:pt>
                <c:pt idx="1943">
                  <c:v>0.72754001832751658</c:v>
                </c:pt>
                <c:pt idx="1944">
                  <c:v>0.72762410772225905</c:v>
                </c:pt>
                <c:pt idx="1945">
                  <c:v>0.72763846335766513</c:v>
                </c:pt>
                <c:pt idx="1946">
                  <c:v>0.72766804245283068</c:v>
                </c:pt>
                <c:pt idx="1947">
                  <c:v>0.72774407733869051</c:v>
                </c:pt>
                <c:pt idx="1948">
                  <c:v>0.72788232578727774</c:v>
                </c:pt>
                <c:pt idx="1949">
                  <c:v>0.72802277899550072</c:v>
                </c:pt>
                <c:pt idx="1950">
                  <c:v>0.72807158832321306</c:v>
                </c:pt>
                <c:pt idx="1951">
                  <c:v>0.72810595564069436</c:v>
                </c:pt>
                <c:pt idx="1952">
                  <c:v>0.72816062299730588</c:v>
                </c:pt>
                <c:pt idx="1953">
                  <c:v>0.72829038084325559</c:v>
                </c:pt>
                <c:pt idx="1954">
                  <c:v>0.72830549018468338</c:v>
                </c:pt>
                <c:pt idx="1955">
                  <c:v>0.72843161348407814</c:v>
                </c:pt>
                <c:pt idx="1956">
                  <c:v>0.72844209172314822</c:v>
                </c:pt>
                <c:pt idx="1957">
                  <c:v>0.72860097939885038</c:v>
                </c:pt>
                <c:pt idx="1958">
                  <c:v>0.72861960860043273</c:v>
                </c:pt>
                <c:pt idx="1959">
                  <c:v>0.72865573840473064</c:v>
                </c:pt>
                <c:pt idx="1960">
                  <c:v>0.72895561430599298</c:v>
                </c:pt>
                <c:pt idx="1961">
                  <c:v>0.72895688758805244</c:v>
                </c:pt>
                <c:pt idx="1962">
                  <c:v>0.72932682352332157</c:v>
                </c:pt>
                <c:pt idx="1963">
                  <c:v>0.72940778595414568</c:v>
                </c:pt>
                <c:pt idx="1964">
                  <c:v>0.72958280657395691</c:v>
                </c:pt>
                <c:pt idx="1965">
                  <c:v>0.72962401703800872</c:v>
                </c:pt>
                <c:pt idx="1966">
                  <c:v>0.7297734627831709</c:v>
                </c:pt>
                <c:pt idx="1967">
                  <c:v>0.72988833470905867</c:v>
                </c:pt>
                <c:pt idx="1968">
                  <c:v>0.73010591878386777</c:v>
                </c:pt>
                <c:pt idx="1969">
                  <c:v>0.73029201250860598</c:v>
                </c:pt>
                <c:pt idx="1970">
                  <c:v>0.73036478953778139</c:v>
                </c:pt>
                <c:pt idx="1971">
                  <c:v>0.73062975544707964</c:v>
                </c:pt>
                <c:pt idx="1972">
                  <c:v>0.73074316266427553</c:v>
                </c:pt>
                <c:pt idx="1973">
                  <c:v>0.73079934017390369</c:v>
                </c:pt>
                <c:pt idx="1974">
                  <c:v>0.73096103554334657</c:v>
                </c:pt>
                <c:pt idx="1975">
                  <c:v>0.73105961989065338</c:v>
                </c:pt>
                <c:pt idx="1976">
                  <c:v>0.73156628884465535</c:v>
                </c:pt>
                <c:pt idx="1977">
                  <c:v>0.73164984262077182</c:v>
                </c:pt>
                <c:pt idx="1978">
                  <c:v>0.73173002719577973</c:v>
                </c:pt>
                <c:pt idx="1979">
                  <c:v>0.73179381250334297</c:v>
                </c:pt>
                <c:pt idx="1980">
                  <c:v>0.73203576304693974</c:v>
                </c:pt>
                <c:pt idx="1981">
                  <c:v>0.73229308820222117</c:v>
                </c:pt>
                <c:pt idx="1982">
                  <c:v>0.73238002635636268</c:v>
                </c:pt>
                <c:pt idx="1983">
                  <c:v>0.73240094741286244</c:v>
                </c:pt>
                <c:pt idx="1984">
                  <c:v>0.73247279500669837</c:v>
                </c:pt>
                <c:pt idx="1985">
                  <c:v>0.73324675202343503</c:v>
                </c:pt>
                <c:pt idx="1986">
                  <c:v>0.73347107438016468</c:v>
                </c:pt>
                <c:pt idx="1987">
                  <c:v>0.73351630716323513</c:v>
                </c:pt>
                <c:pt idx="1988">
                  <c:v>0.73360471984798592</c:v>
                </c:pt>
                <c:pt idx="1989">
                  <c:v>0.73364672571511469</c:v>
                </c:pt>
                <c:pt idx="1990">
                  <c:v>0.73385731915143593</c:v>
                </c:pt>
                <c:pt idx="1991">
                  <c:v>0.73391529265890043</c:v>
                </c:pt>
                <c:pt idx="1992">
                  <c:v>0.73420809865993408</c:v>
                </c:pt>
                <c:pt idx="1993">
                  <c:v>0.73421745401485428</c:v>
                </c:pt>
                <c:pt idx="1994">
                  <c:v>0.73423256959842265</c:v>
                </c:pt>
                <c:pt idx="1995">
                  <c:v>0.73431202265102702</c:v>
                </c:pt>
                <c:pt idx="1996">
                  <c:v>0.73440612364979019</c:v>
                </c:pt>
                <c:pt idx="1997">
                  <c:v>0.73458146043592487</c:v>
                </c:pt>
                <c:pt idx="1998">
                  <c:v>0.73459884029409439</c:v>
                </c:pt>
                <c:pt idx="1999">
                  <c:v>0.73477212538044989</c:v>
                </c:pt>
                <c:pt idx="2000">
                  <c:v>0.73477493007495298</c:v>
                </c:pt>
                <c:pt idx="2001">
                  <c:v>0.73489722495663989</c:v>
                </c:pt>
                <c:pt idx="2002">
                  <c:v>0.73492334370097201</c:v>
                </c:pt>
                <c:pt idx="2003">
                  <c:v>0.73494268771997118</c:v>
                </c:pt>
                <c:pt idx="2004">
                  <c:v>0.7351684503020679</c:v>
                </c:pt>
                <c:pt idx="2005">
                  <c:v>0.73521841081120887</c:v>
                </c:pt>
                <c:pt idx="2006">
                  <c:v>0.73521862267496529</c:v>
                </c:pt>
                <c:pt idx="2007">
                  <c:v>0.73537927514808676</c:v>
                </c:pt>
                <c:pt idx="2008">
                  <c:v>0.73559108630764325</c:v>
                </c:pt>
                <c:pt idx="2009">
                  <c:v>0.7359627706055003</c:v>
                </c:pt>
                <c:pt idx="2010">
                  <c:v>0.73610142144417146</c:v>
                </c:pt>
                <c:pt idx="2011">
                  <c:v>0.7361661011728835</c:v>
                </c:pt>
                <c:pt idx="2012">
                  <c:v>0.73649178789599912</c:v>
                </c:pt>
                <c:pt idx="2013">
                  <c:v>0.73660812496770289</c:v>
                </c:pt>
                <c:pt idx="2014">
                  <c:v>0.73673873950412727</c:v>
                </c:pt>
                <c:pt idx="2015">
                  <c:v>0.73674377032585969</c:v>
                </c:pt>
                <c:pt idx="2016">
                  <c:v>0.7369804684710427</c:v>
                </c:pt>
                <c:pt idx="2017">
                  <c:v>0.73703718761858295</c:v>
                </c:pt>
                <c:pt idx="2018">
                  <c:v>0.73715018948069788</c:v>
                </c:pt>
                <c:pt idx="2019">
                  <c:v>0.73720488828210951</c:v>
                </c:pt>
                <c:pt idx="2020">
                  <c:v>0.73740225336999488</c:v>
                </c:pt>
                <c:pt idx="2021">
                  <c:v>0.73808977393301001</c:v>
                </c:pt>
                <c:pt idx="2022">
                  <c:v>0.7384991273996504</c:v>
                </c:pt>
                <c:pt idx="2023">
                  <c:v>0.73868767962628834</c:v>
                </c:pt>
                <c:pt idx="2024">
                  <c:v>0.73873806184465318</c:v>
                </c:pt>
                <c:pt idx="2025">
                  <c:v>0.73875636595756533</c:v>
                </c:pt>
                <c:pt idx="2026">
                  <c:v>0.73904007588151444</c:v>
                </c:pt>
                <c:pt idx="2027">
                  <c:v>0.73911792738118154</c:v>
                </c:pt>
                <c:pt idx="2028">
                  <c:v>0.7394603514886996</c:v>
                </c:pt>
                <c:pt idx="2029">
                  <c:v>0.73977449983729671</c:v>
                </c:pt>
                <c:pt idx="2030">
                  <c:v>0.74045630398859741</c:v>
                </c:pt>
                <c:pt idx="2031">
                  <c:v>0.74059303528330034</c:v>
                </c:pt>
                <c:pt idx="2032">
                  <c:v>0.74149480656329902</c:v>
                </c:pt>
                <c:pt idx="2033">
                  <c:v>0.74150758884148493</c:v>
                </c:pt>
                <c:pt idx="2034">
                  <c:v>0.7417006299524479</c:v>
                </c:pt>
                <c:pt idx="2035">
                  <c:v>0.74185537309132754</c:v>
                </c:pt>
                <c:pt idx="2036">
                  <c:v>0.74196387444890366</c:v>
                </c:pt>
                <c:pt idx="2037">
                  <c:v>0.74196766425868643</c:v>
                </c:pt>
                <c:pt idx="2038">
                  <c:v>0.74204088675726554</c:v>
                </c:pt>
                <c:pt idx="2039">
                  <c:v>0.74206310965489819</c:v>
                </c:pt>
                <c:pt idx="2040">
                  <c:v>0.74213507625272235</c:v>
                </c:pt>
                <c:pt idx="2041">
                  <c:v>0.74232083486646283</c:v>
                </c:pt>
                <c:pt idx="2042">
                  <c:v>0.74251850158818256</c:v>
                </c:pt>
                <c:pt idx="2043">
                  <c:v>0.74252584873813765</c:v>
                </c:pt>
                <c:pt idx="2044">
                  <c:v>0.742873448785344</c:v>
                </c:pt>
                <c:pt idx="2045">
                  <c:v>0.74302265391374445</c:v>
                </c:pt>
                <c:pt idx="2046">
                  <c:v>0.74345912852154794</c:v>
                </c:pt>
                <c:pt idx="2047">
                  <c:v>0.74349359180924157</c:v>
                </c:pt>
                <c:pt idx="2048">
                  <c:v>0.7436334198359088</c:v>
                </c:pt>
                <c:pt idx="2049">
                  <c:v>0.74389937510357118</c:v>
                </c:pt>
                <c:pt idx="2050">
                  <c:v>0.74391091949746058</c:v>
                </c:pt>
                <c:pt idx="2051">
                  <c:v>0.74398849142160139</c:v>
                </c:pt>
                <c:pt idx="2052">
                  <c:v>0.74434636303094803</c:v>
                </c:pt>
                <c:pt idx="2053">
                  <c:v>0.74441922340406419</c:v>
                </c:pt>
                <c:pt idx="2054">
                  <c:v>0.74447738227240923</c:v>
                </c:pt>
                <c:pt idx="2055">
                  <c:v>0.74447811735983715</c:v>
                </c:pt>
                <c:pt idx="2056">
                  <c:v>0.74453088798380607</c:v>
                </c:pt>
                <c:pt idx="2057">
                  <c:v>0.74488420158223156</c:v>
                </c:pt>
                <c:pt idx="2058">
                  <c:v>0.74526295603816117</c:v>
                </c:pt>
                <c:pt idx="2059">
                  <c:v>0.74542026888067925</c:v>
                </c:pt>
                <c:pt idx="2060">
                  <c:v>0.74543478855143464</c:v>
                </c:pt>
                <c:pt idx="2061">
                  <c:v>0.74566668613580134</c:v>
                </c:pt>
                <c:pt idx="2062">
                  <c:v>0.74587204343415836</c:v>
                </c:pt>
                <c:pt idx="2063">
                  <c:v>0.74640169785838295</c:v>
                </c:pt>
                <c:pt idx="2064">
                  <c:v>0.74646444741253215</c:v>
                </c:pt>
                <c:pt idx="2065">
                  <c:v>0.74655669658499857</c:v>
                </c:pt>
                <c:pt idx="2066">
                  <c:v>0.74665135080117528</c:v>
                </c:pt>
                <c:pt idx="2067">
                  <c:v>0.74673746112350237</c:v>
                </c:pt>
                <c:pt idx="2068">
                  <c:v>0.74691513314014912</c:v>
                </c:pt>
                <c:pt idx="2069">
                  <c:v>0.74704210577673602</c:v>
                </c:pt>
                <c:pt idx="2070">
                  <c:v>0.74716077229623989</c:v>
                </c:pt>
                <c:pt idx="2071">
                  <c:v>0.74717368961973207</c:v>
                </c:pt>
                <c:pt idx="2072">
                  <c:v>0.74726488005620817</c:v>
                </c:pt>
                <c:pt idx="2073">
                  <c:v>0.74733026892798571</c:v>
                </c:pt>
                <c:pt idx="2074">
                  <c:v>0.74734302823229748</c:v>
                </c:pt>
                <c:pt idx="2075">
                  <c:v>0.74758170017969472</c:v>
                </c:pt>
                <c:pt idx="2076">
                  <c:v>0.74759649122806915</c:v>
                </c:pt>
                <c:pt idx="2077">
                  <c:v>0.74785025873843403</c:v>
                </c:pt>
                <c:pt idx="2078">
                  <c:v>0.74790320880576966</c:v>
                </c:pt>
                <c:pt idx="2079">
                  <c:v>0.74799058835371801</c:v>
                </c:pt>
                <c:pt idx="2080">
                  <c:v>0.7481355948782652</c:v>
                </c:pt>
                <c:pt idx="2081">
                  <c:v>0.74831162769774084</c:v>
                </c:pt>
                <c:pt idx="2082">
                  <c:v>0.74852285332669288</c:v>
                </c:pt>
                <c:pt idx="2083">
                  <c:v>0.74858543867897231</c:v>
                </c:pt>
                <c:pt idx="2084">
                  <c:v>0.74884326200115614</c:v>
                </c:pt>
                <c:pt idx="2085">
                  <c:v>0.74978843096490144</c:v>
                </c:pt>
                <c:pt idx="2086">
                  <c:v>0.74992436376915106</c:v>
                </c:pt>
                <c:pt idx="2087">
                  <c:v>0.75015332556956427</c:v>
                </c:pt>
                <c:pt idx="2088">
                  <c:v>0.75016183718858398</c:v>
                </c:pt>
                <c:pt idx="2089">
                  <c:v>0.75042022364164429</c:v>
                </c:pt>
                <c:pt idx="2090">
                  <c:v>0.75094232974536712</c:v>
                </c:pt>
                <c:pt idx="2091">
                  <c:v>0.75102163086486018</c:v>
                </c:pt>
                <c:pt idx="2092">
                  <c:v>0.7513077331781538</c:v>
                </c:pt>
                <c:pt idx="2093">
                  <c:v>0.75209320812469316</c:v>
                </c:pt>
                <c:pt idx="2094">
                  <c:v>0.75221752565765188</c:v>
                </c:pt>
                <c:pt idx="2095">
                  <c:v>0.75223571684511459</c:v>
                </c:pt>
                <c:pt idx="2096">
                  <c:v>0.75234620758494275</c:v>
                </c:pt>
                <c:pt idx="2097">
                  <c:v>0.75283822987132909</c:v>
                </c:pt>
                <c:pt idx="2098">
                  <c:v>0.75286478227654763</c:v>
                </c:pt>
                <c:pt idx="2099">
                  <c:v>0.75289893243432993</c:v>
                </c:pt>
                <c:pt idx="2100">
                  <c:v>0.75319899447662841</c:v>
                </c:pt>
                <c:pt idx="2101">
                  <c:v>0.75320193173644645</c:v>
                </c:pt>
                <c:pt idx="2102">
                  <c:v>0.75323076923076815</c:v>
                </c:pt>
                <c:pt idx="2103">
                  <c:v>0.75327716779707421</c:v>
                </c:pt>
                <c:pt idx="2104">
                  <c:v>0.75328615672716859</c:v>
                </c:pt>
                <c:pt idx="2105">
                  <c:v>0.75342374847260341</c:v>
                </c:pt>
                <c:pt idx="2106">
                  <c:v>0.75355504412369867</c:v>
                </c:pt>
                <c:pt idx="2107">
                  <c:v>0.75363601857885376</c:v>
                </c:pt>
                <c:pt idx="2108">
                  <c:v>0.75369940662703294</c:v>
                </c:pt>
                <c:pt idx="2109">
                  <c:v>0.75369991141641657</c:v>
                </c:pt>
                <c:pt idx="2110">
                  <c:v>0.7538686562131176</c:v>
                </c:pt>
                <c:pt idx="2111">
                  <c:v>0.75398900987076378</c:v>
                </c:pt>
                <c:pt idx="2112">
                  <c:v>0.75411145209105102</c:v>
                </c:pt>
                <c:pt idx="2113">
                  <c:v>0.75432351415230336</c:v>
                </c:pt>
                <c:pt idx="2114">
                  <c:v>0.75437141513869388</c:v>
                </c:pt>
                <c:pt idx="2115">
                  <c:v>0.7545047691795439</c:v>
                </c:pt>
                <c:pt idx="2116">
                  <c:v>0.75484458198698301</c:v>
                </c:pt>
                <c:pt idx="2117">
                  <c:v>0.75486302393611437</c:v>
                </c:pt>
                <c:pt idx="2118">
                  <c:v>0.75488673969740661</c:v>
                </c:pt>
                <c:pt idx="2119">
                  <c:v>0.75510803136740534</c:v>
                </c:pt>
                <c:pt idx="2120">
                  <c:v>0.75633772525375498</c:v>
                </c:pt>
                <c:pt idx="2121">
                  <c:v>0.75635408317748754</c:v>
                </c:pt>
                <c:pt idx="2122">
                  <c:v>0.7564475298384683</c:v>
                </c:pt>
                <c:pt idx="2123">
                  <c:v>0.75679614777595228</c:v>
                </c:pt>
                <c:pt idx="2124">
                  <c:v>0.75704271722132221</c:v>
                </c:pt>
                <c:pt idx="2125">
                  <c:v>0.75722663909641696</c:v>
                </c:pt>
                <c:pt idx="2126">
                  <c:v>0.75726341016958199</c:v>
                </c:pt>
                <c:pt idx="2127">
                  <c:v>0.75727181751378658</c:v>
                </c:pt>
                <c:pt idx="2128">
                  <c:v>0.75764005755957198</c:v>
                </c:pt>
                <c:pt idx="2129">
                  <c:v>0.75794827085149608</c:v>
                </c:pt>
                <c:pt idx="2130">
                  <c:v>0.75824755588095927</c:v>
                </c:pt>
                <c:pt idx="2131">
                  <c:v>0.7582499409030018</c:v>
                </c:pt>
                <c:pt idx="2132">
                  <c:v>0.75876807808174995</c:v>
                </c:pt>
                <c:pt idx="2133">
                  <c:v>0.75887001023541367</c:v>
                </c:pt>
                <c:pt idx="2134">
                  <c:v>0.75914466446644568</c:v>
                </c:pt>
                <c:pt idx="2135">
                  <c:v>0.75977010294572955</c:v>
                </c:pt>
                <c:pt idx="2136">
                  <c:v>0.76014654403847159</c:v>
                </c:pt>
                <c:pt idx="2137">
                  <c:v>0.76020239999023476</c:v>
                </c:pt>
                <c:pt idx="2138">
                  <c:v>0.76034231593559098</c:v>
                </c:pt>
                <c:pt idx="2139">
                  <c:v>0.76084110620193024</c:v>
                </c:pt>
                <c:pt idx="2140">
                  <c:v>0.76092996052054351</c:v>
                </c:pt>
                <c:pt idx="2141">
                  <c:v>0.760938256572389</c:v>
                </c:pt>
                <c:pt idx="2142">
                  <c:v>0.76129355786723774</c:v>
                </c:pt>
                <c:pt idx="2143">
                  <c:v>0.76181178753334977</c:v>
                </c:pt>
                <c:pt idx="2144">
                  <c:v>0.76185265143055592</c:v>
                </c:pt>
                <c:pt idx="2145">
                  <c:v>0.76196756691945677</c:v>
                </c:pt>
                <c:pt idx="2146">
                  <c:v>0.76205115359361741</c:v>
                </c:pt>
                <c:pt idx="2147">
                  <c:v>0.7623406341941813</c:v>
                </c:pt>
                <c:pt idx="2148">
                  <c:v>0.76242871716195093</c:v>
                </c:pt>
                <c:pt idx="2149">
                  <c:v>0.76272984441301306</c:v>
                </c:pt>
                <c:pt idx="2150">
                  <c:v>0.76289183967009133</c:v>
                </c:pt>
                <c:pt idx="2151">
                  <c:v>0.76321353065539144</c:v>
                </c:pt>
                <c:pt idx="2152">
                  <c:v>0.76324406481091844</c:v>
                </c:pt>
                <c:pt idx="2153">
                  <c:v>0.76334370427197495</c:v>
                </c:pt>
                <c:pt idx="2154">
                  <c:v>0.76340584064415484</c:v>
                </c:pt>
                <c:pt idx="2155">
                  <c:v>0.76363846509477551</c:v>
                </c:pt>
                <c:pt idx="2156">
                  <c:v>0.76371578743825519</c:v>
                </c:pt>
                <c:pt idx="2157">
                  <c:v>0.7639595139014691</c:v>
                </c:pt>
                <c:pt idx="2158">
                  <c:v>0.76396393272733343</c:v>
                </c:pt>
                <c:pt idx="2159">
                  <c:v>0.76419916152727507</c:v>
                </c:pt>
                <c:pt idx="2160">
                  <c:v>0.76463446618780462</c:v>
                </c:pt>
                <c:pt idx="2161">
                  <c:v>0.76463599615625877</c:v>
                </c:pt>
                <c:pt idx="2162">
                  <c:v>0.76466237550533112</c:v>
                </c:pt>
                <c:pt idx="2163">
                  <c:v>0.76470543255513268</c:v>
                </c:pt>
                <c:pt idx="2164">
                  <c:v>0.76489854838613536</c:v>
                </c:pt>
                <c:pt idx="2165">
                  <c:v>0.76545604969295844</c:v>
                </c:pt>
                <c:pt idx="2166">
                  <c:v>0.76562965982599673</c:v>
                </c:pt>
                <c:pt idx="2167">
                  <c:v>0.76584501396612636</c:v>
                </c:pt>
                <c:pt idx="2168">
                  <c:v>0.76598740324809655</c:v>
                </c:pt>
                <c:pt idx="2169">
                  <c:v>0.76653707459995468</c:v>
                </c:pt>
                <c:pt idx="2170">
                  <c:v>0.76664544260661982</c:v>
                </c:pt>
                <c:pt idx="2171">
                  <c:v>0.76680782853382967</c:v>
                </c:pt>
                <c:pt idx="2172">
                  <c:v>0.76711686611652075</c:v>
                </c:pt>
                <c:pt idx="2173">
                  <c:v>0.76719565398285705</c:v>
                </c:pt>
                <c:pt idx="2174">
                  <c:v>0.76724975350667035</c:v>
                </c:pt>
                <c:pt idx="2175">
                  <c:v>0.76726080867673829</c:v>
                </c:pt>
                <c:pt idx="2176">
                  <c:v>0.76729423422307452</c:v>
                </c:pt>
                <c:pt idx="2177">
                  <c:v>0.76738801488518604</c:v>
                </c:pt>
                <c:pt idx="2178">
                  <c:v>0.76739943998489657</c:v>
                </c:pt>
                <c:pt idx="2179">
                  <c:v>0.76742804447675927</c:v>
                </c:pt>
                <c:pt idx="2180">
                  <c:v>0.76754385964912297</c:v>
                </c:pt>
                <c:pt idx="2181">
                  <c:v>0.7675587413494307</c:v>
                </c:pt>
                <c:pt idx="2182">
                  <c:v>0.76762566417738876</c:v>
                </c:pt>
                <c:pt idx="2183">
                  <c:v>0.76783857390443044</c:v>
                </c:pt>
                <c:pt idx="2184">
                  <c:v>0.76826358826358798</c:v>
                </c:pt>
                <c:pt idx="2185">
                  <c:v>0.76838462689769993</c:v>
                </c:pt>
                <c:pt idx="2186">
                  <c:v>0.76850409037787271</c:v>
                </c:pt>
                <c:pt idx="2187">
                  <c:v>0.76862909128934431</c:v>
                </c:pt>
                <c:pt idx="2188">
                  <c:v>0.76890903817679435</c:v>
                </c:pt>
                <c:pt idx="2189">
                  <c:v>0.76918634699969424</c:v>
                </c:pt>
                <c:pt idx="2190">
                  <c:v>0.76934004331762074</c:v>
                </c:pt>
                <c:pt idx="2191">
                  <c:v>0.76942291227655468</c:v>
                </c:pt>
                <c:pt idx="2192">
                  <c:v>0.76943400898261638</c:v>
                </c:pt>
                <c:pt idx="2193">
                  <c:v>0.76974191121784807</c:v>
                </c:pt>
                <c:pt idx="2194">
                  <c:v>0.76974496415727434</c:v>
                </c:pt>
                <c:pt idx="2195">
                  <c:v>0.76990076859467016</c:v>
                </c:pt>
                <c:pt idx="2196">
                  <c:v>0.76999999999999991</c:v>
                </c:pt>
                <c:pt idx="2197">
                  <c:v>0.77005498450996035</c:v>
                </c:pt>
                <c:pt idx="2198">
                  <c:v>0.7701319751954423</c:v>
                </c:pt>
                <c:pt idx="2199">
                  <c:v>0.77088100686498817</c:v>
                </c:pt>
                <c:pt idx="2200">
                  <c:v>0.77139639639639623</c:v>
                </c:pt>
                <c:pt idx="2201">
                  <c:v>0.77149976061455272</c:v>
                </c:pt>
                <c:pt idx="2202">
                  <c:v>0.77152777777777737</c:v>
                </c:pt>
                <c:pt idx="2203">
                  <c:v>0.77156848862456262</c:v>
                </c:pt>
                <c:pt idx="2204">
                  <c:v>0.77172124621835314</c:v>
                </c:pt>
                <c:pt idx="2205">
                  <c:v>0.77216108704093911</c:v>
                </c:pt>
                <c:pt idx="2206">
                  <c:v>0.77230414746543818</c:v>
                </c:pt>
                <c:pt idx="2207">
                  <c:v>0.7723948628558831</c:v>
                </c:pt>
                <c:pt idx="2208">
                  <c:v>0.77247106838708124</c:v>
                </c:pt>
                <c:pt idx="2209">
                  <c:v>0.7726273588166177</c:v>
                </c:pt>
                <c:pt idx="2210">
                  <c:v>0.77311731320866239</c:v>
                </c:pt>
                <c:pt idx="2211">
                  <c:v>0.77315883673642261</c:v>
                </c:pt>
                <c:pt idx="2212">
                  <c:v>0.77447409376805232</c:v>
                </c:pt>
                <c:pt idx="2213">
                  <c:v>0.7744844995937854</c:v>
                </c:pt>
                <c:pt idx="2214">
                  <c:v>0.77458265617601907</c:v>
                </c:pt>
                <c:pt idx="2215">
                  <c:v>0.77462756416047895</c:v>
                </c:pt>
                <c:pt idx="2216">
                  <c:v>0.77509293680297442</c:v>
                </c:pt>
                <c:pt idx="2217">
                  <c:v>0.77515451174289218</c:v>
                </c:pt>
                <c:pt idx="2218">
                  <c:v>0.77517988586551945</c:v>
                </c:pt>
                <c:pt idx="2219">
                  <c:v>0.77561581569315463</c:v>
                </c:pt>
                <c:pt idx="2220">
                  <c:v>0.7756585949346817</c:v>
                </c:pt>
                <c:pt idx="2221">
                  <c:v>0.77584409335151161</c:v>
                </c:pt>
                <c:pt idx="2222">
                  <c:v>0.7761791548431618</c:v>
                </c:pt>
                <c:pt idx="2223">
                  <c:v>0.77638103219498578</c:v>
                </c:pt>
                <c:pt idx="2224">
                  <c:v>0.77640434682688231</c:v>
                </c:pt>
                <c:pt idx="2225">
                  <c:v>0.77739827272784412</c:v>
                </c:pt>
                <c:pt idx="2226">
                  <c:v>0.77775595238095263</c:v>
                </c:pt>
                <c:pt idx="2227">
                  <c:v>0.7778305768709004</c:v>
                </c:pt>
                <c:pt idx="2228">
                  <c:v>0.77808819177271449</c:v>
                </c:pt>
                <c:pt idx="2229">
                  <c:v>0.77816202427951287</c:v>
                </c:pt>
                <c:pt idx="2230">
                  <c:v>0.77826342968009654</c:v>
                </c:pt>
                <c:pt idx="2231">
                  <c:v>0.77858327168839114</c:v>
                </c:pt>
                <c:pt idx="2232">
                  <c:v>0.77894969666329672</c:v>
                </c:pt>
                <c:pt idx="2233">
                  <c:v>0.77931609674728897</c:v>
                </c:pt>
                <c:pt idx="2234">
                  <c:v>0.77967079585949373</c:v>
                </c:pt>
                <c:pt idx="2235">
                  <c:v>0.77968472573717174</c:v>
                </c:pt>
                <c:pt idx="2236">
                  <c:v>0.7798635002282418</c:v>
                </c:pt>
                <c:pt idx="2237">
                  <c:v>0.78129606802344553</c:v>
                </c:pt>
                <c:pt idx="2238">
                  <c:v>0.78147811438808479</c:v>
                </c:pt>
                <c:pt idx="2239">
                  <c:v>0.78200281950055384</c:v>
                </c:pt>
                <c:pt idx="2240">
                  <c:v>0.78240347515769337</c:v>
                </c:pt>
                <c:pt idx="2241">
                  <c:v>0.78249345244628699</c:v>
                </c:pt>
                <c:pt idx="2242">
                  <c:v>0.782617880045266</c:v>
                </c:pt>
                <c:pt idx="2243">
                  <c:v>0.78291917133501965</c:v>
                </c:pt>
                <c:pt idx="2244">
                  <c:v>0.78299170612043001</c:v>
                </c:pt>
                <c:pt idx="2245">
                  <c:v>0.78328987343329171</c:v>
                </c:pt>
                <c:pt idx="2246">
                  <c:v>0.78359746320277746</c:v>
                </c:pt>
                <c:pt idx="2247">
                  <c:v>0.78460510597892685</c:v>
                </c:pt>
                <c:pt idx="2248">
                  <c:v>0.7846564464450615</c:v>
                </c:pt>
                <c:pt idx="2249">
                  <c:v>0.78523376280954449</c:v>
                </c:pt>
                <c:pt idx="2250">
                  <c:v>0.78634166907396041</c:v>
                </c:pt>
                <c:pt idx="2251">
                  <c:v>0.78636293534369428</c:v>
                </c:pt>
                <c:pt idx="2252">
                  <c:v>0.78723906779406294</c:v>
                </c:pt>
                <c:pt idx="2253">
                  <c:v>0.78801046524855001</c:v>
                </c:pt>
                <c:pt idx="2254">
                  <c:v>0.78827471614511313</c:v>
                </c:pt>
                <c:pt idx="2255">
                  <c:v>0.78843144336102078</c:v>
                </c:pt>
                <c:pt idx="2256">
                  <c:v>0.78845920116281065</c:v>
                </c:pt>
                <c:pt idx="2257">
                  <c:v>0.78846926981255405</c:v>
                </c:pt>
                <c:pt idx="2258">
                  <c:v>0.78862761792469671</c:v>
                </c:pt>
                <c:pt idx="2259">
                  <c:v>0.7894809592922799</c:v>
                </c:pt>
                <c:pt idx="2260">
                  <c:v>0.78952771569010771</c:v>
                </c:pt>
                <c:pt idx="2261">
                  <c:v>0.79023835506289175</c:v>
                </c:pt>
                <c:pt idx="2262">
                  <c:v>0.79030100744849296</c:v>
                </c:pt>
                <c:pt idx="2263">
                  <c:v>0.79040557441486525</c:v>
                </c:pt>
                <c:pt idx="2264">
                  <c:v>0.7906955911019371</c:v>
                </c:pt>
                <c:pt idx="2265">
                  <c:v>0.79138247102017456</c:v>
                </c:pt>
                <c:pt idx="2266">
                  <c:v>0.79158527954706348</c:v>
                </c:pt>
                <c:pt idx="2267">
                  <c:v>0.79160515533003517</c:v>
                </c:pt>
                <c:pt idx="2268">
                  <c:v>0.79216240625122636</c:v>
                </c:pt>
                <c:pt idx="2269">
                  <c:v>0.7921994134897361</c:v>
                </c:pt>
                <c:pt idx="2270">
                  <c:v>0.79222972972972916</c:v>
                </c:pt>
                <c:pt idx="2271">
                  <c:v>0.79240119829473377</c:v>
                </c:pt>
                <c:pt idx="2272">
                  <c:v>0.79328507438131457</c:v>
                </c:pt>
                <c:pt idx="2273">
                  <c:v>0.79334217897685433</c:v>
                </c:pt>
                <c:pt idx="2274">
                  <c:v>0.79414208558371457</c:v>
                </c:pt>
                <c:pt idx="2275">
                  <c:v>0.79534736794602778</c:v>
                </c:pt>
                <c:pt idx="2276">
                  <c:v>0.79577942747107699</c:v>
                </c:pt>
                <c:pt idx="2277">
                  <c:v>0.79613095238095311</c:v>
                </c:pt>
                <c:pt idx="2278">
                  <c:v>0.79736376155813438</c:v>
                </c:pt>
                <c:pt idx="2279">
                  <c:v>0.79773224833739487</c:v>
                </c:pt>
                <c:pt idx="2280">
                  <c:v>0.7982812001576195</c:v>
                </c:pt>
                <c:pt idx="2281">
                  <c:v>0.79883336774726277</c:v>
                </c:pt>
                <c:pt idx="2282">
                  <c:v>0.79987706357569366</c:v>
                </c:pt>
                <c:pt idx="2283">
                  <c:v>0.80141889712995729</c:v>
                </c:pt>
                <c:pt idx="2284">
                  <c:v>0.80297211867638263</c:v>
                </c:pt>
                <c:pt idx="2285">
                  <c:v>0.80412929660823984</c:v>
                </c:pt>
                <c:pt idx="2286">
                  <c:v>0.80460947366167934</c:v>
                </c:pt>
                <c:pt idx="2287">
                  <c:v>0.80466908237889456</c:v>
                </c:pt>
                <c:pt idx="2288">
                  <c:v>0.80524347214081748</c:v>
                </c:pt>
                <c:pt idx="2289">
                  <c:v>0.80544552040276396</c:v>
                </c:pt>
                <c:pt idx="2290">
                  <c:v>0.80617464377055126</c:v>
                </c:pt>
                <c:pt idx="2291">
                  <c:v>0.80880457102866576</c:v>
                </c:pt>
                <c:pt idx="2292">
                  <c:v>0.80919397278888017</c:v>
                </c:pt>
                <c:pt idx="2293">
                  <c:v>0.81039272271919349</c:v>
                </c:pt>
                <c:pt idx="2294">
                  <c:v>0.81093600843141533</c:v>
                </c:pt>
                <c:pt idx="2295">
                  <c:v>0.81141627730833232</c:v>
                </c:pt>
                <c:pt idx="2296">
                  <c:v>0.81359947093431606</c:v>
                </c:pt>
                <c:pt idx="2297">
                  <c:v>0.81724709819492691</c:v>
                </c:pt>
                <c:pt idx="2298">
                  <c:v>0.8182125080471685</c:v>
                </c:pt>
                <c:pt idx="2299">
                  <c:v>0.81847661473366196</c:v>
                </c:pt>
                <c:pt idx="2300">
                  <c:v>0.82033158813263596</c:v>
                </c:pt>
                <c:pt idx="2301">
                  <c:v>0.8227480399878373</c:v>
                </c:pt>
                <c:pt idx="2302">
                  <c:v>0.82331999343525497</c:v>
                </c:pt>
                <c:pt idx="2303">
                  <c:v>0.82554600835591085</c:v>
                </c:pt>
                <c:pt idx="2304">
                  <c:v>0.82585651717969266</c:v>
                </c:pt>
                <c:pt idx="2305">
                  <c:v>0.82616451509655375</c:v>
                </c:pt>
                <c:pt idx="2306">
                  <c:v>0.8284169124877091</c:v>
                </c:pt>
                <c:pt idx="2307">
                  <c:v>0.83135940970522926</c:v>
                </c:pt>
                <c:pt idx="2308">
                  <c:v>0.83416258717181391</c:v>
                </c:pt>
                <c:pt idx="2309">
                  <c:v>0.83664954624873877</c:v>
                </c:pt>
                <c:pt idx="2310">
                  <c:v>0.84309504004175317</c:v>
                </c:pt>
                <c:pt idx="2311">
                  <c:v>0.86489100318887613</c:v>
                </c:pt>
                <c:pt idx="2312">
                  <c:v>0.87137607186606891</c:v>
                </c:pt>
              </c:numCache>
            </c:numRef>
          </c:yVal>
          <c:smooth val="0"/>
          <c:extLst>
            <c:ext xmlns:c16="http://schemas.microsoft.com/office/drawing/2014/chart" uri="{C3380CC4-5D6E-409C-BE32-E72D297353CC}">
              <c16:uniqueId val="{00000003-538E-45C0-9566-83155F10FEF1}"/>
            </c:ext>
          </c:extLst>
        </c:ser>
        <c:ser>
          <c:idx val="4"/>
          <c:order val="4"/>
          <c:tx>
            <c:strRef>
              <c:f>'Pasted values for chart'!$I$2</c:f>
              <c:strCache>
                <c:ptCount val="1"/>
                <c:pt idx="0">
                  <c:v>Persons/SQKM</c:v>
                </c:pt>
              </c:strCache>
            </c:strRef>
          </c:tx>
          <c:spPr>
            <a:ln w="25400" cap="rnd">
              <a:noFill/>
              <a:round/>
            </a:ln>
            <a:effectLst/>
          </c:spPr>
          <c:marker>
            <c:symbol val="circle"/>
            <c:size val="5"/>
            <c:spPr>
              <a:noFill/>
              <a:ln w="9525">
                <a:noFill/>
              </a:ln>
              <a:effectLst/>
            </c:spPr>
          </c:marker>
          <c:dLbls>
            <c:dLbl>
              <c:idx val="0"/>
              <c:layout>
                <c:manualLayout>
                  <c:x val="-0.10858109994416527"/>
                  <c:y val="7.8578871955190754E-2"/>
                </c:manualLayout>
              </c:layout>
              <c:tx>
                <c:rich>
                  <a:bodyPr/>
                  <a:lstStyle/>
                  <a:p>
                    <a:r>
                      <a:rPr lang="en-US"/>
                      <a:t>Sydney (Potts Point)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38E-45C0-9566-83155F10FEF1}"/>
                </c:ext>
              </c:extLst>
            </c:dLbl>
            <c:dLbl>
              <c:idx val="15"/>
              <c:layout>
                <c:manualLayout>
                  <c:x val="-5.118834503970858E-2"/>
                  <c:y val="8.271460205809561E-2"/>
                </c:manualLayout>
              </c:layout>
              <c:tx>
                <c:rich>
                  <a:bodyPr/>
                  <a:lstStyle/>
                  <a:p>
                    <a:r>
                      <a:rPr lang="en-US"/>
                      <a:t>ACT (Acton)</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38E-45C0-9566-83155F10FEF1}"/>
                </c:ext>
              </c:extLst>
            </c:dLbl>
            <c:dLbl>
              <c:idx val="16"/>
              <c:layout>
                <c:manualLayout>
                  <c:x val="-8.7529042249220396E-2"/>
                  <c:y val="-0.14474965189847649"/>
                </c:manualLayout>
              </c:layout>
              <c:tx>
                <c:rich>
                  <a:bodyPr/>
                  <a:lstStyle/>
                  <a:p>
                    <a:r>
                      <a:rPr lang="en-US"/>
                      <a:t>Melbourne (CBD - West)</a:t>
                    </a:r>
                  </a:p>
                </c:rich>
              </c:tx>
              <c:showLegendKey val="0"/>
              <c:showVal val="1"/>
              <c:showCatName val="0"/>
              <c:showSerName val="0"/>
              <c:showPercent val="0"/>
              <c:showBubbleSize val="0"/>
              <c:extLst>
                <c:ext xmlns:c15="http://schemas.microsoft.com/office/drawing/2012/chart" uri="{CE6537A1-D6FC-4f65-9D91-7224C49458BB}">
                  <c15:layout>
                    <c:manualLayout>
                      <c:w val="0.24269243352891137"/>
                      <c:h val="9.7993795243019655E-2"/>
                    </c:manualLayout>
                  </c15:layout>
                  <c15:showDataLabelsRange val="0"/>
                </c:ext>
                <c:ext xmlns:c16="http://schemas.microsoft.com/office/drawing/2014/chart" uri="{C3380CC4-5D6E-409C-BE32-E72D297353CC}">
                  <c16:uniqueId val="{00000006-538E-45C0-9566-83155F10FEF1}"/>
                </c:ext>
              </c:extLst>
            </c:dLbl>
            <c:dLbl>
              <c:idx val="2279"/>
              <c:layout>
                <c:manualLayout>
                  <c:x val="8.1989810161920668E-2"/>
                  <c:y val="-4.1357463853067621E-2"/>
                </c:manualLayout>
              </c:layout>
              <c:tx>
                <c:rich>
                  <a:bodyPr/>
                  <a:lstStyle/>
                  <a:p>
                    <a:r>
                      <a:rPr lang="en-US"/>
                      <a:t>Remote SA (Mallala)</a:t>
                    </a:r>
                  </a:p>
                </c:rich>
              </c:tx>
              <c:showLegendKey val="0"/>
              <c:showVal val="1"/>
              <c:showCatName val="0"/>
              <c:showSerName val="0"/>
              <c:showPercent val="0"/>
              <c:showBubbleSize val="0"/>
              <c:extLst>
                <c:ext xmlns:c15="http://schemas.microsoft.com/office/drawing/2012/chart" uri="{CE6537A1-D6FC-4f65-9D91-7224C49458BB}">
                  <c15:layout>
                    <c:manualLayout>
                      <c:w val="0.24497225711892798"/>
                      <c:h val="5.5191481047284087E-2"/>
                    </c:manualLayout>
                  </c15:layout>
                  <c15:showDataLabelsRange val="0"/>
                </c:ext>
                <c:ext xmlns:c16="http://schemas.microsoft.com/office/drawing/2014/chart" uri="{C3380CC4-5D6E-409C-BE32-E72D297353CC}">
                  <c16:uniqueId val="{00000007-538E-45C0-9566-83155F10FEF1}"/>
                </c:ext>
              </c:extLst>
            </c:dLbl>
            <c:dLbl>
              <c:idx val="2309"/>
              <c:layout>
                <c:manualLayout>
                  <c:x val="2.6591289782244537E-2"/>
                  <c:y val="-9.9257522469714726E-2"/>
                </c:manualLayout>
              </c:layout>
              <c:tx>
                <c:rich>
                  <a:bodyPr/>
                  <a:lstStyle/>
                  <a:p>
                    <a:r>
                      <a:rPr lang="en-US"/>
                      <a:t>WA</a:t>
                    </a:r>
                    <a:r>
                      <a:rPr lang="en-US" baseline="0"/>
                      <a:t> Outback (Irwin)</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38E-45C0-9566-83155F10FE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2225" cap="rnd">
                <a:solidFill>
                  <a:schemeClr val="tx1"/>
                </a:solidFill>
                <a:prstDash val="solid"/>
              </a:ln>
              <a:effectLst/>
            </c:spPr>
            <c:trendlineType val="exp"/>
            <c:dispRSqr val="0"/>
            <c:dispEq val="0"/>
          </c:trendline>
          <c:xVal>
            <c:numRef>
              <c:f>'Pasted values for chart'!$I$3:$I$2315</c:f>
              <c:numCache>
                <c:formatCode>0.0</c:formatCode>
                <c:ptCount val="2313"/>
                <c:pt idx="0">
                  <c:v>12420.743372506149</c:v>
                </c:pt>
                <c:pt idx="1">
                  <c:v>12021.422060164086</c:v>
                </c:pt>
                <c:pt idx="2">
                  <c:v>4426.7228408064993</c:v>
                </c:pt>
                <c:pt idx="3">
                  <c:v>9332.1449035461901</c:v>
                </c:pt>
                <c:pt idx="4">
                  <c:v>12392.344497607657</c:v>
                </c:pt>
                <c:pt idx="5">
                  <c:v>8808.7583630202462</c:v>
                </c:pt>
                <c:pt idx="6">
                  <c:v>20042.288557213928</c:v>
                </c:pt>
                <c:pt idx="7">
                  <c:v>7570.9412874664349</c:v>
                </c:pt>
                <c:pt idx="8">
                  <c:v>4535.4453757636029</c:v>
                </c:pt>
                <c:pt idx="9">
                  <c:v>9144.4438335074501</c:v>
                </c:pt>
                <c:pt idx="10">
                  <c:v>5896.3282937365002</c:v>
                </c:pt>
                <c:pt idx="11">
                  <c:v>6576.6013836781058</c:v>
                </c:pt>
                <c:pt idx="12">
                  <c:v>8045.2057213491071</c:v>
                </c:pt>
                <c:pt idx="13">
                  <c:v>2497.6651516094889</c:v>
                </c:pt>
                <c:pt idx="14">
                  <c:v>14449.245965252663</c:v>
                </c:pt>
                <c:pt idx="15">
                  <c:v>1040.4033024037408</c:v>
                </c:pt>
                <c:pt idx="16">
                  <c:v>15555.666102875333</c:v>
                </c:pt>
                <c:pt idx="17">
                  <c:v>4868.4672044896524</c:v>
                </c:pt>
                <c:pt idx="18">
                  <c:v>5218.0407928756104</c:v>
                </c:pt>
                <c:pt idx="19">
                  <c:v>18430.157261794629</c:v>
                </c:pt>
                <c:pt idx="20">
                  <c:v>5105.5846074009023</c:v>
                </c:pt>
                <c:pt idx="21">
                  <c:v>12271.820448877805</c:v>
                </c:pt>
                <c:pt idx="22">
                  <c:v>4743.1769956830321</c:v>
                </c:pt>
                <c:pt idx="23">
                  <c:v>9565.6634746922027</c:v>
                </c:pt>
                <c:pt idx="24">
                  <c:v>6502.4553338209171</c:v>
                </c:pt>
                <c:pt idx="25">
                  <c:v>3973.4228187919462</c:v>
                </c:pt>
                <c:pt idx="26">
                  <c:v>6450.8413064995029</c:v>
                </c:pt>
                <c:pt idx="27">
                  <c:v>4691.2173231711668</c:v>
                </c:pt>
                <c:pt idx="28">
                  <c:v>13620.819442950855</c:v>
                </c:pt>
                <c:pt idx="29">
                  <c:v>7370.6864564007428</c:v>
                </c:pt>
                <c:pt idx="30">
                  <c:v>6342.062193126023</c:v>
                </c:pt>
                <c:pt idx="31">
                  <c:v>5872.1520154967266</c:v>
                </c:pt>
                <c:pt idx="32">
                  <c:v>6627.0435853894051</c:v>
                </c:pt>
                <c:pt idx="33">
                  <c:v>5846.8190240889435</c:v>
                </c:pt>
                <c:pt idx="34">
                  <c:v>3553.9449700546825</c:v>
                </c:pt>
                <c:pt idx="35">
                  <c:v>5355.5269602756225</c:v>
                </c:pt>
                <c:pt idx="36">
                  <c:v>7243.6656405399008</c:v>
                </c:pt>
                <c:pt idx="37">
                  <c:v>6185.1087474202268</c:v>
                </c:pt>
                <c:pt idx="38">
                  <c:v>3379.6911035012931</c:v>
                </c:pt>
                <c:pt idx="39">
                  <c:v>1735.5758223307641</c:v>
                </c:pt>
                <c:pt idx="40">
                  <c:v>6041.5262235405144</c:v>
                </c:pt>
                <c:pt idx="41">
                  <c:v>15695.290170249786</c:v>
                </c:pt>
                <c:pt idx="42">
                  <c:v>7772.2011213601018</c:v>
                </c:pt>
                <c:pt idx="43">
                  <c:v>6036.025566531086</c:v>
                </c:pt>
                <c:pt idx="44">
                  <c:v>6646.801895173232</c:v>
                </c:pt>
                <c:pt idx="45">
                  <c:v>3292.3381855991688</c:v>
                </c:pt>
                <c:pt idx="46">
                  <c:v>9037.2256578149627</c:v>
                </c:pt>
                <c:pt idx="47">
                  <c:v>6548.1665630826592</c:v>
                </c:pt>
                <c:pt idx="48">
                  <c:v>5750.1539905552463</c:v>
                </c:pt>
                <c:pt idx="49">
                  <c:v>2912.3309053069715</c:v>
                </c:pt>
                <c:pt idx="50">
                  <c:v>3843.2781911435382</c:v>
                </c:pt>
                <c:pt idx="51">
                  <c:v>5848.4579261327553</c:v>
                </c:pt>
                <c:pt idx="52">
                  <c:v>7058.4151542199725</c:v>
                </c:pt>
                <c:pt idx="53">
                  <c:v>5629.7548605240918</c:v>
                </c:pt>
                <c:pt idx="54">
                  <c:v>7208.9637602038192</c:v>
                </c:pt>
                <c:pt idx="55">
                  <c:v>2890.3690175645911</c:v>
                </c:pt>
                <c:pt idx="56">
                  <c:v>3450.5043184151727</c:v>
                </c:pt>
                <c:pt idx="57">
                  <c:v>1932.943865887732</c:v>
                </c:pt>
                <c:pt idx="58">
                  <c:v>2069.1281101334571</c:v>
                </c:pt>
                <c:pt idx="59">
                  <c:v>8416.1112014306618</c:v>
                </c:pt>
                <c:pt idx="60">
                  <c:v>2233.3626942034157</c:v>
                </c:pt>
                <c:pt idx="61">
                  <c:v>7605.5764729825987</c:v>
                </c:pt>
                <c:pt idx="62">
                  <c:v>6401.1288563915086</c:v>
                </c:pt>
                <c:pt idx="63">
                  <c:v>4307.8594712060849</c:v>
                </c:pt>
                <c:pt idx="64">
                  <c:v>1923.2647605665184</c:v>
                </c:pt>
                <c:pt idx="65">
                  <c:v>1688.7371542865026</c:v>
                </c:pt>
                <c:pt idx="66">
                  <c:v>5875.7289362557804</c:v>
                </c:pt>
                <c:pt idx="67">
                  <c:v>4771.9603060576692</c:v>
                </c:pt>
                <c:pt idx="68">
                  <c:v>1296.0758947822337</c:v>
                </c:pt>
                <c:pt idx="69">
                  <c:v>4120.2116994241223</c:v>
                </c:pt>
                <c:pt idx="70">
                  <c:v>1517.0173704279057</c:v>
                </c:pt>
                <c:pt idx="71">
                  <c:v>4266.9860917016049</c:v>
                </c:pt>
                <c:pt idx="72">
                  <c:v>4509.199559679194</c:v>
                </c:pt>
                <c:pt idx="73">
                  <c:v>3717.0040108198868</c:v>
                </c:pt>
                <c:pt idx="74">
                  <c:v>3332.5414618936616</c:v>
                </c:pt>
                <c:pt idx="75">
                  <c:v>4369.3038760239724</c:v>
                </c:pt>
                <c:pt idx="76">
                  <c:v>7711.869918699188</c:v>
                </c:pt>
                <c:pt idx="77">
                  <c:v>3893.3978011857484</c:v>
                </c:pt>
                <c:pt idx="78">
                  <c:v>3384.1743855220648</c:v>
                </c:pt>
                <c:pt idx="79">
                  <c:v>1199.9350728401573</c:v>
                </c:pt>
                <c:pt idx="80">
                  <c:v>4187.8103012396814</c:v>
                </c:pt>
                <c:pt idx="81">
                  <c:v>3786.3203393900576</c:v>
                </c:pt>
                <c:pt idx="82">
                  <c:v>3837.7868420322434</c:v>
                </c:pt>
                <c:pt idx="83">
                  <c:v>2784.9725023540168</c:v>
                </c:pt>
                <c:pt idx="84">
                  <c:v>5010.7126222636243</c:v>
                </c:pt>
                <c:pt idx="85">
                  <c:v>1805.3394581511941</c:v>
                </c:pt>
                <c:pt idx="86">
                  <c:v>2717.4318080190792</c:v>
                </c:pt>
                <c:pt idx="87">
                  <c:v>1040.7842850883596</c:v>
                </c:pt>
                <c:pt idx="88">
                  <c:v>16839.72425678587</c:v>
                </c:pt>
                <c:pt idx="89">
                  <c:v>5399.9015351564258</c:v>
                </c:pt>
                <c:pt idx="90">
                  <c:v>11373.757455268389</c:v>
                </c:pt>
                <c:pt idx="91">
                  <c:v>7605.9322033898316</c:v>
                </c:pt>
                <c:pt idx="92">
                  <c:v>6352.0322472287544</c:v>
                </c:pt>
                <c:pt idx="93">
                  <c:v>7453.903491565321</c:v>
                </c:pt>
                <c:pt idx="94">
                  <c:v>7028.7299385773758</c:v>
                </c:pt>
                <c:pt idx="95">
                  <c:v>5805.1124172030977</c:v>
                </c:pt>
                <c:pt idx="96">
                  <c:v>5807.6772424598503</c:v>
                </c:pt>
                <c:pt idx="97">
                  <c:v>2386.6564209194048</c:v>
                </c:pt>
                <c:pt idx="98">
                  <c:v>2818.1203810686488</c:v>
                </c:pt>
                <c:pt idx="99">
                  <c:v>4286.4461774918882</c:v>
                </c:pt>
                <c:pt idx="100">
                  <c:v>2145.8782013025766</c:v>
                </c:pt>
                <c:pt idx="101">
                  <c:v>3569.8642137538322</c:v>
                </c:pt>
                <c:pt idx="102">
                  <c:v>3559.9516627131538</c:v>
                </c:pt>
                <c:pt idx="103">
                  <c:v>2993.0839867693658</c:v>
                </c:pt>
                <c:pt idx="104">
                  <c:v>5421.5237302248142</c:v>
                </c:pt>
                <c:pt idx="105">
                  <c:v>1774.0379770525319</c:v>
                </c:pt>
                <c:pt idx="106">
                  <c:v>7627.9945517186125</c:v>
                </c:pt>
                <c:pt idx="107">
                  <c:v>3482.9955288289275</c:v>
                </c:pt>
                <c:pt idx="108">
                  <c:v>4872.3879616243921</c:v>
                </c:pt>
                <c:pt idx="109">
                  <c:v>1921.7821558482638</c:v>
                </c:pt>
                <c:pt idx="110">
                  <c:v>1890.4183224865128</c:v>
                </c:pt>
                <c:pt idx="111">
                  <c:v>5803.3985803398555</c:v>
                </c:pt>
                <c:pt idx="112">
                  <c:v>2772.6696258719094</c:v>
                </c:pt>
                <c:pt idx="113">
                  <c:v>3850.6697256992484</c:v>
                </c:pt>
                <c:pt idx="114">
                  <c:v>4099.6338912133897</c:v>
                </c:pt>
                <c:pt idx="115">
                  <c:v>1637.6775060919249</c:v>
                </c:pt>
                <c:pt idx="116">
                  <c:v>2083.6501901140687</c:v>
                </c:pt>
                <c:pt idx="117">
                  <c:v>2912.2725215650244</c:v>
                </c:pt>
                <c:pt idx="118">
                  <c:v>4567.4356699201426</c:v>
                </c:pt>
                <c:pt idx="119">
                  <c:v>7482.1896121293303</c:v>
                </c:pt>
                <c:pt idx="120">
                  <c:v>6460.2187770520204</c:v>
                </c:pt>
                <c:pt idx="121">
                  <c:v>3257.4191064272773</c:v>
                </c:pt>
                <c:pt idx="122">
                  <c:v>15783.664459161148</c:v>
                </c:pt>
                <c:pt idx="123">
                  <c:v>4153.2708974000561</c:v>
                </c:pt>
                <c:pt idx="124">
                  <c:v>2950.9719714631278</c:v>
                </c:pt>
                <c:pt idx="125">
                  <c:v>4168.5603528939992</c:v>
                </c:pt>
                <c:pt idx="126">
                  <c:v>3917.3886608907133</c:v>
                </c:pt>
                <c:pt idx="127">
                  <c:v>4195.2715814953162</c:v>
                </c:pt>
                <c:pt idx="128">
                  <c:v>1943.4244805021638</c:v>
                </c:pt>
                <c:pt idx="129">
                  <c:v>2894.2986281817462</c:v>
                </c:pt>
                <c:pt idx="130">
                  <c:v>2361.3945114299745</c:v>
                </c:pt>
                <c:pt idx="131">
                  <c:v>3403.8397142538224</c:v>
                </c:pt>
                <c:pt idx="132">
                  <c:v>2722.5901398086835</c:v>
                </c:pt>
                <c:pt idx="133">
                  <c:v>1360.9574757457613</c:v>
                </c:pt>
                <c:pt idx="134">
                  <c:v>2389.1430830932613</c:v>
                </c:pt>
                <c:pt idx="135">
                  <c:v>2660.8244932024331</c:v>
                </c:pt>
                <c:pt idx="136">
                  <c:v>2740.6915240105268</c:v>
                </c:pt>
                <c:pt idx="137">
                  <c:v>2452.8668880336768</c:v>
                </c:pt>
                <c:pt idx="138">
                  <c:v>1828.0535597648593</c:v>
                </c:pt>
                <c:pt idx="139">
                  <c:v>2098.9920458570832</c:v>
                </c:pt>
                <c:pt idx="140">
                  <c:v>8355.9055118110227</c:v>
                </c:pt>
                <c:pt idx="141">
                  <c:v>3199.6703494810572</c:v>
                </c:pt>
                <c:pt idx="142">
                  <c:v>1826.7112670310842</c:v>
                </c:pt>
                <c:pt idx="143">
                  <c:v>3278.0838759619332</c:v>
                </c:pt>
                <c:pt idx="144">
                  <c:v>3585.1124126204427</c:v>
                </c:pt>
                <c:pt idx="145">
                  <c:v>4957.7563635382094</c:v>
                </c:pt>
                <c:pt idx="146">
                  <c:v>1449.6882220745099</c:v>
                </c:pt>
                <c:pt idx="147">
                  <c:v>8379.3139078321947</c:v>
                </c:pt>
                <c:pt idx="148">
                  <c:v>2245.9947922679289</c:v>
                </c:pt>
                <c:pt idx="149">
                  <c:v>2676.1945337413017</c:v>
                </c:pt>
                <c:pt idx="150">
                  <c:v>2795.0408585557461</c:v>
                </c:pt>
                <c:pt idx="151">
                  <c:v>4001.1567751678945</c:v>
                </c:pt>
                <c:pt idx="152">
                  <c:v>3341.2731160208564</c:v>
                </c:pt>
                <c:pt idx="153">
                  <c:v>7221.6468151217005</c:v>
                </c:pt>
                <c:pt idx="154">
                  <c:v>1679.5590889138168</c:v>
                </c:pt>
                <c:pt idx="155">
                  <c:v>874.16699333594681</c:v>
                </c:pt>
                <c:pt idx="156">
                  <c:v>3052.6758616544971</c:v>
                </c:pt>
                <c:pt idx="157">
                  <c:v>5732.5404858299607</c:v>
                </c:pt>
                <c:pt idx="158">
                  <c:v>4267.9184795053816</c:v>
                </c:pt>
                <c:pt idx="159">
                  <c:v>2684.1679195096572</c:v>
                </c:pt>
                <c:pt idx="160">
                  <c:v>2967.2256313095609</c:v>
                </c:pt>
                <c:pt idx="161">
                  <c:v>1747.8886618866056</c:v>
                </c:pt>
                <c:pt idx="162">
                  <c:v>3726.2060572661949</c:v>
                </c:pt>
                <c:pt idx="163">
                  <c:v>3239.1513709494675</c:v>
                </c:pt>
                <c:pt idx="164">
                  <c:v>4464.2674747199617</c:v>
                </c:pt>
                <c:pt idx="165">
                  <c:v>3135.8400207092932</c:v>
                </c:pt>
                <c:pt idx="166">
                  <c:v>1366.5491108276431</c:v>
                </c:pt>
                <c:pt idx="167">
                  <c:v>2909.9916164926449</c:v>
                </c:pt>
                <c:pt idx="168">
                  <c:v>3579.0611616980591</c:v>
                </c:pt>
                <c:pt idx="169">
                  <c:v>3961.0541956674747</c:v>
                </c:pt>
                <c:pt idx="170">
                  <c:v>7673.2546201232026</c:v>
                </c:pt>
                <c:pt idx="171">
                  <c:v>5818.8207731354933</c:v>
                </c:pt>
                <c:pt idx="172">
                  <c:v>2949.735213879429</c:v>
                </c:pt>
                <c:pt idx="173">
                  <c:v>13289.191123836792</c:v>
                </c:pt>
                <c:pt idx="174">
                  <c:v>5483.4201499174196</c:v>
                </c:pt>
                <c:pt idx="175">
                  <c:v>5809.5870276421219</c:v>
                </c:pt>
                <c:pt idx="176">
                  <c:v>1659.144527643861</c:v>
                </c:pt>
                <c:pt idx="177">
                  <c:v>2285.1057632795714</c:v>
                </c:pt>
                <c:pt idx="178">
                  <c:v>3772.2757598220905</c:v>
                </c:pt>
                <c:pt idx="179">
                  <c:v>4238.5315118515873</c:v>
                </c:pt>
                <c:pt idx="180">
                  <c:v>5513.1917631917631</c:v>
                </c:pt>
                <c:pt idx="181">
                  <c:v>2828.5349563473069</c:v>
                </c:pt>
                <c:pt idx="182">
                  <c:v>1880.3663970321074</c:v>
                </c:pt>
                <c:pt idx="183">
                  <c:v>1218.6258958002854</c:v>
                </c:pt>
                <c:pt idx="184">
                  <c:v>2753.3807829181496</c:v>
                </c:pt>
                <c:pt idx="185">
                  <c:v>980.6419733948245</c:v>
                </c:pt>
                <c:pt idx="186">
                  <c:v>2907.0772716432148</c:v>
                </c:pt>
                <c:pt idx="187">
                  <c:v>5679.9131640836995</c:v>
                </c:pt>
                <c:pt idx="188">
                  <c:v>2509.3602866738443</c:v>
                </c:pt>
                <c:pt idx="189">
                  <c:v>7285.8316528493542</c:v>
                </c:pt>
                <c:pt idx="190">
                  <c:v>1636.5017752903652</c:v>
                </c:pt>
                <c:pt idx="191">
                  <c:v>7074.850004917871</c:v>
                </c:pt>
                <c:pt idx="192">
                  <c:v>4028.8297092597118</c:v>
                </c:pt>
                <c:pt idx="193">
                  <c:v>2415.6534954407293</c:v>
                </c:pt>
                <c:pt idx="194">
                  <c:v>3455.9835945510472</c:v>
                </c:pt>
                <c:pt idx="195">
                  <c:v>2479.3337446020973</c:v>
                </c:pt>
                <c:pt idx="196">
                  <c:v>3277.4267418684544</c:v>
                </c:pt>
                <c:pt idx="197">
                  <c:v>3019.8254882174865</c:v>
                </c:pt>
                <c:pt idx="198">
                  <c:v>5501.3985597809915</c:v>
                </c:pt>
                <c:pt idx="199">
                  <c:v>2106.691609421001</c:v>
                </c:pt>
                <c:pt idx="200">
                  <c:v>2788.8814673996812</c:v>
                </c:pt>
                <c:pt idx="201">
                  <c:v>3199.2893204566644</c:v>
                </c:pt>
                <c:pt idx="202">
                  <c:v>3344.1861706386267</c:v>
                </c:pt>
                <c:pt idx="203">
                  <c:v>2736.3474204171234</c:v>
                </c:pt>
                <c:pt idx="204">
                  <c:v>2279.3072379617579</c:v>
                </c:pt>
                <c:pt idx="205">
                  <c:v>1685.0066342326415</c:v>
                </c:pt>
                <c:pt idx="206">
                  <c:v>4465.0493887900693</c:v>
                </c:pt>
                <c:pt idx="207">
                  <c:v>1619.3432195271489</c:v>
                </c:pt>
                <c:pt idx="208">
                  <c:v>5551.7029248923454</c:v>
                </c:pt>
                <c:pt idx="209">
                  <c:v>2214.5599154081324</c:v>
                </c:pt>
                <c:pt idx="210">
                  <c:v>2016.3889859800381</c:v>
                </c:pt>
                <c:pt idx="211">
                  <c:v>2350.7880020335533</c:v>
                </c:pt>
                <c:pt idx="212">
                  <c:v>1663.3612692725992</c:v>
                </c:pt>
                <c:pt idx="213">
                  <c:v>2489.344838415409</c:v>
                </c:pt>
                <c:pt idx="214">
                  <c:v>1338.8595336777385</c:v>
                </c:pt>
                <c:pt idx="215">
                  <c:v>4526.8603090775314</c:v>
                </c:pt>
                <c:pt idx="216">
                  <c:v>2207.5898574233761</c:v>
                </c:pt>
                <c:pt idx="217">
                  <c:v>7330.3863155871595</c:v>
                </c:pt>
                <c:pt idx="218">
                  <c:v>2547.7332549470234</c:v>
                </c:pt>
                <c:pt idx="219">
                  <c:v>3960.961754409142</c:v>
                </c:pt>
                <c:pt idx="220">
                  <c:v>1908.8434002218416</c:v>
                </c:pt>
                <c:pt idx="221">
                  <c:v>1150.87101440161</c:v>
                </c:pt>
                <c:pt idx="222">
                  <c:v>1763.1796853436381</c:v>
                </c:pt>
                <c:pt idx="223">
                  <c:v>4149.0471553762691</c:v>
                </c:pt>
                <c:pt idx="224">
                  <c:v>2534.8945994477226</c:v>
                </c:pt>
                <c:pt idx="225">
                  <c:v>2254.6262610371473</c:v>
                </c:pt>
                <c:pt idx="226">
                  <c:v>7.2896606380259514E-3</c:v>
                </c:pt>
                <c:pt idx="227">
                  <c:v>3812.0440264833624</c:v>
                </c:pt>
                <c:pt idx="228">
                  <c:v>4648.0847088134542</c:v>
                </c:pt>
                <c:pt idx="229">
                  <c:v>1980.4778052378488</c:v>
                </c:pt>
                <c:pt idx="230">
                  <c:v>2222.1935716772173</c:v>
                </c:pt>
                <c:pt idx="231">
                  <c:v>2570.0543705562532</c:v>
                </c:pt>
                <c:pt idx="232">
                  <c:v>566.61577573687487</c:v>
                </c:pt>
                <c:pt idx="233">
                  <c:v>3414.5724831875423</c:v>
                </c:pt>
                <c:pt idx="234">
                  <c:v>1082.570540812899</c:v>
                </c:pt>
                <c:pt idx="235">
                  <c:v>2366.1798930973632</c:v>
                </c:pt>
                <c:pt idx="236">
                  <c:v>3556.7140334650635</c:v>
                </c:pt>
                <c:pt idx="237">
                  <c:v>2256.5439775348514</c:v>
                </c:pt>
                <c:pt idx="238">
                  <c:v>3037.5288844344218</c:v>
                </c:pt>
                <c:pt idx="239">
                  <c:v>2467.0283971642443</c:v>
                </c:pt>
                <c:pt idx="240">
                  <c:v>2155.1295461170457</c:v>
                </c:pt>
                <c:pt idx="241">
                  <c:v>3255.2468867020816</c:v>
                </c:pt>
                <c:pt idx="242">
                  <c:v>1995.1067411079734</c:v>
                </c:pt>
                <c:pt idx="243">
                  <c:v>2822.9566648381788</c:v>
                </c:pt>
                <c:pt idx="244">
                  <c:v>2022.6112444236871</c:v>
                </c:pt>
                <c:pt idx="245">
                  <c:v>3542.6035502958575</c:v>
                </c:pt>
                <c:pt idx="246">
                  <c:v>2921.0623802084174</c:v>
                </c:pt>
                <c:pt idx="247">
                  <c:v>2629.4211234854974</c:v>
                </c:pt>
                <c:pt idx="248">
                  <c:v>2802.2985264048507</c:v>
                </c:pt>
                <c:pt idx="249">
                  <c:v>2121.0990079971043</c:v>
                </c:pt>
                <c:pt idx="250">
                  <c:v>3565.6500693903804</c:v>
                </c:pt>
                <c:pt idx="251">
                  <c:v>3574.6239626556007</c:v>
                </c:pt>
                <c:pt idx="252">
                  <c:v>5622.9880704412053</c:v>
                </c:pt>
                <c:pt idx="253">
                  <c:v>2448.2060644546759</c:v>
                </c:pt>
                <c:pt idx="254">
                  <c:v>3220.3560293673936</c:v>
                </c:pt>
                <c:pt idx="255">
                  <c:v>6756.8641080383286</c:v>
                </c:pt>
                <c:pt idx="256">
                  <c:v>3655.437586037754</c:v>
                </c:pt>
                <c:pt idx="257">
                  <c:v>1442.1867356209382</c:v>
                </c:pt>
                <c:pt idx="258">
                  <c:v>3847.2061210294455</c:v>
                </c:pt>
                <c:pt idx="259">
                  <c:v>3313.6048472734101</c:v>
                </c:pt>
                <c:pt idx="260">
                  <c:v>1579.4362822988735</c:v>
                </c:pt>
                <c:pt idx="261">
                  <c:v>2446.9779790723096</c:v>
                </c:pt>
                <c:pt idx="262">
                  <c:v>3199.9268702112458</c:v>
                </c:pt>
                <c:pt idx="263">
                  <c:v>4245.46894925996</c:v>
                </c:pt>
                <c:pt idx="264">
                  <c:v>2648.8059641988607</c:v>
                </c:pt>
                <c:pt idx="265">
                  <c:v>9832.8440965427271</c:v>
                </c:pt>
                <c:pt idx="266">
                  <c:v>2698.0917870639651</c:v>
                </c:pt>
                <c:pt idx="267">
                  <c:v>3621.6849098731145</c:v>
                </c:pt>
                <c:pt idx="268">
                  <c:v>1618.1518604970483</c:v>
                </c:pt>
                <c:pt idx="269">
                  <c:v>2884.5381159367353</c:v>
                </c:pt>
                <c:pt idx="270">
                  <c:v>2412.0825493293619</c:v>
                </c:pt>
                <c:pt idx="271">
                  <c:v>1894.2515786665078</c:v>
                </c:pt>
                <c:pt idx="272">
                  <c:v>4398.2933868741384</c:v>
                </c:pt>
                <c:pt idx="273">
                  <c:v>2515.8121066591334</c:v>
                </c:pt>
                <c:pt idx="274">
                  <c:v>2314.7587076132536</c:v>
                </c:pt>
                <c:pt idx="275">
                  <c:v>4043.0407332628274</c:v>
                </c:pt>
                <c:pt idx="276">
                  <c:v>2879.7914823405631</c:v>
                </c:pt>
                <c:pt idx="277">
                  <c:v>2319.5374552250423</c:v>
                </c:pt>
                <c:pt idx="278">
                  <c:v>1376.2284442796215</c:v>
                </c:pt>
                <c:pt idx="279">
                  <c:v>2766.8582375478923</c:v>
                </c:pt>
                <c:pt idx="280">
                  <c:v>2163.9464764575364</c:v>
                </c:pt>
                <c:pt idx="281">
                  <c:v>1041.5475014299827</c:v>
                </c:pt>
                <c:pt idx="282">
                  <c:v>2270.8215297450424</c:v>
                </c:pt>
                <c:pt idx="283">
                  <c:v>4449.7720484200599</c:v>
                </c:pt>
                <c:pt idx="284">
                  <c:v>5909.0060139703419</c:v>
                </c:pt>
                <c:pt idx="285">
                  <c:v>2154.7559929574281</c:v>
                </c:pt>
                <c:pt idx="286">
                  <c:v>1869.1175541658772</c:v>
                </c:pt>
                <c:pt idx="287">
                  <c:v>1918.1634328507637</c:v>
                </c:pt>
                <c:pt idx="288">
                  <c:v>2503.9292500410511</c:v>
                </c:pt>
                <c:pt idx="289">
                  <c:v>3269.9091394975953</c:v>
                </c:pt>
                <c:pt idx="290">
                  <c:v>3725.9424208684586</c:v>
                </c:pt>
                <c:pt idx="291">
                  <c:v>1961.6432859029878</c:v>
                </c:pt>
                <c:pt idx="292">
                  <c:v>7107.5570924284984</c:v>
                </c:pt>
                <c:pt idx="293">
                  <c:v>2841.2524238279193</c:v>
                </c:pt>
                <c:pt idx="294">
                  <c:v>3042.3119332488513</c:v>
                </c:pt>
                <c:pt idx="295">
                  <c:v>3122.7165751428884</c:v>
                </c:pt>
                <c:pt idx="296">
                  <c:v>1857.0344077638031</c:v>
                </c:pt>
                <c:pt idx="297">
                  <c:v>5271.0743801652898</c:v>
                </c:pt>
                <c:pt idx="298">
                  <c:v>1988.1448550523289</c:v>
                </c:pt>
                <c:pt idx="299">
                  <c:v>326.20237122431706</c:v>
                </c:pt>
                <c:pt idx="300">
                  <c:v>3115.4472671819212</c:v>
                </c:pt>
                <c:pt idx="301">
                  <c:v>2909.5732117225966</c:v>
                </c:pt>
                <c:pt idx="302">
                  <c:v>87.247031678123363</c:v>
                </c:pt>
                <c:pt idx="303">
                  <c:v>2320.0186690521564</c:v>
                </c:pt>
                <c:pt idx="304">
                  <c:v>2.2821603881003655E-2</c:v>
                </c:pt>
                <c:pt idx="305">
                  <c:v>2086.886501042849</c:v>
                </c:pt>
                <c:pt idx="306">
                  <c:v>3279.0573988462952</c:v>
                </c:pt>
                <c:pt idx="307">
                  <c:v>3552.3135661494266</c:v>
                </c:pt>
                <c:pt idx="308">
                  <c:v>1775.2597473120227</c:v>
                </c:pt>
                <c:pt idx="309">
                  <c:v>3560.8213246735681</c:v>
                </c:pt>
                <c:pt idx="310">
                  <c:v>2843.1996898881384</c:v>
                </c:pt>
                <c:pt idx="311">
                  <c:v>3606.297158016047</c:v>
                </c:pt>
                <c:pt idx="312">
                  <c:v>1476.7497844610402</c:v>
                </c:pt>
                <c:pt idx="313">
                  <c:v>637.70919750948315</c:v>
                </c:pt>
                <c:pt idx="314">
                  <c:v>3675.0734741302713</c:v>
                </c:pt>
                <c:pt idx="315">
                  <c:v>1.1218380390725289E-2</c:v>
                </c:pt>
                <c:pt idx="316">
                  <c:v>3218.2406927026495</c:v>
                </c:pt>
                <c:pt idx="317">
                  <c:v>2003.6559449627202</c:v>
                </c:pt>
                <c:pt idx="318">
                  <c:v>3242.806811509101</c:v>
                </c:pt>
                <c:pt idx="319">
                  <c:v>514.72009566151644</c:v>
                </c:pt>
                <c:pt idx="320">
                  <c:v>5946.5383587276119</c:v>
                </c:pt>
                <c:pt idx="321">
                  <c:v>2758.1944698773113</c:v>
                </c:pt>
                <c:pt idx="322">
                  <c:v>2368.9535555983812</c:v>
                </c:pt>
                <c:pt idx="323">
                  <c:v>3043.5554766238956</c:v>
                </c:pt>
                <c:pt idx="324">
                  <c:v>2490.6574798551906</c:v>
                </c:pt>
                <c:pt idx="325">
                  <c:v>5885.0295084921408</c:v>
                </c:pt>
                <c:pt idx="326">
                  <c:v>4266.6603604029688</c:v>
                </c:pt>
                <c:pt idx="327">
                  <c:v>1394.8802453827577</c:v>
                </c:pt>
                <c:pt idx="328">
                  <c:v>821.99507725967476</c:v>
                </c:pt>
                <c:pt idx="329">
                  <c:v>2027.1919676498374</c:v>
                </c:pt>
                <c:pt idx="330">
                  <c:v>2338.2358899558367</c:v>
                </c:pt>
                <c:pt idx="331">
                  <c:v>3428.5231972540309</c:v>
                </c:pt>
                <c:pt idx="332">
                  <c:v>649.09681932271724</c:v>
                </c:pt>
                <c:pt idx="333">
                  <c:v>1644.0696060638413</c:v>
                </c:pt>
                <c:pt idx="334">
                  <c:v>1876.2895414844829</c:v>
                </c:pt>
                <c:pt idx="335">
                  <c:v>772.31954923739522</c:v>
                </c:pt>
                <c:pt idx="336">
                  <c:v>3593.9243946231868</c:v>
                </c:pt>
                <c:pt idx="337">
                  <c:v>2410.7744107744106</c:v>
                </c:pt>
                <c:pt idx="338">
                  <c:v>232.62837964850178</c:v>
                </c:pt>
                <c:pt idx="339">
                  <c:v>1383.1035364896213</c:v>
                </c:pt>
                <c:pt idx="340">
                  <c:v>2649.4345718901445</c:v>
                </c:pt>
                <c:pt idx="341">
                  <c:v>2475.670521366003</c:v>
                </c:pt>
                <c:pt idx="342">
                  <c:v>2280.3036231317001</c:v>
                </c:pt>
                <c:pt idx="343">
                  <c:v>2976.7335491869362</c:v>
                </c:pt>
                <c:pt idx="344">
                  <c:v>1853.2685256882701</c:v>
                </c:pt>
                <c:pt idx="345">
                  <c:v>2153.5160970575857</c:v>
                </c:pt>
                <c:pt idx="346">
                  <c:v>2404.1673993318095</c:v>
                </c:pt>
                <c:pt idx="347">
                  <c:v>4145.4195342866315</c:v>
                </c:pt>
                <c:pt idx="348">
                  <c:v>1674.2452845675261</c:v>
                </c:pt>
                <c:pt idx="349">
                  <c:v>1159.133925414422</c:v>
                </c:pt>
                <c:pt idx="350">
                  <c:v>1787.9939544233957</c:v>
                </c:pt>
                <c:pt idx="351">
                  <c:v>4970.4912694859368</c:v>
                </c:pt>
                <c:pt idx="352">
                  <c:v>3043.8909268142515</c:v>
                </c:pt>
                <c:pt idx="353">
                  <c:v>3092.2517875981707</c:v>
                </c:pt>
                <c:pt idx="354">
                  <c:v>2507.4592609593756</c:v>
                </c:pt>
                <c:pt idx="355">
                  <c:v>4117.2880942210295</c:v>
                </c:pt>
                <c:pt idx="356">
                  <c:v>1053.0103737529162</c:v>
                </c:pt>
                <c:pt idx="357">
                  <c:v>996.92610719828087</c:v>
                </c:pt>
                <c:pt idx="358">
                  <c:v>2993.0795847750865</c:v>
                </c:pt>
                <c:pt idx="359">
                  <c:v>2646.7355462739069</c:v>
                </c:pt>
                <c:pt idx="360">
                  <c:v>2094.6587281042366</c:v>
                </c:pt>
                <c:pt idx="361">
                  <c:v>1828.2012858316818</c:v>
                </c:pt>
                <c:pt idx="362">
                  <c:v>2506.4447881664796</c:v>
                </c:pt>
                <c:pt idx="363">
                  <c:v>1443.0346169149832</c:v>
                </c:pt>
                <c:pt idx="364">
                  <c:v>5843.7769061513445</c:v>
                </c:pt>
                <c:pt idx="365">
                  <c:v>2172.315995951973</c:v>
                </c:pt>
                <c:pt idx="366">
                  <c:v>1157.7379293571621</c:v>
                </c:pt>
                <c:pt idx="367">
                  <c:v>1975.842140886135</c:v>
                </c:pt>
                <c:pt idx="368">
                  <c:v>8565.5265180630286</c:v>
                </c:pt>
                <c:pt idx="369">
                  <c:v>1343.7507019369721</c:v>
                </c:pt>
                <c:pt idx="370">
                  <c:v>2390.1256188327211</c:v>
                </c:pt>
                <c:pt idx="371">
                  <c:v>3130.415680148405</c:v>
                </c:pt>
                <c:pt idx="372">
                  <c:v>4393.2411674347159</c:v>
                </c:pt>
                <c:pt idx="373">
                  <c:v>1011.5889343013541</c:v>
                </c:pt>
                <c:pt idx="374">
                  <c:v>2807.3716406092321</c:v>
                </c:pt>
                <c:pt idx="375">
                  <c:v>2777.0653965927818</c:v>
                </c:pt>
                <c:pt idx="376">
                  <c:v>4665.0215093207044</c:v>
                </c:pt>
                <c:pt idx="377">
                  <c:v>2523.6814690990136</c:v>
                </c:pt>
                <c:pt idx="378">
                  <c:v>2675.9828228427709</c:v>
                </c:pt>
                <c:pt idx="379">
                  <c:v>1347.6267928434127</c:v>
                </c:pt>
                <c:pt idx="380">
                  <c:v>2798.4942947888485</c:v>
                </c:pt>
                <c:pt idx="381">
                  <c:v>1810.6572517477614</c:v>
                </c:pt>
                <c:pt idx="382">
                  <c:v>4626.7804641338171</c:v>
                </c:pt>
                <c:pt idx="383">
                  <c:v>2181.3809687392645</c:v>
                </c:pt>
                <c:pt idx="384">
                  <c:v>3764.120427967156</c:v>
                </c:pt>
                <c:pt idx="385">
                  <c:v>2246.3836626642715</c:v>
                </c:pt>
                <c:pt idx="386">
                  <c:v>2908.9478145053877</c:v>
                </c:pt>
                <c:pt idx="387">
                  <c:v>2694.1557901737465</c:v>
                </c:pt>
                <c:pt idx="388">
                  <c:v>1024.5629983144897</c:v>
                </c:pt>
                <c:pt idx="389">
                  <c:v>3043.1518656508929</c:v>
                </c:pt>
                <c:pt idx="390">
                  <c:v>923.86978263088042</c:v>
                </c:pt>
                <c:pt idx="391">
                  <c:v>2629.7065462753953</c:v>
                </c:pt>
                <c:pt idx="392">
                  <c:v>1029.1968179422056</c:v>
                </c:pt>
                <c:pt idx="393">
                  <c:v>3342.3913043478256</c:v>
                </c:pt>
                <c:pt idx="394">
                  <c:v>4257.3071394345952</c:v>
                </c:pt>
                <c:pt idx="395">
                  <c:v>2445.6040169341345</c:v>
                </c:pt>
                <c:pt idx="396">
                  <c:v>2678.3897097732729</c:v>
                </c:pt>
                <c:pt idx="397">
                  <c:v>2345.2152048513526</c:v>
                </c:pt>
                <c:pt idx="398">
                  <c:v>1877.3530805096368</c:v>
                </c:pt>
                <c:pt idx="399">
                  <c:v>3169.6593123058283</c:v>
                </c:pt>
                <c:pt idx="400">
                  <c:v>2747.2930520339978</c:v>
                </c:pt>
                <c:pt idx="401">
                  <c:v>2337.8698447310044</c:v>
                </c:pt>
                <c:pt idx="402">
                  <c:v>1254.2350833417097</c:v>
                </c:pt>
                <c:pt idx="403">
                  <c:v>286.79328828771298</c:v>
                </c:pt>
                <c:pt idx="404">
                  <c:v>1693.1240724917927</c:v>
                </c:pt>
                <c:pt idx="405">
                  <c:v>1850.4332537988194</c:v>
                </c:pt>
                <c:pt idx="406">
                  <c:v>1894.3353351728617</c:v>
                </c:pt>
                <c:pt idx="407">
                  <c:v>3532.1821036106749</c:v>
                </c:pt>
                <c:pt idx="408">
                  <c:v>1798.9270146417794</c:v>
                </c:pt>
                <c:pt idx="409">
                  <c:v>2343.262226847035</c:v>
                </c:pt>
                <c:pt idx="410">
                  <c:v>2157.0180933780443</c:v>
                </c:pt>
                <c:pt idx="411">
                  <c:v>1947.6875735360663</c:v>
                </c:pt>
                <c:pt idx="412">
                  <c:v>739.79623416977188</c:v>
                </c:pt>
                <c:pt idx="413">
                  <c:v>2969.4382022471923</c:v>
                </c:pt>
                <c:pt idx="414">
                  <c:v>2384.223984296304</c:v>
                </c:pt>
                <c:pt idx="415">
                  <c:v>1607.0628081884745</c:v>
                </c:pt>
                <c:pt idx="416">
                  <c:v>1692.067835438608</c:v>
                </c:pt>
                <c:pt idx="417">
                  <c:v>2358.081246342299</c:v>
                </c:pt>
                <c:pt idx="418">
                  <c:v>2222.3218555714966</c:v>
                </c:pt>
                <c:pt idx="419">
                  <c:v>3062.2030425875073</c:v>
                </c:pt>
                <c:pt idx="420">
                  <c:v>5404.7040636042384</c:v>
                </c:pt>
                <c:pt idx="421">
                  <c:v>3422.9357555913493</c:v>
                </c:pt>
                <c:pt idx="422">
                  <c:v>619.79345542838439</c:v>
                </c:pt>
                <c:pt idx="423">
                  <c:v>2608.3756706709082</c:v>
                </c:pt>
                <c:pt idx="424">
                  <c:v>3088.1045751633987</c:v>
                </c:pt>
                <c:pt idx="425">
                  <c:v>635.62119294644685</c:v>
                </c:pt>
                <c:pt idx="426">
                  <c:v>3051.6745771776191</c:v>
                </c:pt>
                <c:pt idx="427">
                  <c:v>274.75607824602599</c:v>
                </c:pt>
                <c:pt idx="428">
                  <c:v>1460.1204261232049</c:v>
                </c:pt>
                <c:pt idx="429">
                  <c:v>580.96884354315102</c:v>
                </c:pt>
                <c:pt idx="430">
                  <c:v>155.2799535209501</c:v>
                </c:pt>
                <c:pt idx="431">
                  <c:v>1075.2711722415993</c:v>
                </c:pt>
                <c:pt idx="432">
                  <c:v>3119.234069942072</c:v>
                </c:pt>
                <c:pt idx="433">
                  <c:v>3365.5123549729874</c:v>
                </c:pt>
                <c:pt idx="434">
                  <c:v>1879.6284124271501</c:v>
                </c:pt>
                <c:pt idx="435">
                  <c:v>1889.6120276474437</c:v>
                </c:pt>
                <c:pt idx="436">
                  <c:v>1683.9254220206601</c:v>
                </c:pt>
                <c:pt idx="437">
                  <c:v>2466.3489037178265</c:v>
                </c:pt>
                <c:pt idx="438">
                  <c:v>989.48743370630905</c:v>
                </c:pt>
                <c:pt idx="439">
                  <c:v>2499.1130708022906</c:v>
                </c:pt>
                <c:pt idx="440">
                  <c:v>2577.8502911474302</c:v>
                </c:pt>
                <c:pt idx="441">
                  <c:v>2387.522235237971</c:v>
                </c:pt>
                <c:pt idx="442">
                  <c:v>1684.7099133528809</c:v>
                </c:pt>
                <c:pt idx="443">
                  <c:v>1727.7926976772794</c:v>
                </c:pt>
                <c:pt idx="444">
                  <c:v>2859.5151112587178</c:v>
                </c:pt>
                <c:pt idx="445">
                  <c:v>7758.0638024866139</c:v>
                </c:pt>
                <c:pt idx="446">
                  <c:v>2858.6828191571276</c:v>
                </c:pt>
                <c:pt idx="447">
                  <c:v>1935.4786545924967</c:v>
                </c:pt>
                <c:pt idx="448">
                  <c:v>979.98982122516907</c:v>
                </c:pt>
                <c:pt idx="449">
                  <c:v>2623.4407266255898</c:v>
                </c:pt>
                <c:pt idx="450">
                  <c:v>2313.3900161702572</c:v>
                </c:pt>
                <c:pt idx="451">
                  <c:v>2245.8726696702911</c:v>
                </c:pt>
                <c:pt idx="452">
                  <c:v>1053.8265286219191</c:v>
                </c:pt>
                <c:pt idx="453">
                  <c:v>1734.2206618282808</c:v>
                </c:pt>
                <c:pt idx="454">
                  <c:v>3093.3583959899747</c:v>
                </c:pt>
                <c:pt idx="455">
                  <c:v>2720.8339720987278</c:v>
                </c:pt>
                <c:pt idx="456">
                  <c:v>1794.2566071164915</c:v>
                </c:pt>
                <c:pt idx="457">
                  <c:v>2888.0755476084046</c:v>
                </c:pt>
                <c:pt idx="458">
                  <c:v>2662.2881817192206</c:v>
                </c:pt>
                <c:pt idx="459">
                  <c:v>2185.4928394725493</c:v>
                </c:pt>
                <c:pt idx="460">
                  <c:v>2023.7065859633947</c:v>
                </c:pt>
                <c:pt idx="461">
                  <c:v>5708.6472909939002</c:v>
                </c:pt>
                <c:pt idx="462">
                  <c:v>2892.3741073273786</c:v>
                </c:pt>
                <c:pt idx="463">
                  <c:v>2.0389417828691734</c:v>
                </c:pt>
                <c:pt idx="464">
                  <c:v>4110.1530621665052</c:v>
                </c:pt>
                <c:pt idx="465">
                  <c:v>3063.4468563769951</c:v>
                </c:pt>
                <c:pt idx="466">
                  <c:v>2348.4366098059586</c:v>
                </c:pt>
                <c:pt idx="467">
                  <c:v>4066.1771211182868</c:v>
                </c:pt>
                <c:pt idx="468">
                  <c:v>2926.3853548204693</c:v>
                </c:pt>
                <c:pt idx="469">
                  <c:v>2763.9284583729027</c:v>
                </c:pt>
                <c:pt idx="470">
                  <c:v>2228.801251256843</c:v>
                </c:pt>
                <c:pt idx="471">
                  <c:v>1787.4798749881616</c:v>
                </c:pt>
                <c:pt idx="472">
                  <c:v>1829.1837193174379</c:v>
                </c:pt>
                <c:pt idx="473">
                  <c:v>2001.6835946124968</c:v>
                </c:pt>
                <c:pt idx="474">
                  <c:v>592.65281986843047</c:v>
                </c:pt>
                <c:pt idx="475">
                  <c:v>949.96161101053087</c:v>
                </c:pt>
                <c:pt idx="476">
                  <c:v>3529.9915516755837</c:v>
                </c:pt>
                <c:pt idx="477">
                  <c:v>1728.7874410093425</c:v>
                </c:pt>
                <c:pt idx="478">
                  <c:v>2480.0961225337724</c:v>
                </c:pt>
                <c:pt idx="479">
                  <c:v>3068.0173661360345</c:v>
                </c:pt>
                <c:pt idx="480">
                  <c:v>4820.6606724003132</c:v>
                </c:pt>
                <c:pt idx="481">
                  <c:v>2492.0341575325006</c:v>
                </c:pt>
                <c:pt idx="482">
                  <c:v>1576.4443400657585</c:v>
                </c:pt>
                <c:pt idx="483">
                  <c:v>3256.977535738597</c:v>
                </c:pt>
                <c:pt idx="484">
                  <c:v>3177.7686227051531</c:v>
                </c:pt>
                <c:pt idx="485">
                  <c:v>1105.2970281361761</c:v>
                </c:pt>
                <c:pt idx="486">
                  <c:v>1.9557088967050131E-2</c:v>
                </c:pt>
                <c:pt idx="487">
                  <c:v>2421.8098737225605</c:v>
                </c:pt>
                <c:pt idx="488">
                  <c:v>1985.8169125930303</c:v>
                </c:pt>
                <c:pt idx="489">
                  <c:v>767.47763337970662</c:v>
                </c:pt>
                <c:pt idx="490">
                  <c:v>1684.8133929133362</c:v>
                </c:pt>
                <c:pt idx="491">
                  <c:v>1440.5448967919722</c:v>
                </c:pt>
                <c:pt idx="492">
                  <c:v>2032.2222479239429</c:v>
                </c:pt>
                <c:pt idx="493">
                  <c:v>1534.6079133012986</c:v>
                </c:pt>
                <c:pt idx="494">
                  <c:v>2245.8113649677803</c:v>
                </c:pt>
                <c:pt idx="495">
                  <c:v>2412.2122746801715</c:v>
                </c:pt>
                <c:pt idx="496">
                  <c:v>5052.4658971668414</c:v>
                </c:pt>
                <c:pt idx="497">
                  <c:v>2659.7306760708316</c:v>
                </c:pt>
                <c:pt idx="498">
                  <c:v>159.23069843010296</c:v>
                </c:pt>
                <c:pt idx="499">
                  <c:v>2867.1867475681397</c:v>
                </c:pt>
                <c:pt idx="500">
                  <c:v>3570.326482750108</c:v>
                </c:pt>
                <c:pt idx="501">
                  <c:v>2665.9140391903884</c:v>
                </c:pt>
                <c:pt idx="502">
                  <c:v>3312.1821700193514</c:v>
                </c:pt>
                <c:pt idx="503">
                  <c:v>2058.8547471209463</c:v>
                </c:pt>
                <c:pt idx="504">
                  <c:v>1.5666252195217393E-2</c:v>
                </c:pt>
                <c:pt idx="505">
                  <c:v>135.18553159750314</c:v>
                </c:pt>
                <c:pt idx="506">
                  <c:v>2281.1100636342203</c:v>
                </c:pt>
                <c:pt idx="507">
                  <c:v>250.96171459974354</c:v>
                </c:pt>
                <c:pt idx="508">
                  <c:v>2358.2953349701861</c:v>
                </c:pt>
                <c:pt idx="509">
                  <c:v>1797.754743620648</c:v>
                </c:pt>
                <c:pt idx="510">
                  <c:v>2171.2490015554722</c:v>
                </c:pt>
                <c:pt idx="511">
                  <c:v>2990.586718246293</c:v>
                </c:pt>
                <c:pt idx="512">
                  <c:v>1154.4608963970963</c:v>
                </c:pt>
                <c:pt idx="513">
                  <c:v>262.91020894773175</c:v>
                </c:pt>
                <c:pt idx="514">
                  <c:v>1278.7287656949206</c:v>
                </c:pt>
                <c:pt idx="515">
                  <c:v>3466.6666666666661</c:v>
                </c:pt>
                <c:pt idx="516">
                  <c:v>2567.7731206057333</c:v>
                </c:pt>
                <c:pt idx="517">
                  <c:v>210.81309742343859</c:v>
                </c:pt>
                <c:pt idx="518">
                  <c:v>3718.2034117901098</c:v>
                </c:pt>
                <c:pt idx="519">
                  <c:v>434.22786214548222</c:v>
                </c:pt>
                <c:pt idx="520">
                  <c:v>637.11072118358425</c:v>
                </c:pt>
                <c:pt idx="521">
                  <c:v>2261.8880737660238</c:v>
                </c:pt>
                <c:pt idx="522">
                  <c:v>2581.5111011688382</c:v>
                </c:pt>
                <c:pt idx="523">
                  <c:v>3532.8551509289377</c:v>
                </c:pt>
                <c:pt idx="524">
                  <c:v>2248.353136735825</c:v>
                </c:pt>
                <c:pt idx="525">
                  <c:v>3291.7870261402945</c:v>
                </c:pt>
                <c:pt idx="526">
                  <c:v>4585.4883253828775</c:v>
                </c:pt>
                <c:pt idx="527">
                  <c:v>2059.2660132208803</c:v>
                </c:pt>
                <c:pt idx="528">
                  <c:v>4508.3746898263034</c:v>
                </c:pt>
                <c:pt idx="529">
                  <c:v>2337.7095855741854</c:v>
                </c:pt>
                <c:pt idx="530">
                  <c:v>4081.0495140366238</c:v>
                </c:pt>
                <c:pt idx="531">
                  <c:v>240.27913574065269</c:v>
                </c:pt>
                <c:pt idx="532">
                  <c:v>768.31373838691104</c:v>
                </c:pt>
                <c:pt idx="533">
                  <c:v>2102.0852444651337</c:v>
                </c:pt>
                <c:pt idx="534">
                  <c:v>1693.783896537338</c:v>
                </c:pt>
                <c:pt idx="535">
                  <c:v>4166.4405860010856</c:v>
                </c:pt>
                <c:pt idx="536">
                  <c:v>3358.6878001104833</c:v>
                </c:pt>
                <c:pt idx="537">
                  <c:v>1508.1787109374998</c:v>
                </c:pt>
                <c:pt idx="538">
                  <c:v>1418.7287076180203</c:v>
                </c:pt>
                <c:pt idx="539">
                  <c:v>542.79416157641549</c:v>
                </c:pt>
                <c:pt idx="540">
                  <c:v>782.73117080393024</c:v>
                </c:pt>
                <c:pt idx="541">
                  <c:v>2640.607909734616</c:v>
                </c:pt>
                <c:pt idx="542">
                  <c:v>147.27787888757933</c:v>
                </c:pt>
                <c:pt idx="543">
                  <c:v>194.63314114900516</c:v>
                </c:pt>
                <c:pt idx="544">
                  <c:v>1682.2989999638976</c:v>
                </c:pt>
                <c:pt idx="545">
                  <c:v>1847.658508383118</c:v>
                </c:pt>
                <c:pt idx="546">
                  <c:v>887.01572378019091</c:v>
                </c:pt>
                <c:pt idx="547">
                  <c:v>5015.5363135435218</c:v>
                </c:pt>
                <c:pt idx="548">
                  <c:v>928.13254061046302</c:v>
                </c:pt>
                <c:pt idx="549">
                  <c:v>217.88994535766628</c:v>
                </c:pt>
                <c:pt idx="550">
                  <c:v>3258.2991588589211</c:v>
                </c:pt>
                <c:pt idx="551">
                  <c:v>2651.2210702176799</c:v>
                </c:pt>
                <c:pt idx="552">
                  <c:v>1274.6399415942124</c:v>
                </c:pt>
                <c:pt idx="553">
                  <c:v>1661.8781188567973</c:v>
                </c:pt>
                <c:pt idx="554">
                  <c:v>1209.9144735792991</c:v>
                </c:pt>
                <c:pt idx="555">
                  <c:v>3479.1046274299865</c:v>
                </c:pt>
                <c:pt idx="556">
                  <c:v>3379.7881659632076</c:v>
                </c:pt>
                <c:pt idx="557">
                  <c:v>7587.4170495150593</c:v>
                </c:pt>
                <c:pt idx="558">
                  <c:v>5219.4180999839236</c:v>
                </c:pt>
                <c:pt idx="559">
                  <c:v>1202.5225521084553</c:v>
                </c:pt>
                <c:pt idx="560">
                  <c:v>1645.4472199838845</c:v>
                </c:pt>
                <c:pt idx="561">
                  <c:v>941.27572702274836</c:v>
                </c:pt>
                <c:pt idx="562">
                  <c:v>2629.6554543050174</c:v>
                </c:pt>
                <c:pt idx="563">
                  <c:v>286.87759142355537</c:v>
                </c:pt>
                <c:pt idx="564">
                  <c:v>2135.4682582473388</c:v>
                </c:pt>
                <c:pt idx="565">
                  <c:v>1276.1996947246937</c:v>
                </c:pt>
                <c:pt idx="566">
                  <c:v>3705.279861511829</c:v>
                </c:pt>
                <c:pt idx="567">
                  <c:v>1161.6145500957241</c:v>
                </c:pt>
                <c:pt idx="568">
                  <c:v>2248.7197777044366</c:v>
                </c:pt>
                <c:pt idx="569">
                  <c:v>1236.1472666418742</c:v>
                </c:pt>
                <c:pt idx="570">
                  <c:v>660.91299258681227</c:v>
                </c:pt>
                <c:pt idx="571">
                  <c:v>1327.5336971926547</c:v>
                </c:pt>
                <c:pt idx="572">
                  <c:v>932.44508146371413</c:v>
                </c:pt>
                <c:pt idx="573">
                  <c:v>3353.2230567202696</c:v>
                </c:pt>
                <c:pt idx="574">
                  <c:v>1880.4190090606439</c:v>
                </c:pt>
                <c:pt idx="575">
                  <c:v>2100.2122634458428</c:v>
                </c:pt>
                <c:pt idx="576">
                  <c:v>2769.2982456140344</c:v>
                </c:pt>
                <c:pt idx="577">
                  <c:v>777.63750447513701</c:v>
                </c:pt>
                <c:pt idx="578">
                  <c:v>2203.4770673681801</c:v>
                </c:pt>
                <c:pt idx="579">
                  <c:v>2556.17387652247</c:v>
                </c:pt>
                <c:pt idx="580">
                  <c:v>2583.4046193327631</c:v>
                </c:pt>
                <c:pt idx="581">
                  <c:v>715.82758333396464</c:v>
                </c:pt>
                <c:pt idx="582">
                  <c:v>2520.1407899882688</c:v>
                </c:pt>
                <c:pt idx="583">
                  <c:v>1209.7697039050206</c:v>
                </c:pt>
                <c:pt idx="584">
                  <c:v>1738.0416636423024</c:v>
                </c:pt>
                <c:pt idx="585">
                  <c:v>1431.9752020233175</c:v>
                </c:pt>
                <c:pt idx="586">
                  <c:v>1593.3093090590958</c:v>
                </c:pt>
                <c:pt idx="587">
                  <c:v>1085.8101158852544</c:v>
                </c:pt>
                <c:pt idx="588">
                  <c:v>2068.7265068913121</c:v>
                </c:pt>
                <c:pt idx="589">
                  <c:v>1755.1361198259285</c:v>
                </c:pt>
                <c:pt idx="590">
                  <c:v>1562.0683524568869</c:v>
                </c:pt>
                <c:pt idx="591">
                  <c:v>10.79871266920436</c:v>
                </c:pt>
                <c:pt idx="592">
                  <c:v>2041.7154952352403</c:v>
                </c:pt>
                <c:pt idx="593">
                  <c:v>693.15713805022779</c:v>
                </c:pt>
                <c:pt idx="594">
                  <c:v>1539.1158928554162</c:v>
                </c:pt>
                <c:pt idx="595">
                  <c:v>4804.6441191317508</c:v>
                </c:pt>
                <c:pt idx="596">
                  <c:v>2737.934362934363</c:v>
                </c:pt>
                <c:pt idx="597">
                  <c:v>1176.6111838771667</c:v>
                </c:pt>
                <c:pt idx="598">
                  <c:v>2576.4162009245842</c:v>
                </c:pt>
                <c:pt idx="599">
                  <c:v>3175.456823320907</c:v>
                </c:pt>
                <c:pt idx="600">
                  <c:v>808.18004369239509</c:v>
                </c:pt>
                <c:pt idx="601">
                  <c:v>2.0899679235766677</c:v>
                </c:pt>
                <c:pt idx="602">
                  <c:v>1817.8319188653468</c:v>
                </c:pt>
                <c:pt idx="603">
                  <c:v>3387.5771885216132</c:v>
                </c:pt>
                <c:pt idx="604">
                  <c:v>2697.8983638728523</c:v>
                </c:pt>
                <c:pt idx="605">
                  <c:v>1071.920929037082</c:v>
                </c:pt>
                <c:pt idx="606">
                  <c:v>2.4583179390810221E-2</c:v>
                </c:pt>
                <c:pt idx="607">
                  <c:v>1993.9567062397832</c:v>
                </c:pt>
                <c:pt idx="608">
                  <c:v>2826.697070689353</c:v>
                </c:pt>
                <c:pt idx="609">
                  <c:v>390.22057791857748</c:v>
                </c:pt>
                <c:pt idx="610">
                  <c:v>2071.1631039385397</c:v>
                </c:pt>
                <c:pt idx="611">
                  <c:v>5375.3026634382568</c:v>
                </c:pt>
                <c:pt idx="612">
                  <c:v>3731.0086674540116</c:v>
                </c:pt>
                <c:pt idx="613">
                  <c:v>2061.9169291104645</c:v>
                </c:pt>
                <c:pt idx="614">
                  <c:v>382.68640839610322</c:v>
                </c:pt>
                <c:pt idx="615">
                  <c:v>766.06805293005664</c:v>
                </c:pt>
                <c:pt idx="616">
                  <c:v>245.19542215504205</c:v>
                </c:pt>
                <c:pt idx="617">
                  <c:v>2025.536171339472</c:v>
                </c:pt>
                <c:pt idx="618">
                  <c:v>4949.6555378908324</c:v>
                </c:pt>
                <c:pt idx="619">
                  <c:v>2.2367475261635734</c:v>
                </c:pt>
                <c:pt idx="620">
                  <c:v>1861.9521490578022</c:v>
                </c:pt>
                <c:pt idx="621">
                  <c:v>1657.4562269151606</c:v>
                </c:pt>
                <c:pt idx="622">
                  <c:v>493.53328799300465</c:v>
                </c:pt>
                <c:pt idx="623">
                  <c:v>2389.3879256319196</c:v>
                </c:pt>
                <c:pt idx="624">
                  <c:v>37.302450606955574</c:v>
                </c:pt>
                <c:pt idx="625">
                  <c:v>4114.6187757034222</c:v>
                </c:pt>
                <c:pt idx="626">
                  <c:v>2026.52683528686</c:v>
                </c:pt>
                <c:pt idx="627">
                  <c:v>3.9834742598374113</c:v>
                </c:pt>
                <c:pt idx="628">
                  <c:v>1957.2583090532753</c:v>
                </c:pt>
                <c:pt idx="629">
                  <c:v>3288.9885040850263</c:v>
                </c:pt>
                <c:pt idx="630">
                  <c:v>1756.0436425871787</c:v>
                </c:pt>
                <c:pt idx="631">
                  <c:v>1155.9052033688058</c:v>
                </c:pt>
                <c:pt idx="632">
                  <c:v>6194.1251596424017</c:v>
                </c:pt>
                <c:pt idx="633">
                  <c:v>2750.0547165681774</c:v>
                </c:pt>
                <c:pt idx="634">
                  <c:v>201.4303702802361</c:v>
                </c:pt>
                <c:pt idx="635">
                  <c:v>1608.1962801050358</c:v>
                </c:pt>
                <c:pt idx="636">
                  <c:v>2211.6238362211116</c:v>
                </c:pt>
                <c:pt idx="637">
                  <c:v>705.25306987471174</c:v>
                </c:pt>
                <c:pt idx="638">
                  <c:v>3611.4062669413429</c:v>
                </c:pt>
                <c:pt idx="639">
                  <c:v>3546.8035256052667</c:v>
                </c:pt>
                <c:pt idx="640">
                  <c:v>771.53843734272766</c:v>
                </c:pt>
                <c:pt idx="641">
                  <c:v>955.38744842896847</c:v>
                </c:pt>
                <c:pt idx="642">
                  <c:v>1572.1141326587551</c:v>
                </c:pt>
                <c:pt idx="643">
                  <c:v>1605.1757424337063</c:v>
                </c:pt>
                <c:pt idx="644">
                  <c:v>2363.5810670209526</c:v>
                </c:pt>
                <c:pt idx="645">
                  <c:v>212.42131810962965</c:v>
                </c:pt>
                <c:pt idx="646">
                  <c:v>335.49359636316154</c:v>
                </c:pt>
                <c:pt idx="647">
                  <c:v>2662.1046646144187</c:v>
                </c:pt>
                <c:pt idx="648">
                  <c:v>1015.6980003737618</c:v>
                </c:pt>
                <c:pt idx="649">
                  <c:v>408.2522854217263</c:v>
                </c:pt>
                <c:pt idx="650">
                  <c:v>120.82775540864868</c:v>
                </c:pt>
                <c:pt idx="651">
                  <c:v>658.9337022453974</c:v>
                </c:pt>
                <c:pt idx="652">
                  <c:v>2556.5872569249045</c:v>
                </c:pt>
                <c:pt idx="653">
                  <c:v>1515.3909618043856</c:v>
                </c:pt>
                <c:pt idx="654">
                  <c:v>2284.5290902759898</c:v>
                </c:pt>
                <c:pt idx="655">
                  <c:v>2789.1856748117252</c:v>
                </c:pt>
                <c:pt idx="656">
                  <c:v>0.47320071361192595</c:v>
                </c:pt>
                <c:pt idx="657">
                  <c:v>99.686666480912479</c:v>
                </c:pt>
                <c:pt idx="658">
                  <c:v>2799.5336988903759</c:v>
                </c:pt>
                <c:pt idx="659">
                  <c:v>2713.2601699810202</c:v>
                </c:pt>
                <c:pt idx="660">
                  <c:v>2356.6747154191098</c:v>
                </c:pt>
                <c:pt idx="661">
                  <c:v>1605.0898299475857</c:v>
                </c:pt>
                <c:pt idx="662">
                  <c:v>1183.2299016690749</c:v>
                </c:pt>
                <c:pt idx="663">
                  <c:v>2056.5497494631354</c:v>
                </c:pt>
                <c:pt idx="664">
                  <c:v>1384.5699494466933</c:v>
                </c:pt>
                <c:pt idx="665">
                  <c:v>1840.7073071065047</c:v>
                </c:pt>
                <c:pt idx="666">
                  <c:v>3454.8425827107785</c:v>
                </c:pt>
                <c:pt idx="667">
                  <c:v>2928.8323792538044</c:v>
                </c:pt>
                <c:pt idx="668">
                  <c:v>2148.3414973135141</c:v>
                </c:pt>
                <c:pt idx="669">
                  <c:v>488.21580780803578</c:v>
                </c:pt>
                <c:pt idx="670">
                  <c:v>1800.4770774107114</c:v>
                </c:pt>
                <c:pt idx="671">
                  <c:v>777.79772130909362</c:v>
                </c:pt>
                <c:pt idx="672">
                  <c:v>2110.8848048503219</c:v>
                </c:pt>
                <c:pt idx="673">
                  <c:v>2366.2839997390915</c:v>
                </c:pt>
                <c:pt idx="674">
                  <c:v>2449.8865227022548</c:v>
                </c:pt>
                <c:pt idx="675">
                  <c:v>282.18025508920562</c:v>
                </c:pt>
                <c:pt idx="676">
                  <c:v>2642.4544099798741</c:v>
                </c:pt>
                <c:pt idx="677">
                  <c:v>2914.6851131286935</c:v>
                </c:pt>
                <c:pt idx="678">
                  <c:v>1728.0292462359907</c:v>
                </c:pt>
                <c:pt idx="679">
                  <c:v>515.26263682169906</c:v>
                </c:pt>
                <c:pt idx="680">
                  <c:v>3778.2376774419213</c:v>
                </c:pt>
                <c:pt idx="681">
                  <c:v>2044.7291098568924</c:v>
                </c:pt>
                <c:pt idx="682">
                  <c:v>197.56943183148277</c:v>
                </c:pt>
                <c:pt idx="683">
                  <c:v>29.406668846888881</c:v>
                </c:pt>
                <c:pt idx="684">
                  <c:v>495.92342504130454</c:v>
                </c:pt>
                <c:pt idx="685">
                  <c:v>1629.430342730144</c:v>
                </c:pt>
                <c:pt idx="686">
                  <c:v>3669.2832545505107</c:v>
                </c:pt>
                <c:pt idx="687">
                  <c:v>2867.5216027299248</c:v>
                </c:pt>
                <c:pt idx="688">
                  <c:v>4734.1755916116199</c:v>
                </c:pt>
                <c:pt idx="689">
                  <c:v>642.25918071213312</c:v>
                </c:pt>
                <c:pt idx="690">
                  <c:v>978.90643560023511</c:v>
                </c:pt>
                <c:pt idx="691">
                  <c:v>353.21081833413388</c:v>
                </c:pt>
                <c:pt idx="692">
                  <c:v>533.4178125588644</c:v>
                </c:pt>
                <c:pt idx="693">
                  <c:v>2378.4124317513647</c:v>
                </c:pt>
                <c:pt idx="694">
                  <c:v>2291.8631094347998</c:v>
                </c:pt>
                <c:pt idx="695">
                  <c:v>4526.910369817756</c:v>
                </c:pt>
                <c:pt idx="696">
                  <c:v>1162.2442779015598</c:v>
                </c:pt>
                <c:pt idx="697">
                  <c:v>2.5805525929347213E-2</c:v>
                </c:pt>
                <c:pt idx="698">
                  <c:v>3451.460065751306</c:v>
                </c:pt>
                <c:pt idx="699">
                  <c:v>3285.2577370800286</c:v>
                </c:pt>
                <c:pt idx="700">
                  <c:v>2091.8752386110405</c:v>
                </c:pt>
                <c:pt idx="701">
                  <c:v>2151.6480809497193</c:v>
                </c:pt>
                <c:pt idx="702">
                  <c:v>12.792297635638617</c:v>
                </c:pt>
                <c:pt idx="703">
                  <c:v>815.79576532605597</c:v>
                </c:pt>
                <c:pt idx="704">
                  <c:v>2484.7311684410774</c:v>
                </c:pt>
                <c:pt idx="705">
                  <c:v>1470.0721797875581</c:v>
                </c:pt>
                <c:pt idx="706">
                  <c:v>1944.2948538439998</c:v>
                </c:pt>
                <c:pt idx="707">
                  <c:v>1207.0633419483388</c:v>
                </c:pt>
                <c:pt idx="708">
                  <c:v>775.15315612947722</c:v>
                </c:pt>
                <c:pt idx="709">
                  <c:v>1927.9742456275221</c:v>
                </c:pt>
                <c:pt idx="710">
                  <c:v>1765.4118241536128</c:v>
                </c:pt>
                <c:pt idx="711">
                  <c:v>2707.9402042263891</c:v>
                </c:pt>
                <c:pt idx="712">
                  <c:v>1538.2733704651516</c:v>
                </c:pt>
                <c:pt idx="713">
                  <c:v>5.4296581195487477</c:v>
                </c:pt>
                <c:pt idx="714">
                  <c:v>604.38898105149565</c:v>
                </c:pt>
                <c:pt idx="715">
                  <c:v>639.66861434320663</c:v>
                </c:pt>
                <c:pt idx="716">
                  <c:v>971.91716660355166</c:v>
                </c:pt>
                <c:pt idx="717">
                  <c:v>1644.950759082084</c:v>
                </c:pt>
                <c:pt idx="718">
                  <c:v>2421.3396390309822</c:v>
                </c:pt>
                <c:pt idx="719">
                  <c:v>1018.8179947074391</c:v>
                </c:pt>
                <c:pt idx="720">
                  <c:v>2802.8766365480365</c:v>
                </c:pt>
                <c:pt idx="721">
                  <c:v>13.922139147729363</c:v>
                </c:pt>
                <c:pt idx="722">
                  <c:v>744.72055871667681</c:v>
                </c:pt>
                <c:pt idx="723">
                  <c:v>1826.0409315455186</c:v>
                </c:pt>
                <c:pt idx="724">
                  <c:v>923.04935617013894</c:v>
                </c:pt>
                <c:pt idx="725">
                  <c:v>2.6575655119449335</c:v>
                </c:pt>
                <c:pt idx="726">
                  <c:v>303.13091606366925</c:v>
                </c:pt>
                <c:pt idx="727">
                  <c:v>218.67639300268777</c:v>
                </c:pt>
                <c:pt idx="728">
                  <c:v>791.00897635980834</c:v>
                </c:pt>
                <c:pt idx="729">
                  <c:v>1620.4705246078961</c:v>
                </c:pt>
                <c:pt idx="730">
                  <c:v>3900.8728419271729</c:v>
                </c:pt>
                <c:pt idx="731">
                  <c:v>1147.7244721925574</c:v>
                </c:pt>
                <c:pt idx="732">
                  <c:v>3417.6196447622078</c:v>
                </c:pt>
                <c:pt idx="733">
                  <c:v>1755.5733133286578</c:v>
                </c:pt>
                <c:pt idx="734">
                  <c:v>1555.8131915215365</c:v>
                </c:pt>
                <c:pt idx="735">
                  <c:v>53.529977490470557</c:v>
                </c:pt>
                <c:pt idx="736">
                  <c:v>937.55537257272704</c:v>
                </c:pt>
                <c:pt idx="737">
                  <c:v>1625.8046194623248</c:v>
                </c:pt>
                <c:pt idx="738">
                  <c:v>41.525220411933624</c:v>
                </c:pt>
                <c:pt idx="739">
                  <c:v>2230.8063737324965</c:v>
                </c:pt>
                <c:pt idx="740">
                  <c:v>1471.7093347030359</c:v>
                </c:pt>
                <c:pt idx="741">
                  <c:v>1952.2030480934593</c:v>
                </c:pt>
                <c:pt idx="742">
                  <c:v>1374.9812933371027</c:v>
                </c:pt>
                <c:pt idx="743">
                  <c:v>872.93755880395611</c:v>
                </c:pt>
                <c:pt idx="744">
                  <c:v>128.39950939348543</c:v>
                </c:pt>
                <c:pt idx="745">
                  <c:v>2087.867717746587</c:v>
                </c:pt>
                <c:pt idx="746">
                  <c:v>514.60721941013855</c:v>
                </c:pt>
                <c:pt idx="747">
                  <c:v>1778.0506343916275</c:v>
                </c:pt>
                <c:pt idx="748">
                  <c:v>243.7245679860487</c:v>
                </c:pt>
                <c:pt idx="749">
                  <c:v>1444.9560141412483</c:v>
                </c:pt>
                <c:pt idx="750">
                  <c:v>580.25641706261786</c:v>
                </c:pt>
                <c:pt idx="751">
                  <c:v>1298.2940127786383</c:v>
                </c:pt>
                <c:pt idx="752">
                  <c:v>2369.3568336425483</c:v>
                </c:pt>
                <c:pt idx="753">
                  <c:v>966.71388101983018</c:v>
                </c:pt>
                <c:pt idx="754">
                  <c:v>717.32292869371327</c:v>
                </c:pt>
                <c:pt idx="755">
                  <c:v>2013.368835635436</c:v>
                </c:pt>
                <c:pt idx="756">
                  <c:v>3154.6186278267528</c:v>
                </c:pt>
                <c:pt idx="757">
                  <c:v>217.22149017256208</c:v>
                </c:pt>
                <c:pt idx="758">
                  <c:v>1797.0172811526163</c:v>
                </c:pt>
                <c:pt idx="759">
                  <c:v>1391.886039676031</c:v>
                </c:pt>
                <c:pt idx="760">
                  <c:v>940.50037500807127</c:v>
                </c:pt>
                <c:pt idx="761">
                  <c:v>1564.4541691012844</c:v>
                </c:pt>
                <c:pt idx="762">
                  <c:v>4310.939863842661</c:v>
                </c:pt>
                <c:pt idx="763">
                  <c:v>1130.9326436324247</c:v>
                </c:pt>
                <c:pt idx="764">
                  <c:v>591.88185355500525</c:v>
                </c:pt>
                <c:pt idx="765">
                  <c:v>144.30956959102096</c:v>
                </c:pt>
                <c:pt idx="766">
                  <c:v>306.19230074444516</c:v>
                </c:pt>
                <c:pt idx="767">
                  <c:v>1844.8718345134657</c:v>
                </c:pt>
                <c:pt idx="768">
                  <c:v>538.90886315797809</c:v>
                </c:pt>
                <c:pt idx="769">
                  <c:v>1437.109218644325</c:v>
                </c:pt>
                <c:pt idx="770">
                  <c:v>1671.1874623267029</c:v>
                </c:pt>
                <c:pt idx="771">
                  <c:v>1382.0948666864481</c:v>
                </c:pt>
                <c:pt idx="772">
                  <c:v>118.41371049569409</c:v>
                </c:pt>
                <c:pt idx="773">
                  <c:v>1703.4317443942105</c:v>
                </c:pt>
                <c:pt idx="774">
                  <c:v>2342.1087329143406</c:v>
                </c:pt>
                <c:pt idx="775">
                  <c:v>2120.6063029333718</c:v>
                </c:pt>
                <c:pt idx="776">
                  <c:v>168.38888133800103</c:v>
                </c:pt>
                <c:pt idx="777">
                  <c:v>2675.4999001625924</c:v>
                </c:pt>
                <c:pt idx="778">
                  <c:v>1270.1393381830808</c:v>
                </c:pt>
                <c:pt idx="779">
                  <c:v>1997.4640743871512</c:v>
                </c:pt>
                <c:pt idx="780">
                  <c:v>2787.8429932798053</c:v>
                </c:pt>
                <c:pt idx="781">
                  <c:v>33.184743075631815</c:v>
                </c:pt>
                <c:pt idx="782">
                  <c:v>2454.3477823189519</c:v>
                </c:pt>
                <c:pt idx="783">
                  <c:v>2450.2056233804747</c:v>
                </c:pt>
                <c:pt idx="784">
                  <c:v>2308.5066162570888</c:v>
                </c:pt>
                <c:pt idx="785">
                  <c:v>3.0243091561020695E-2</c:v>
                </c:pt>
                <c:pt idx="786">
                  <c:v>7271.2265843680452</c:v>
                </c:pt>
                <c:pt idx="787">
                  <c:v>1670.1524315565352</c:v>
                </c:pt>
                <c:pt idx="788">
                  <c:v>137.17385662766682</c:v>
                </c:pt>
                <c:pt idx="789">
                  <c:v>2262.0982094495257</c:v>
                </c:pt>
                <c:pt idx="790">
                  <c:v>1132.6555802419261</c:v>
                </c:pt>
                <c:pt idx="791">
                  <c:v>1716.0626102647966</c:v>
                </c:pt>
                <c:pt idx="792">
                  <c:v>292.79112754158962</c:v>
                </c:pt>
                <c:pt idx="793">
                  <c:v>1.5118600538724821E-2</c:v>
                </c:pt>
                <c:pt idx="794">
                  <c:v>1105.5400043064999</c:v>
                </c:pt>
                <c:pt idx="795">
                  <c:v>128.37357572102442</c:v>
                </c:pt>
                <c:pt idx="796">
                  <c:v>1074.951611826737</c:v>
                </c:pt>
                <c:pt idx="797">
                  <c:v>1238.2522194268527</c:v>
                </c:pt>
                <c:pt idx="798">
                  <c:v>2579.9166087560798</c:v>
                </c:pt>
                <c:pt idx="799">
                  <c:v>1698.5212121212121</c:v>
                </c:pt>
                <c:pt idx="800">
                  <c:v>6.3565604066254958E-2</c:v>
                </c:pt>
                <c:pt idx="801">
                  <c:v>4111.6702886118419</c:v>
                </c:pt>
                <c:pt idx="802">
                  <c:v>1559.4909862142101</c:v>
                </c:pt>
                <c:pt idx="803">
                  <c:v>483.89464242028856</c:v>
                </c:pt>
                <c:pt idx="804">
                  <c:v>0.10230892253528803</c:v>
                </c:pt>
                <c:pt idx="805">
                  <c:v>761.16783156519705</c:v>
                </c:pt>
                <c:pt idx="806">
                  <c:v>899.74553235787414</c:v>
                </c:pt>
                <c:pt idx="807">
                  <c:v>2.6657734099339876E-2</c:v>
                </c:pt>
                <c:pt idx="808">
                  <c:v>1261.3683647387504</c:v>
                </c:pt>
                <c:pt idx="809">
                  <c:v>1507.1626683441511</c:v>
                </c:pt>
                <c:pt idx="810">
                  <c:v>2062.3202301054657</c:v>
                </c:pt>
                <c:pt idx="811">
                  <c:v>3709.5657335047981</c:v>
                </c:pt>
                <c:pt idx="812">
                  <c:v>2505.0662509742788</c:v>
                </c:pt>
                <c:pt idx="813">
                  <c:v>796.08572806836185</c:v>
                </c:pt>
                <c:pt idx="814">
                  <c:v>2028.0616633976808</c:v>
                </c:pt>
                <c:pt idx="815">
                  <c:v>315.22420967864645</c:v>
                </c:pt>
                <c:pt idx="816">
                  <c:v>20.920087146151445</c:v>
                </c:pt>
                <c:pt idx="817">
                  <c:v>4248.3253413375305</c:v>
                </c:pt>
                <c:pt idx="818">
                  <c:v>1474.7932085328691</c:v>
                </c:pt>
                <c:pt idx="819">
                  <c:v>174.93700215645711</c:v>
                </c:pt>
                <c:pt idx="820">
                  <c:v>1109.3529487234312</c:v>
                </c:pt>
                <c:pt idx="821">
                  <c:v>902.96006414957287</c:v>
                </c:pt>
                <c:pt idx="822">
                  <c:v>2244.928464659406</c:v>
                </c:pt>
                <c:pt idx="823">
                  <c:v>3390.784786855108</c:v>
                </c:pt>
                <c:pt idx="824">
                  <c:v>3132.7400048294171</c:v>
                </c:pt>
                <c:pt idx="825">
                  <c:v>1914.1401590457256</c:v>
                </c:pt>
                <c:pt idx="826">
                  <c:v>1467.5161444112166</c:v>
                </c:pt>
                <c:pt idx="827">
                  <c:v>2164.2907426962333</c:v>
                </c:pt>
                <c:pt idx="828">
                  <c:v>2548.1297386856845</c:v>
                </c:pt>
                <c:pt idx="829">
                  <c:v>549.41453252397537</c:v>
                </c:pt>
                <c:pt idx="830">
                  <c:v>3273.3457330049091</c:v>
                </c:pt>
                <c:pt idx="831">
                  <c:v>971.54392133880299</c:v>
                </c:pt>
                <c:pt idx="832">
                  <c:v>169.66786240823652</c:v>
                </c:pt>
                <c:pt idx="833">
                  <c:v>1478.8197646037859</c:v>
                </c:pt>
                <c:pt idx="834">
                  <c:v>365.13104173027625</c:v>
                </c:pt>
                <c:pt idx="835">
                  <c:v>1358.3148271921691</c:v>
                </c:pt>
                <c:pt idx="836">
                  <c:v>1256.5351101998974</c:v>
                </c:pt>
                <c:pt idx="837">
                  <c:v>2381.9642668358183</c:v>
                </c:pt>
                <c:pt idx="838">
                  <c:v>420.68601256577364</c:v>
                </c:pt>
                <c:pt idx="839">
                  <c:v>626.05150188896164</c:v>
                </c:pt>
                <c:pt idx="840">
                  <c:v>385.44693892949044</c:v>
                </c:pt>
                <c:pt idx="841">
                  <c:v>389.67331118493911</c:v>
                </c:pt>
                <c:pt idx="842">
                  <c:v>1443.0616918415026</c:v>
                </c:pt>
                <c:pt idx="843">
                  <c:v>2202.8226825894913</c:v>
                </c:pt>
                <c:pt idx="844">
                  <c:v>1153.8109302378825</c:v>
                </c:pt>
                <c:pt idx="845">
                  <c:v>173.99315609370888</c:v>
                </c:pt>
                <c:pt idx="846">
                  <c:v>2520.6064373158933</c:v>
                </c:pt>
                <c:pt idx="847">
                  <c:v>8091.0714285714275</c:v>
                </c:pt>
                <c:pt idx="848">
                  <c:v>3139.4103565578935</c:v>
                </c:pt>
                <c:pt idx="849">
                  <c:v>2341.5528462737198</c:v>
                </c:pt>
                <c:pt idx="850">
                  <c:v>293.40135799227221</c:v>
                </c:pt>
                <c:pt idx="851">
                  <c:v>1743.880133296585</c:v>
                </c:pt>
                <c:pt idx="852">
                  <c:v>2148.2892563213436</c:v>
                </c:pt>
                <c:pt idx="853">
                  <c:v>4127.0069494368563</c:v>
                </c:pt>
                <c:pt idx="854">
                  <c:v>1504.3538650568939</c:v>
                </c:pt>
                <c:pt idx="855">
                  <c:v>268.54055067809128</c:v>
                </c:pt>
                <c:pt idx="856">
                  <c:v>847.67221346723989</c:v>
                </c:pt>
                <c:pt idx="857">
                  <c:v>1568.9837604085199</c:v>
                </c:pt>
                <c:pt idx="858">
                  <c:v>5.4036870804058161E-2</c:v>
                </c:pt>
                <c:pt idx="859">
                  <c:v>1530.2253279676897</c:v>
                </c:pt>
                <c:pt idx="860">
                  <c:v>1547.7111540941328</c:v>
                </c:pt>
                <c:pt idx="861">
                  <c:v>1730.6613226452903</c:v>
                </c:pt>
                <c:pt idx="862">
                  <c:v>59.495745611851085</c:v>
                </c:pt>
                <c:pt idx="863">
                  <c:v>2342.6187782805428</c:v>
                </c:pt>
                <c:pt idx="864">
                  <c:v>2145.9649467810523</c:v>
                </c:pt>
                <c:pt idx="865">
                  <c:v>1816.0391169409147</c:v>
                </c:pt>
                <c:pt idx="866">
                  <c:v>1651.2793458190449</c:v>
                </c:pt>
                <c:pt idx="867">
                  <c:v>221.44229235277791</c:v>
                </c:pt>
                <c:pt idx="868">
                  <c:v>1828.8073133313305</c:v>
                </c:pt>
                <c:pt idx="869">
                  <c:v>45.106538308089121</c:v>
                </c:pt>
                <c:pt idx="870">
                  <c:v>495.77592327718384</c:v>
                </c:pt>
                <c:pt idx="871">
                  <c:v>4042.6641725272952</c:v>
                </c:pt>
                <c:pt idx="872">
                  <c:v>319.26982844155572</c:v>
                </c:pt>
                <c:pt idx="873">
                  <c:v>1290.9074675659158</c:v>
                </c:pt>
                <c:pt idx="874">
                  <c:v>1900.5478297513694</c:v>
                </c:pt>
                <c:pt idx="875">
                  <c:v>286.59391235561412</c:v>
                </c:pt>
                <c:pt idx="876">
                  <c:v>1024.7699740665744</c:v>
                </c:pt>
                <c:pt idx="877">
                  <c:v>1679.54773150136</c:v>
                </c:pt>
                <c:pt idx="878">
                  <c:v>884.62528972443977</c:v>
                </c:pt>
                <c:pt idx="879">
                  <c:v>711.18155324914369</c:v>
                </c:pt>
                <c:pt idx="880">
                  <c:v>2214.775323686215</c:v>
                </c:pt>
                <c:pt idx="881">
                  <c:v>147.17643633608461</c:v>
                </c:pt>
                <c:pt idx="882">
                  <c:v>4022.0874163944636</c:v>
                </c:pt>
                <c:pt idx="883">
                  <c:v>177.83532854205885</c:v>
                </c:pt>
                <c:pt idx="884">
                  <c:v>0.53925489909030644</c:v>
                </c:pt>
                <c:pt idx="885">
                  <c:v>916.20087525456063</c:v>
                </c:pt>
                <c:pt idx="886">
                  <c:v>418.26707887039544</c:v>
                </c:pt>
                <c:pt idx="887">
                  <c:v>430.52204839953254</c:v>
                </c:pt>
                <c:pt idx="888">
                  <c:v>230.43396659228824</c:v>
                </c:pt>
                <c:pt idx="889">
                  <c:v>973.5594795539032</c:v>
                </c:pt>
                <c:pt idx="890">
                  <c:v>1779.0886167146973</c:v>
                </c:pt>
                <c:pt idx="891">
                  <c:v>1988.3430885875878</c:v>
                </c:pt>
                <c:pt idx="892">
                  <c:v>795.1000221088575</c:v>
                </c:pt>
                <c:pt idx="893">
                  <c:v>276.0024192098337</c:v>
                </c:pt>
                <c:pt idx="894">
                  <c:v>2080.4954471233759</c:v>
                </c:pt>
                <c:pt idx="895">
                  <c:v>651.83777219620004</c:v>
                </c:pt>
                <c:pt idx="896">
                  <c:v>1943.7588152327223</c:v>
                </c:pt>
                <c:pt idx="897">
                  <c:v>452.99858977213682</c:v>
                </c:pt>
                <c:pt idx="898">
                  <c:v>1619.5711183496196</c:v>
                </c:pt>
                <c:pt idx="899">
                  <c:v>568.53935065078463</c:v>
                </c:pt>
                <c:pt idx="900">
                  <c:v>1725.6908334571383</c:v>
                </c:pt>
                <c:pt idx="901">
                  <c:v>1083.2895047754071</c:v>
                </c:pt>
                <c:pt idx="902">
                  <c:v>919.8400133322225</c:v>
                </c:pt>
                <c:pt idx="903">
                  <c:v>37.499799403212762</c:v>
                </c:pt>
                <c:pt idx="904">
                  <c:v>229.99259385058477</c:v>
                </c:pt>
                <c:pt idx="905">
                  <c:v>2264.1749531894784</c:v>
                </c:pt>
                <c:pt idx="906">
                  <c:v>1804.3141189346952</c:v>
                </c:pt>
                <c:pt idx="907">
                  <c:v>2455.3080308030799</c:v>
                </c:pt>
                <c:pt idx="908">
                  <c:v>2390.0631789952208</c:v>
                </c:pt>
                <c:pt idx="909">
                  <c:v>2279.7939220625954</c:v>
                </c:pt>
                <c:pt idx="910">
                  <c:v>1316.8447927423392</c:v>
                </c:pt>
                <c:pt idx="911">
                  <c:v>0.79588420983375352</c:v>
                </c:pt>
                <c:pt idx="912">
                  <c:v>1499.6448111267589</c:v>
                </c:pt>
                <c:pt idx="913">
                  <c:v>1470.6335748419915</c:v>
                </c:pt>
                <c:pt idx="914">
                  <c:v>123.4559238572823</c:v>
                </c:pt>
                <c:pt idx="915">
                  <c:v>1061.2481711316282</c:v>
                </c:pt>
                <c:pt idx="916">
                  <c:v>1300.8352731754073</c:v>
                </c:pt>
                <c:pt idx="917">
                  <c:v>2035.7729743395275</c:v>
                </c:pt>
                <c:pt idx="918">
                  <c:v>36.745848373667897</c:v>
                </c:pt>
                <c:pt idx="919">
                  <c:v>7.1963445686617777E-2</c:v>
                </c:pt>
                <c:pt idx="920">
                  <c:v>3574.0072202166066</c:v>
                </c:pt>
                <c:pt idx="921">
                  <c:v>50.600646708315089</c:v>
                </c:pt>
                <c:pt idx="922">
                  <c:v>20.644716488955435</c:v>
                </c:pt>
                <c:pt idx="923">
                  <c:v>1699.5807650225861</c:v>
                </c:pt>
                <c:pt idx="924">
                  <c:v>1765.8707239393391</c:v>
                </c:pt>
                <c:pt idx="925">
                  <c:v>656.31889411904911</c:v>
                </c:pt>
                <c:pt idx="926">
                  <c:v>2767.0561235134569</c:v>
                </c:pt>
                <c:pt idx="927">
                  <c:v>48.424020034289754</c:v>
                </c:pt>
                <c:pt idx="928">
                  <c:v>1753.6686934992738</c:v>
                </c:pt>
                <c:pt idx="929">
                  <c:v>394.3999815485389</c:v>
                </c:pt>
                <c:pt idx="930">
                  <c:v>2226.232180088266</c:v>
                </c:pt>
                <c:pt idx="931">
                  <c:v>2482.003508559676</c:v>
                </c:pt>
                <c:pt idx="932">
                  <c:v>1837.1507374985013</c:v>
                </c:pt>
                <c:pt idx="933">
                  <c:v>2131.5299664970844</c:v>
                </c:pt>
                <c:pt idx="934">
                  <c:v>1122.1119100631452</c:v>
                </c:pt>
                <c:pt idx="935">
                  <c:v>176.27420258069802</c:v>
                </c:pt>
                <c:pt idx="936">
                  <c:v>335.55325060358797</c:v>
                </c:pt>
                <c:pt idx="937">
                  <c:v>74.515845679893133</c:v>
                </c:pt>
                <c:pt idx="938">
                  <c:v>940.56755309655546</c:v>
                </c:pt>
                <c:pt idx="939">
                  <c:v>1828.8993314512195</c:v>
                </c:pt>
                <c:pt idx="940">
                  <c:v>139.29607692056911</c:v>
                </c:pt>
                <c:pt idx="941">
                  <c:v>2415.0443379879725</c:v>
                </c:pt>
                <c:pt idx="942">
                  <c:v>1620.206839843886</c:v>
                </c:pt>
                <c:pt idx="943">
                  <c:v>2437.0658002483028</c:v>
                </c:pt>
                <c:pt idx="944">
                  <c:v>1409.6812278630459</c:v>
                </c:pt>
                <c:pt idx="945">
                  <c:v>2417.7280424059481</c:v>
                </c:pt>
                <c:pt idx="946">
                  <c:v>140.79537854629694</c:v>
                </c:pt>
                <c:pt idx="947">
                  <c:v>313.14347050962203</c:v>
                </c:pt>
                <c:pt idx="948">
                  <c:v>886.1991051597339</c:v>
                </c:pt>
                <c:pt idx="949">
                  <c:v>3769.4231112698699</c:v>
                </c:pt>
                <c:pt idx="950">
                  <c:v>1892.391095758971</c:v>
                </c:pt>
                <c:pt idx="951">
                  <c:v>3292.1338394985437</c:v>
                </c:pt>
                <c:pt idx="952">
                  <c:v>3196.6387380525316</c:v>
                </c:pt>
                <c:pt idx="953">
                  <c:v>0.22529919075867252</c:v>
                </c:pt>
                <c:pt idx="954">
                  <c:v>1322.7750043036667</c:v>
                </c:pt>
                <c:pt idx="955">
                  <c:v>229.43417615932856</c:v>
                </c:pt>
                <c:pt idx="956">
                  <c:v>1499.55716532935</c:v>
                </c:pt>
                <c:pt idx="957">
                  <c:v>2625.3699908925314</c:v>
                </c:pt>
                <c:pt idx="958">
                  <c:v>434.83010067015027</c:v>
                </c:pt>
                <c:pt idx="959">
                  <c:v>894.74075865533086</c:v>
                </c:pt>
                <c:pt idx="960">
                  <c:v>2672.6775276706871</c:v>
                </c:pt>
                <c:pt idx="961">
                  <c:v>359.14828444134002</c:v>
                </c:pt>
                <c:pt idx="962">
                  <c:v>753.16851783070376</c:v>
                </c:pt>
                <c:pt idx="963">
                  <c:v>999.2046358368367</c:v>
                </c:pt>
                <c:pt idx="964">
                  <c:v>0.9615027407094684</c:v>
                </c:pt>
                <c:pt idx="965">
                  <c:v>2016.229894418429</c:v>
                </c:pt>
                <c:pt idx="966">
                  <c:v>765.36054736069673</c:v>
                </c:pt>
                <c:pt idx="967">
                  <c:v>437.27473411968026</c:v>
                </c:pt>
                <c:pt idx="968">
                  <c:v>4198.9607348044065</c:v>
                </c:pt>
                <c:pt idx="969">
                  <c:v>1183.5188145597642</c:v>
                </c:pt>
                <c:pt idx="970">
                  <c:v>1.4720055283627881E-2</c:v>
                </c:pt>
                <c:pt idx="971">
                  <c:v>2466.5734265734263</c:v>
                </c:pt>
                <c:pt idx="972">
                  <c:v>1857.3418117827418</c:v>
                </c:pt>
                <c:pt idx="973">
                  <c:v>1255.8840531835826</c:v>
                </c:pt>
                <c:pt idx="974">
                  <c:v>880.74519071493228</c:v>
                </c:pt>
                <c:pt idx="975">
                  <c:v>2158.859721588597</c:v>
                </c:pt>
                <c:pt idx="976">
                  <c:v>4632.4568356480686</c:v>
                </c:pt>
                <c:pt idx="977">
                  <c:v>2.8447028762859899E-2</c:v>
                </c:pt>
                <c:pt idx="978">
                  <c:v>7813.0430805817223</c:v>
                </c:pt>
                <c:pt idx="979">
                  <c:v>345.59017692104572</c:v>
                </c:pt>
                <c:pt idx="980">
                  <c:v>1751.3719875924605</c:v>
                </c:pt>
                <c:pt idx="981">
                  <c:v>232.21823900747796</c:v>
                </c:pt>
                <c:pt idx="982">
                  <c:v>0.20506359511142008</c:v>
                </c:pt>
                <c:pt idx="983">
                  <c:v>1639.7276291354285</c:v>
                </c:pt>
                <c:pt idx="984">
                  <c:v>1746.2718824292197</c:v>
                </c:pt>
                <c:pt idx="985">
                  <c:v>2655.5954518252538</c:v>
                </c:pt>
                <c:pt idx="986">
                  <c:v>2124.6394688628079</c:v>
                </c:pt>
                <c:pt idx="987">
                  <c:v>2735.9484006844805</c:v>
                </c:pt>
                <c:pt idx="988">
                  <c:v>3309.3067627729488</c:v>
                </c:pt>
                <c:pt idx="989">
                  <c:v>408.81809396246246</c:v>
                </c:pt>
                <c:pt idx="990">
                  <c:v>174.47077239677563</c:v>
                </c:pt>
                <c:pt idx="991">
                  <c:v>0.92713287420037982</c:v>
                </c:pt>
                <c:pt idx="992">
                  <c:v>1.3009391178694389</c:v>
                </c:pt>
                <c:pt idx="993">
                  <c:v>47.778351069759559</c:v>
                </c:pt>
                <c:pt idx="994">
                  <c:v>1508.1243556420347</c:v>
                </c:pt>
                <c:pt idx="995">
                  <c:v>189.98762722860553</c:v>
                </c:pt>
                <c:pt idx="996">
                  <c:v>1690.9177539950151</c:v>
                </c:pt>
                <c:pt idx="997">
                  <c:v>294.81630538968494</c:v>
                </c:pt>
                <c:pt idx="998">
                  <c:v>841.00915872953647</c:v>
                </c:pt>
                <c:pt idx="999">
                  <c:v>2945.9861248761154</c:v>
                </c:pt>
                <c:pt idx="1000">
                  <c:v>0.15541980647452769</c:v>
                </c:pt>
                <c:pt idx="1001">
                  <c:v>1559.0981486622736</c:v>
                </c:pt>
                <c:pt idx="1002">
                  <c:v>1149.152391941067</c:v>
                </c:pt>
                <c:pt idx="1003">
                  <c:v>980.24060090770354</c:v>
                </c:pt>
                <c:pt idx="1004">
                  <c:v>110.9607082449705</c:v>
                </c:pt>
                <c:pt idx="1005">
                  <c:v>1329.8912264015642</c:v>
                </c:pt>
                <c:pt idx="1006">
                  <c:v>2034.8265693020642</c:v>
                </c:pt>
                <c:pt idx="1007">
                  <c:v>1566.1118514453933</c:v>
                </c:pt>
                <c:pt idx="1008">
                  <c:v>2676.8430143224055</c:v>
                </c:pt>
                <c:pt idx="1009">
                  <c:v>5.6613507484791867E-2</c:v>
                </c:pt>
                <c:pt idx="1010">
                  <c:v>820.64613462895534</c:v>
                </c:pt>
                <c:pt idx="1011">
                  <c:v>6.8935294238839331E-2</c:v>
                </c:pt>
                <c:pt idx="1012">
                  <c:v>18.988671308741203</c:v>
                </c:pt>
                <c:pt idx="1013">
                  <c:v>731.93721154914283</c:v>
                </c:pt>
                <c:pt idx="1014">
                  <c:v>3995.5020432791207</c:v>
                </c:pt>
                <c:pt idx="1015">
                  <c:v>179.49040465751452</c:v>
                </c:pt>
                <c:pt idx="1016">
                  <c:v>0.5428557481748717</c:v>
                </c:pt>
                <c:pt idx="1017">
                  <c:v>344.99406080898041</c:v>
                </c:pt>
                <c:pt idx="1018">
                  <c:v>6.3021784481242511</c:v>
                </c:pt>
                <c:pt idx="1019">
                  <c:v>2068.7988060579946</c:v>
                </c:pt>
                <c:pt idx="1020">
                  <c:v>919.69871058342903</c:v>
                </c:pt>
                <c:pt idx="1021">
                  <c:v>1376.9567172109371</c:v>
                </c:pt>
                <c:pt idx="1022">
                  <c:v>297.06541765632977</c:v>
                </c:pt>
                <c:pt idx="1023">
                  <c:v>2268.8230442741337</c:v>
                </c:pt>
                <c:pt idx="1024">
                  <c:v>172.02100416814233</c:v>
                </c:pt>
                <c:pt idx="1025">
                  <c:v>958.71195950478739</c:v>
                </c:pt>
                <c:pt idx="1026">
                  <c:v>84.688595644830471</c:v>
                </c:pt>
                <c:pt idx="1027">
                  <c:v>75.854845500707455</c:v>
                </c:pt>
                <c:pt idx="1028">
                  <c:v>994.14090944736324</c:v>
                </c:pt>
                <c:pt idx="1029">
                  <c:v>175.71242757479015</c:v>
                </c:pt>
                <c:pt idx="1030">
                  <c:v>1666.9251046673901</c:v>
                </c:pt>
                <c:pt idx="1031">
                  <c:v>1651.5569570358691</c:v>
                </c:pt>
                <c:pt idx="1032">
                  <c:v>1676.4117640629954</c:v>
                </c:pt>
                <c:pt idx="1033">
                  <c:v>287.25860186068371</c:v>
                </c:pt>
                <c:pt idx="1034">
                  <c:v>2.1429886920103671</c:v>
                </c:pt>
                <c:pt idx="1035">
                  <c:v>2090.4420127858175</c:v>
                </c:pt>
                <c:pt idx="1036">
                  <c:v>0.30850336532063194</c:v>
                </c:pt>
                <c:pt idx="1037">
                  <c:v>1863.5210942903252</c:v>
                </c:pt>
                <c:pt idx="1038">
                  <c:v>1470.290522880754</c:v>
                </c:pt>
                <c:pt idx="1039">
                  <c:v>313.0661011899806</c:v>
                </c:pt>
                <c:pt idx="1040">
                  <c:v>1944.4136079685927</c:v>
                </c:pt>
                <c:pt idx="1041">
                  <c:v>1786.5806945863126</c:v>
                </c:pt>
                <c:pt idx="1042">
                  <c:v>209.03185144733936</c:v>
                </c:pt>
                <c:pt idx="1043">
                  <c:v>2674.3384785005514</c:v>
                </c:pt>
                <c:pt idx="1044">
                  <c:v>1881.1405184847326</c:v>
                </c:pt>
                <c:pt idx="1045">
                  <c:v>6.0957884339625794</c:v>
                </c:pt>
                <c:pt idx="1046">
                  <c:v>247.96631312628477</c:v>
                </c:pt>
                <c:pt idx="1047">
                  <c:v>1275.51061975021</c:v>
                </c:pt>
                <c:pt idx="1048">
                  <c:v>29.49396755870869</c:v>
                </c:pt>
                <c:pt idx="1049">
                  <c:v>3419.7517879680277</c:v>
                </c:pt>
                <c:pt idx="1050">
                  <c:v>0.31163151649170201</c:v>
                </c:pt>
                <c:pt idx="1051">
                  <c:v>1408.512377393741</c:v>
                </c:pt>
                <c:pt idx="1052">
                  <c:v>1051.2475612268395</c:v>
                </c:pt>
                <c:pt idx="1053">
                  <c:v>1279.7574245715143</c:v>
                </c:pt>
                <c:pt idx="1054">
                  <c:v>1727.9505210539692</c:v>
                </c:pt>
                <c:pt idx="1055">
                  <c:v>168.88775929398182</c:v>
                </c:pt>
                <c:pt idx="1056">
                  <c:v>1540.5754930488199</c:v>
                </c:pt>
                <c:pt idx="1057">
                  <c:v>0.38389795050170938</c:v>
                </c:pt>
                <c:pt idx="1058">
                  <c:v>1847.6649074413638</c:v>
                </c:pt>
                <c:pt idx="1059">
                  <c:v>434.46252617011083</c:v>
                </c:pt>
                <c:pt idx="1060">
                  <c:v>300.42793088843132</c:v>
                </c:pt>
                <c:pt idx="1061">
                  <c:v>1627.0642439302169</c:v>
                </c:pt>
                <c:pt idx="1062">
                  <c:v>3217.7982431992787</c:v>
                </c:pt>
                <c:pt idx="1063">
                  <c:v>0.14843063147536273</c:v>
                </c:pt>
                <c:pt idx="1064">
                  <c:v>243.94665506437775</c:v>
                </c:pt>
                <c:pt idx="1065">
                  <c:v>2753.1073001887976</c:v>
                </c:pt>
                <c:pt idx="1066">
                  <c:v>501.07352982182186</c:v>
                </c:pt>
                <c:pt idx="1067">
                  <c:v>2023.7362385649456</c:v>
                </c:pt>
                <c:pt idx="1068">
                  <c:v>2.1230506610944953</c:v>
                </c:pt>
                <c:pt idx="1069">
                  <c:v>1069.1303063549667</c:v>
                </c:pt>
                <c:pt idx="1070">
                  <c:v>3153.6673961600072</c:v>
                </c:pt>
                <c:pt idx="1071">
                  <c:v>0.19103678708416535</c:v>
                </c:pt>
                <c:pt idx="1072">
                  <c:v>2078.7284241897428</c:v>
                </c:pt>
                <c:pt idx="1073">
                  <c:v>181.32074459524702</c:v>
                </c:pt>
                <c:pt idx="1074">
                  <c:v>0.35299239166279256</c:v>
                </c:pt>
                <c:pt idx="1075">
                  <c:v>967.63725403428043</c:v>
                </c:pt>
                <c:pt idx="1076">
                  <c:v>1890.6350224502887</c:v>
                </c:pt>
                <c:pt idx="1077">
                  <c:v>834.56537659071762</c:v>
                </c:pt>
                <c:pt idx="1078">
                  <c:v>321.73747649422228</c:v>
                </c:pt>
                <c:pt idx="1079">
                  <c:v>875.55586276813892</c:v>
                </c:pt>
                <c:pt idx="1080">
                  <c:v>898.51381523862665</c:v>
                </c:pt>
                <c:pt idx="1081">
                  <c:v>851.45364939141291</c:v>
                </c:pt>
                <c:pt idx="1082">
                  <c:v>344.54273975848031</c:v>
                </c:pt>
                <c:pt idx="1083">
                  <c:v>779.18102914276994</c:v>
                </c:pt>
                <c:pt idx="1084">
                  <c:v>2441.2649378099345</c:v>
                </c:pt>
                <c:pt idx="1085">
                  <c:v>258.48232690129402</c:v>
                </c:pt>
                <c:pt idx="1086">
                  <c:v>3102.1018526210855</c:v>
                </c:pt>
                <c:pt idx="1087">
                  <c:v>1345.7083780296318</c:v>
                </c:pt>
                <c:pt idx="1088">
                  <c:v>1202.0270937508415</c:v>
                </c:pt>
                <c:pt idx="1089">
                  <c:v>1424.9572980115377</c:v>
                </c:pt>
                <c:pt idx="1090">
                  <c:v>2274.3420340084481</c:v>
                </c:pt>
                <c:pt idx="1091">
                  <c:v>3934.9112426035499</c:v>
                </c:pt>
                <c:pt idx="1092">
                  <c:v>2116.4499179762729</c:v>
                </c:pt>
                <c:pt idx="1093">
                  <c:v>113.18249559680262</c:v>
                </c:pt>
                <c:pt idx="1094">
                  <c:v>1065.4914081479501</c:v>
                </c:pt>
                <c:pt idx="1095">
                  <c:v>2494.1626794258373</c:v>
                </c:pt>
                <c:pt idx="1096">
                  <c:v>292.23920404774674</c:v>
                </c:pt>
                <c:pt idx="1097">
                  <c:v>503.59337840017906</c:v>
                </c:pt>
                <c:pt idx="1098">
                  <c:v>331.3660408890164</c:v>
                </c:pt>
                <c:pt idx="1099">
                  <c:v>148.20328430734526</c:v>
                </c:pt>
                <c:pt idx="1100">
                  <c:v>0.37201550398334154</c:v>
                </c:pt>
                <c:pt idx="1101">
                  <c:v>1338.4338965322356</c:v>
                </c:pt>
                <c:pt idx="1102">
                  <c:v>3213.6192899551684</c:v>
                </c:pt>
                <c:pt idx="1103">
                  <c:v>1625.0709018718096</c:v>
                </c:pt>
                <c:pt idx="1104">
                  <c:v>2128.5157222268313</c:v>
                </c:pt>
                <c:pt idx="1105">
                  <c:v>1362.8006428240678</c:v>
                </c:pt>
                <c:pt idx="1106">
                  <c:v>1600.878042481761</c:v>
                </c:pt>
                <c:pt idx="1107">
                  <c:v>1746.5233316458709</c:v>
                </c:pt>
                <c:pt idx="1108">
                  <c:v>1846.3938973647712</c:v>
                </c:pt>
                <c:pt idx="1109">
                  <c:v>0.48554557552177813</c:v>
                </c:pt>
                <c:pt idx="1110">
                  <c:v>3388.1181775620339</c:v>
                </c:pt>
                <c:pt idx="1111">
                  <c:v>97.89707404011925</c:v>
                </c:pt>
                <c:pt idx="1112">
                  <c:v>131.45884676341973</c:v>
                </c:pt>
                <c:pt idx="1113">
                  <c:v>889.38676521538264</c:v>
                </c:pt>
                <c:pt idx="1114">
                  <c:v>1493.4322770866809</c:v>
                </c:pt>
                <c:pt idx="1115">
                  <c:v>1969.3036903284053</c:v>
                </c:pt>
                <c:pt idx="1116">
                  <c:v>101.28280804972535</c:v>
                </c:pt>
                <c:pt idx="1117">
                  <c:v>2661.7190566239697</c:v>
                </c:pt>
                <c:pt idx="1118">
                  <c:v>3040.0328137817878</c:v>
                </c:pt>
                <c:pt idx="1119">
                  <c:v>1450.849801652291</c:v>
                </c:pt>
                <c:pt idx="1120">
                  <c:v>2260.6843296498464</c:v>
                </c:pt>
                <c:pt idx="1121">
                  <c:v>876.93094912113293</c:v>
                </c:pt>
                <c:pt idx="1122">
                  <c:v>720.63322709635656</c:v>
                </c:pt>
                <c:pt idx="1123">
                  <c:v>467.77803683842387</c:v>
                </c:pt>
                <c:pt idx="1124">
                  <c:v>2756.0185590475357</c:v>
                </c:pt>
                <c:pt idx="1125">
                  <c:v>824.14076556509144</c:v>
                </c:pt>
                <c:pt idx="1126">
                  <c:v>1546.3067889152155</c:v>
                </c:pt>
                <c:pt idx="1127">
                  <c:v>2968.6668861926591</c:v>
                </c:pt>
                <c:pt idx="1128">
                  <c:v>1670.5805721729887</c:v>
                </c:pt>
                <c:pt idx="1129">
                  <c:v>858.94268417782814</c:v>
                </c:pt>
                <c:pt idx="1130">
                  <c:v>416.30803573907588</c:v>
                </c:pt>
                <c:pt idx="1131">
                  <c:v>13.781269680096992</c:v>
                </c:pt>
                <c:pt idx="1132">
                  <c:v>3585.3634625753634</c:v>
                </c:pt>
                <c:pt idx="1133">
                  <c:v>894.07955596669751</c:v>
                </c:pt>
                <c:pt idx="1134">
                  <c:v>2070.593352608551</c:v>
                </c:pt>
                <c:pt idx="1135">
                  <c:v>1213.7819978899438</c:v>
                </c:pt>
                <c:pt idx="1136">
                  <c:v>4297.5569746323754</c:v>
                </c:pt>
                <c:pt idx="1137">
                  <c:v>1090.3292003016334</c:v>
                </c:pt>
                <c:pt idx="1138">
                  <c:v>1573.7621348464031</c:v>
                </c:pt>
                <c:pt idx="1139">
                  <c:v>2140.7712737192505</c:v>
                </c:pt>
                <c:pt idx="1140">
                  <c:v>1265.0999574649086</c:v>
                </c:pt>
                <c:pt idx="1141">
                  <c:v>1384.4000611320691</c:v>
                </c:pt>
                <c:pt idx="1142">
                  <c:v>1069.3582874657518</c:v>
                </c:pt>
                <c:pt idx="1143">
                  <c:v>3198.3562193043999</c:v>
                </c:pt>
                <c:pt idx="1144">
                  <c:v>964.50198985530994</c:v>
                </c:pt>
                <c:pt idx="1145">
                  <c:v>1731.5818218402367</c:v>
                </c:pt>
                <c:pt idx="1146">
                  <c:v>2774.043201577485</c:v>
                </c:pt>
                <c:pt idx="1147">
                  <c:v>118.18429311841545</c:v>
                </c:pt>
                <c:pt idx="1148">
                  <c:v>2235.4897218863362</c:v>
                </c:pt>
                <c:pt idx="1149">
                  <c:v>1487.1881789186605</c:v>
                </c:pt>
                <c:pt idx="1150">
                  <c:v>2609.985556466409</c:v>
                </c:pt>
                <c:pt idx="1151">
                  <c:v>1168.1371939853361</c:v>
                </c:pt>
                <c:pt idx="1152">
                  <c:v>217.82300765756997</c:v>
                </c:pt>
                <c:pt idx="1153">
                  <c:v>3290.6827750320335</c:v>
                </c:pt>
                <c:pt idx="1154">
                  <c:v>2782.9289706417694</c:v>
                </c:pt>
                <c:pt idx="1155">
                  <c:v>1083.1298231903877</c:v>
                </c:pt>
                <c:pt idx="1156">
                  <c:v>829.2043808416604</c:v>
                </c:pt>
                <c:pt idx="1157">
                  <c:v>1277.5400855691948</c:v>
                </c:pt>
                <c:pt idx="1158">
                  <c:v>379.24567618253803</c:v>
                </c:pt>
                <c:pt idx="1159">
                  <c:v>670.6959819914274</c:v>
                </c:pt>
                <c:pt idx="1160">
                  <c:v>1633.9141782451834</c:v>
                </c:pt>
                <c:pt idx="1161">
                  <c:v>921.40150096619072</c:v>
                </c:pt>
                <c:pt idx="1162">
                  <c:v>2019.8451867629487</c:v>
                </c:pt>
                <c:pt idx="1163">
                  <c:v>222.23664657419999</c:v>
                </c:pt>
                <c:pt idx="1164">
                  <c:v>53.162139010053068</c:v>
                </c:pt>
                <c:pt idx="1165">
                  <c:v>2102.3988213085318</c:v>
                </c:pt>
                <c:pt idx="1166">
                  <c:v>2.0283125079023621</c:v>
                </c:pt>
                <c:pt idx="1167">
                  <c:v>384.35960218856741</c:v>
                </c:pt>
                <c:pt idx="1168">
                  <c:v>0.75011571233764851</c:v>
                </c:pt>
                <c:pt idx="1169">
                  <c:v>150.53514176962102</c:v>
                </c:pt>
                <c:pt idx="1170">
                  <c:v>1964.3002321568911</c:v>
                </c:pt>
                <c:pt idx="1171">
                  <c:v>751.70602983660297</c:v>
                </c:pt>
                <c:pt idx="1172">
                  <c:v>440.84462810948634</c:v>
                </c:pt>
                <c:pt idx="1173">
                  <c:v>0.32949414393625409</c:v>
                </c:pt>
                <c:pt idx="1174">
                  <c:v>1626.6628454061283</c:v>
                </c:pt>
                <c:pt idx="1175">
                  <c:v>363.74858991550127</c:v>
                </c:pt>
                <c:pt idx="1176">
                  <c:v>2303.8083012409074</c:v>
                </c:pt>
                <c:pt idx="1177">
                  <c:v>204.77068093270927</c:v>
                </c:pt>
                <c:pt idx="1178">
                  <c:v>7.2487274487244351</c:v>
                </c:pt>
                <c:pt idx="1179">
                  <c:v>0.89869580337588251</c:v>
                </c:pt>
                <c:pt idx="1180">
                  <c:v>2771.6454657365612</c:v>
                </c:pt>
                <c:pt idx="1181">
                  <c:v>453.06248076331173</c:v>
                </c:pt>
                <c:pt idx="1182">
                  <c:v>535.82425516553019</c:v>
                </c:pt>
                <c:pt idx="1183">
                  <c:v>945.14069116240955</c:v>
                </c:pt>
                <c:pt idx="1184">
                  <c:v>2304.7754918155883</c:v>
                </c:pt>
                <c:pt idx="1185">
                  <c:v>1442.2397172236501</c:v>
                </c:pt>
                <c:pt idx="1186">
                  <c:v>1300.8364580328814</c:v>
                </c:pt>
                <c:pt idx="1187">
                  <c:v>1442.3586612805932</c:v>
                </c:pt>
                <c:pt idx="1188">
                  <c:v>1363.560434315714</c:v>
                </c:pt>
                <c:pt idx="1189">
                  <c:v>1237.6975582540776</c:v>
                </c:pt>
                <c:pt idx="1190">
                  <c:v>368.58899160058183</c:v>
                </c:pt>
                <c:pt idx="1191">
                  <c:v>1711.789336840355</c:v>
                </c:pt>
                <c:pt idx="1192">
                  <c:v>1447.1885914656873</c:v>
                </c:pt>
                <c:pt idx="1193">
                  <c:v>4.1630901027763775E-2</c:v>
                </c:pt>
                <c:pt idx="1194">
                  <c:v>1143.1993996074357</c:v>
                </c:pt>
                <c:pt idx="1195">
                  <c:v>390.76590116628591</c:v>
                </c:pt>
                <c:pt idx="1196">
                  <c:v>545.7888648813813</c:v>
                </c:pt>
                <c:pt idx="1197">
                  <c:v>463.05306658915401</c:v>
                </c:pt>
                <c:pt idx="1198">
                  <c:v>345.48810133580486</c:v>
                </c:pt>
                <c:pt idx="1199">
                  <c:v>2.4219064092226956</c:v>
                </c:pt>
                <c:pt idx="1200">
                  <c:v>865.05647680845925</c:v>
                </c:pt>
                <c:pt idx="1201">
                  <c:v>13.432773921675187</c:v>
                </c:pt>
                <c:pt idx="1202">
                  <c:v>2555.7974959172561</c:v>
                </c:pt>
                <c:pt idx="1203">
                  <c:v>65.455332244304088</c:v>
                </c:pt>
                <c:pt idx="1204">
                  <c:v>1763.7606173515342</c:v>
                </c:pt>
                <c:pt idx="1205">
                  <c:v>1170.6539074960126</c:v>
                </c:pt>
                <c:pt idx="1206">
                  <c:v>1.4357495032456384E-2</c:v>
                </c:pt>
                <c:pt idx="1207">
                  <c:v>168.76197176566535</c:v>
                </c:pt>
                <c:pt idx="1208">
                  <c:v>1364.1101278269421</c:v>
                </c:pt>
                <c:pt idx="1209">
                  <c:v>3182.1961359745655</c:v>
                </c:pt>
                <c:pt idx="1210">
                  <c:v>161.29258671757657</c:v>
                </c:pt>
                <c:pt idx="1211">
                  <c:v>1544.534960040153</c:v>
                </c:pt>
                <c:pt idx="1212">
                  <c:v>1568.5186024380296</c:v>
                </c:pt>
                <c:pt idx="1213">
                  <c:v>1679.9511064707531</c:v>
                </c:pt>
                <c:pt idx="1214">
                  <c:v>1706.4636996227009</c:v>
                </c:pt>
                <c:pt idx="1215">
                  <c:v>84.153747983171215</c:v>
                </c:pt>
                <c:pt idx="1216">
                  <c:v>2043.3094642394963</c:v>
                </c:pt>
                <c:pt idx="1217">
                  <c:v>0.29170744110326069</c:v>
                </c:pt>
                <c:pt idx="1218">
                  <c:v>220.1393313944175</c:v>
                </c:pt>
                <c:pt idx="1219">
                  <c:v>2111.2801799011618</c:v>
                </c:pt>
                <c:pt idx="1220">
                  <c:v>390.06641616899918</c:v>
                </c:pt>
                <c:pt idx="1221">
                  <c:v>1634.3743870278752</c:v>
                </c:pt>
                <c:pt idx="1222">
                  <c:v>250.58255583269789</c:v>
                </c:pt>
                <c:pt idx="1223">
                  <c:v>1598.3558300596221</c:v>
                </c:pt>
                <c:pt idx="1224">
                  <c:v>1101.4880718053698</c:v>
                </c:pt>
                <c:pt idx="1225">
                  <c:v>2195.2465451416897</c:v>
                </c:pt>
                <c:pt idx="1226">
                  <c:v>148.82769744800967</c:v>
                </c:pt>
                <c:pt idx="1227">
                  <c:v>58.085463726332257</c:v>
                </c:pt>
                <c:pt idx="1228">
                  <c:v>232.81519483176942</c:v>
                </c:pt>
                <c:pt idx="1229">
                  <c:v>74.436500961926697</c:v>
                </c:pt>
                <c:pt idx="1230">
                  <c:v>1938.5065558757174</c:v>
                </c:pt>
                <c:pt idx="1231">
                  <c:v>1843.7483323549818</c:v>
                </c:pt>
                <c:pt idx="1232">
                  <c:v>3.0906191797537397</c:v>
                </c:pt>
                <c:pt idx="1233">
                  <c:v>1652.7699706451817</c:v>
                </c:pt>
                <c:pt idx="1234">
                  <c:v>35.365201430102424</c:v>
                </c:pt>
                <c:pt idx="1235">
                  <c:v>1379.9794961921498</c:v>
                </c:pt>
                <c:pt idx="1236">
                  <c:v>1.1257327293351391</c:v>
                </c:pt>
                <c:pt idx="1237">
                  <c:v>203.98324423350937</c:v>
                </c:pt>
                <c:pt idx="1238">
                  <c:v>1427.2508425613867</c:v>
                </c:pt>
                <c:pt idx="1239">
                  <c:v>2462.2626197045938</c:v>
                </c:pt>
                <c:pt idx="1240">
                  <c:v>952.18786565798155</c:v>
                </c:pt>
                <c:pt idx="1241">
                  <c:v>509.23284402717985</c:v>
                </c:pt>
                <c:pt idx="1242">
                  <c:v>1939.8868458274396</c:v>
                </c:pt>
                <c:pt idx="1243">
                  <c:v>1158.6370336117454</c:v>
                </c:pt>
                <c:pt idx="1244">
                  <c:v>0.18295478035065654</c:v>
                </c:pt>
                <c:pt idx="1245">
                  <c:v>2954.0401978131654</c:v>
                </c:pt>
                <c:pt idx="1246">
                  <c:v>1810.228195183548</c:v>
                </c:pt>
                <c:pt idx="1247">
                  <c:v>46.578214807941414</c:v>
                </c:pt>
                <c:pt idx="1248">
                  <c:v>1960.022493737539</c:v>
                </c:pt>
                <c:pt idx="1249">
                  <c:v>919.51507724626879</c:v>
                </c:pt>
                <c:pt idx="1250">
                  <c:v>1881.5539135436482</c:v>
                </c:pt>
                <c:pt idx="1251">
                  <c:v>3.0990387840220377</c:v>
                </c:pt>
                <c:pt idx="1252">
                  <c:v>330.56696077574918</c:v>
                </c:pt>
                <c:pt idx="1253">
                  <c:v>1603.3885627875968</c:v>
                </c:pt>
                <c:pt idx="1254">
                  <c:v>1691.0391032661214</c:v>
                </c:pt>
                <c:pt idx="1255">
                  <c:v>2400.9341858417247</c:v>
                </c:pt>
                <c:pt idx="1256">
                  <c:v>3316.4270715554844</c:v>
                </c:pt>
                <c:pt idx="1257">
                  <c:v>330.28450263213983</c:v>
                </c:pt>
                <c:pt idx="1258">
                  <c:v>2685.5357250165248</c:v>
                </c:pt>
                <c:pt idx="1259">
                  <c:v>1260.8774110759114</c:v>
                </c:pt>
                <c:pt idx="1260">
                  <c:v>496.84789744367941</c:v>
                </c:pt>
                <c:pt idx="1261">
                  <c:v>1819.5934263316042</c:v>
                </c:pt>
                <c:pt idx="1262">
                  <c:v>1627.22411278561</c:v>
                </c:pt>
                <c:pt idx="1263">
                  <c:v>2.6767637910490789</c:v>
                </c:pt>
                <c:pt idx="1264">
                  <c:v>1115.3476020513822</c:v>
                </c:pt>
                <c:pt idx="1265">
                  <c:v>0.12797325859187489</c:v>
                </c:pt>
                <c:pt idx="1266">
                  <c:v>1006.6695664781788</c:v>
                </c:pt>
                <c:pt idx="1267">
                  <c:v>929.48676335025516</c:v>
                </c:pt>
                <c:pt idx="1268">
                  <c:v>48.358223888842971</c:v>
                </c:pt>
                <c:pt idx="1269">
                  <c:v>29.956631630495856</c:v>
                </c:pt>
                <c:pt idx="1270">
                  <c:v>2327.735700840386</c:v>
                </c:pt>
                <c:pt idx="1271">
                  <c:v>769.5234258730851</c:v>
                </c:pt>
                <c:pt idx="1272">
                  <c:v>435.84818175796499</c:v>
                </c:pt>
                <c:pt idx="1273">
                  <c:v>1422.5780425743189</c:v>
                </c:pt>
                <c:pt idx="1274">
                  <c:v>451.02928647648054</c:v>
                </c:pt>
                <c:pt idx="1275">
                  <c:v>607.67527029660073</c:v>
                </c:pt>
                <c:pt idx="1276">
                  <c:v>740.81366913329293</c:v>
                </c:pt>
                <c:pt idx="1277">
                  <c:v>227.80543205103422</c:v>
                </c:pt>
                <c:pt idx="1278">
                  <c:v>1505.9617996287107</c:v>
                </c:pt>
                <c:pt idx="1279">
                  <c:v>538.01406637794332</c:v>
                </c:pt>
                <c:pt idx="1280">
                  <c:v>0.7571032298606174</c:v>
                </c:pt>
                <c:pt idx="1281">
                  <c:v>3.3636155922874171</c:v>
                </c:pt>
                <c:pt idx="1282">
                  <c:v>391.24133274041861</c:v>
                </c:pt>
                <c:pt idx="1283">
                  <c:v>1478.8181960293887</c:v>
                </c:pt>
                <c:pt idx="1284">
                  <c:v>565.83203972081662</c:v>
                </c:pt>
                <c:pt idx="1285">
                  <c:v>24.683239263437851</c:v>
                </c:pt>
                <c:pt idx="1286">
                  <c:v>623.56890596499397</c:v>
                </c:pt>
                <c:pt idx="1287">
                  <c:v>639.67684954280969</c:v>
                </c:pt>
                <c:pt idx="1288">
                  <c:v>540.62672116415922</c:v>
                </c:pt>
                <c:pt idx="1289">
                  <c:v>39.128920412266673</c:v>
                </c:pt>
                <c:pt idx="1290">
                  <c:v>127.55412710935555</c:v>
                </c:pt>
                <c:pt idx="1291">
                  <c:v>873.38512964134088</c:v>
                </c:pt>
                <c:pt idx="1292">
                  <c:v>11.408859868217871</c:v>
                </c:pt>
                <c:pt idx="1293">
                  <c:v>2155.6802244039272</c:v>
                </c:pt>
                <c:pt idx="1294">
                  <c:v>312.46432303787674</c:v>
                </c:pt>
                <c:pt idx="1295">
                  <c:v>3.3943621327906937</c:v>
                </c:pt>
                <c:pt idx="1296">
                  <c:v>1986.4800127747912</c:v>
                </c:pt>
                <c:pt idx="1297">
                  <c:v>2063.2876618247997</c:v>
                </c:pt>
                <c:pt idx="1298">
                  <c:v>19.846462056812786</c:v>
                </c:pt>
                <c:pt idx="1299">
                  <c:v>632.89860197902601</c:v>
                </c:pt>
                <c:pt idx="1300">
                  <c:v>1447.9133482000636</c:v>
                </c:pt>
                <c:pt idx="1301">
                  <c:v>139.31229490747992</c:v>
                </c:pt>
                <c:pt idx="1302">
                  <c:v>396.11231597186361</c:v>
                </c:pt>
                <c:pt idx="1303">
                  <c:v>187.18425023783752</c:v>
                </c:pt>
                <c:pt idx="1304">
                  <c:v>257.89874381423687</c:v>
                </c:pt>
                <c:pt idx="1305">
                  <c:v>73.227850358412283</c:v>
                </c:pt>
                <c:pt idx="1306">
                  <c:v>1587.6802716702125</c:v>
                </c:pt>
                <c:pt idx="1307">
                  <c:v>355.69745661076638</c:v>
                </c:pt>
                <c:pt idx="1308">
                  <c:v>857.00012318136407</c:v>
                </c:pt>
                <c:pt idx="1309">
                  <c:v>1443.3825088606829</c:v>
                </c:pt>
                <c:pt idx="1310">
                  <c:v>851.83961784734231</c:v>
                </c:pt>
                <c:pt idx="1311">
                  <c:v>1512.1681215178844</c:v>
                </c:pt>
                <c:pt idx="1312">
                  <c:v>97.900053615384266</c:v>
                </c:pt>
                <c:pt idx="1313">
                  <c:v>730.00419248148353</c:v>
                </c:pt>
                <c:pt idx="1314">
                  <c:v>1383.7112254833776</c:v>
                </c:pt>
                <c:pt idx="1315">
                  <c:v>1803.1734826485265</c:v>
                </c:pt>
                <c:pt idx="1316">
                  <c:v>1450.0939917576457</c:v>
                </c:pt>
                <c:pt idx="1317">
                  <c:v>629.61835778197099</c:v>
                </c:pt>
                <c:pt idx="1318">
                  <c:v>2310.7840444142435</c:v>
                </c:pt>
                <c:pt idx="1319">
                  <c:v>1363.9463514435097</c:v>
                </c:pt>
                <c:pt idx="1320">
                  <c:v>57.301212524242374</c:v>
                </c:pt>
                <c:pt idx="1321">
                  <c:v>1694.9800622712621</c:v>
                </c:pt>
                <c:pt idx="1322">
                  <c:v>454.05783000274437</c:v>
                </c:pt>
                <c:pt idx="1323">
                  <c:v>1602.2138153285694</c:v>
                </c:pt>
                <c:pt idx="1324">
                  <c:v>1545.8273004903333</c:v>
                </c:pt>
                <c:pt idx="1325">
                  <c:v>1449.3936919773807</c:v>
                </c:pt>
                <c:pt idx="1326">
                  <c:v>629.28724544480167</c:v>
                </c:pt>
                <c:pt idx="1327">
                  <c:v>1.1777230599240798</c:v>
                </c:pt>
                <c:pt idx="1328">
                  <c:v>361.42688952366257</c:v>
                </c:pt>
                <c:pt idx="1329">
                  <c:v>2395.1056932840247</c:v>
                </c:pt>
                <c:pt idx="1330">
                  <c:v>179.1707387981719</c:v>
                </c:pt>
                <c:pt idx="1331">
                  <c:v>324.89610880241781</c:v>
                </c:pt>
                <c:pt idx="1332">
                  <c:v>993.87062458842024</c:v>
                </c:pt>
                <c:pt idx="1333">
                  <c:v>1742.6209448771899</c:v>
                </c:pt>
                <c:pt idx="1334">
                  <c:v>2728.9964699949569</c:v>
                </c:pt>
                <c:pt idx="1335">
                  <c:v>707.93915275669133</c:v>
                </c:pt>
                <c:pt idx="1336">
                  <c:v>1699.2905937992646</c:v>
                </c:pt>
                <c:pt idx="1337">
                  <c:v>965.94879613747526</c:v>
                </c:pt>
                <c:pt idx="1338">
                  <c:v>1011.6863704307652</c:v>
                </c:pt>
                <c:pt idx="1339">
                  <c:v>168.82276767802017</c:v>
                </c:pt>
                <c:pt idx="1340">
                  <c:v>80.228084082434506</c:v>
                </c:pt>
                <c:pt idx="1341">
                  <c:v>100.93811952517679</c:v>
                </c:pt>
                <c:pt idx="1342">
                  <c:v>2987.1810303322104</c:v>
                </c:pt>
                <c:pt idx="1343">
                  <c:v>0.46584850656992483</c:v>
                </c:pt>
                <c:pt idx="1344">
                  <c:v>886.81326256290083</c:v>
                </c:pt>
                <c:pt idx="1345">
                  <c:v>1979.3346473152958</c:v>
                </c:pt>
                <c:pt idx="1346">
                  <c:v>3.1330231798618757</c:v>
                </c:pt>
                <c:pt idx="1347">
                  <c:v>9.6775718299941982</c:v>
                </c:pt>
                <c:pt idx="1348">
                  <c:v>226.8637456047924</c:v>
                </c:pt>
                <c:pt idx="1349">
                  <c:v>3.9385160380540456E-3</c:v>
                </c:pt>
                <c:pt idx="1350">
                  <c:v>52.723990097965618</c:v>
                </c:pt>
                <c:pt idx="1351">
                  <c:v>1031.1538356798565</c:v>
                </c:pt>
                <c:pt idx="1352">
                  <c:v>65.304799150111293</c:v>
                </c:pt>
                <c:pt idx="1353">
                  <c:v>1294.1303099885188</c:v>
                </c:pt>
                <c:pt idx="1354">
                  <c:v>554.67453047845845</c:v>
                </c:pt>
                <c:pt idx="1355">
                  <c:v>1222.8555278157239</c:v>
                </c:pt>
                <c:pt idx="1356">
                  <c:v>670.89910775566227</c:v>
                </c:pt>
                <c:pt idx="1357">
                  <c:v>407.20512398773178</c:v>
                </c:pt>
                <c:pt idx="1358">
                  <c:v>0.92937117656670665</c:v>
                </c:pt>
                <c:pt idx="1359">
                  <c:v>1474.8604713509296</c:v>
                </c:pt>
                <c:pt idx="1360">
                  <c:v>141.85699955830935</c:v>
                </c:pt>
                <c:pt idx="1361">
                  <c:v>2115.2980515722461</c:v>
                </c:pt>
                <c:pt idx="1362">
                  <c:v>665.3151492812384</c:v>
                </c:pt>
                <c:pt idx="1363">
                  <c:v>363.77240708475404</c:v>
                </c:pt>
                <c:pt idx="1364">
                  <c:v>51.35666314321427</c:v>
                </c:pt>
                <c:pt idx="1365">
                  <c:v>536.93451881675333</c:v>
                </c:pt>
                <c:pt idx="1366">
                  <c:v>1690.4683542492451</c:v>
                </c:pt>
                <c:pt idx="1367">
                  <c:v>1540.2879610986588</c:v>
                </c:pt>
                <c:pt idx="1368">
                  <c:v>90.14927799301023</c:v>
                </c:pt>
                <c:pt idx="1369">
                  <c:v>2281.0255994157978</c:v>
                </c:pt>
                <c:pt idx="1370">
                  <c:v>2082.7111084562848</c:v>
                </c:pt>
                <c:pt idx="1371">
                  <c:v>0.16574093387076522</c:v>
                </c:pt>
                <c:pt idx="1372">
                  <c:v>1097.413005377713</c:v>
                </c:pt>
                <c:pt idx="1373">
                  <c:v>36.646088766770255</c:v>
                </c:pt>
                <c:pt idx="1374">
                  <c:v>85.005316569649239</c:v>
                </c:pt>
                <c:pt idx="1375">
                  <c:v>6.1575462757483885</c:v>
                </c:pt>
                <c:pt idx="1376">
                  <c:v>620.57405265981743</c:v>
                </c:pt>
                <c:pt idx="1377">
                  <c:v>1236.1430070029201</c:v>
                </c:pt>
                <c:pt idx="1378">
                  <c:v>1.5296970748220757</c:v>
                </c:pt>
                <c:pt idx="1379">
                  <c:v>179.45491557581707</c:v>
                </c:pt>
                <c:pt idx="1380">
                  <c:v>585.49991014197576</c:v>
                </c:pt>
                <c:pt idx="1381">
                  <c:v>859.35183456516245</c:v>
                </c:pt>
                <c:pt idx="1382">
                  <c:v>1050.500390830226</c:v>
                </c:pt>
                <c:pt idx="1383">
                  <c:v>282.29564655166797</c:v>
                </c:pt>
                <c:pt idx="1384">
                  <c:v>591.24033954946128</c:v>
                </c:pt>
                <c:pt idx="1385">
                  <c:v>1334.7955303492402</c:v>
                </c:pt>
                <c:pt idx="1386">
                  <c:v>50.131302033425712</c:v>
                </c:pt>
                <c:pt idx="1387">
                  <c:v>296.39904566387395</c:v>
                </c:pt>
                <c:pt idx="1388">
                  <c:v>252.44114299406934</c:v>
                </c:pt>
                <c:pt idx="1389">
                  <c:v>1396.8278490138525</c:v>
                </c:pt>
                <c:pt idx="1390">
                  <c:v>97.836018660185786</c:v>
                </c:pt>
                <c:pt idx="1391">
                  <c:v>4.5449503883553913E-2</c:v>
                </c:pt>
                <c:pt idx="1392">
                  <c:v>116.19845212396385</c:v>
                </c:pt>
                <c:pt idx="1393">
                  <c:v>5.4083470043010378</c:v>
                </c:pt>
                <c:pt idx="1394">
                  <c:v>204.52851902813435</c:v>
                </c:pt>
                <c:pt idx="1395">
                  <c:v>3638.3827581952037</c:v>
                </c:pt>
                <c:pt idx="1396">
                  <c:v>319.94810455034491</c:v>
                </c:pt>
                <c:pt idx="1397">
                  <c:v>67.186428341475022</c:v>
                </c:pt>
                <c:pt idx="1398">
                  <c:v>213.25708407827392</c:v>
                </c:pt>
                <c:pt idx="1399">
                  <c:v>5.9768442544935983E-2</c:v>
                </c:pt>
                <c:pt idx="1400">
                  <c:v>530.70839188556192</c:v>
                </c:pt>
                <c:pt idx="1401">
                  <c:v>1384.4568287655545</c:v>
                </c:pt>
                <c:pt idx="1402">
                  <c:v>1.6310287433688131</c:v>
                </c:pt>
                <c:pt idx="1403">
                  <c:v>69.293283698855916</c:v>
                </c:pt>
                <c:pt idx="1404">
                  <c:v>1081.4457356706716</c:v>
                </c:pt>
                <c:pt idx="1405">
                  <c:v>0.75478751994216442</c:v>
                </c:pt>
                <c:pt idx="1406">
                  <c:v>1123.8594495685072</c:v>
                </c:pt>
                <c:pt idx="1407">
                  <c:v>854.63577627629843</c:v>
                </c:pt>
                <c:pt idx="1408">
                  <c:v>393.18813997837896</c:v>
                </c:pt>
                <c:pt idx="1409">
                  <c:v>346.63349305811516</c:v>
                </c:pt>
                <c:pt idx="1410">
                  <c:v>1252.0468117896362</c:v>
                </c:pt>
                <c:pt idx="1411">
                  <c:v>1246.7234286807616</c:v>
                </c:pt>
                <c:pt idx="1412">
                  <c:v>960.04624057769047</c:v>
                </c:pt>
                <c:pt idx="1413">
                  <c:v>6.3360562794311528E-2</c:v>
                </c:pt>
                <c:pt idx="1414">
                  <c:v>768.0914092255606</c:v>
                </c:pt>
                <c:pt idx="1415">
                  <c:v>150.28178725489641</c:v>
                </c:pt>
                <c:pt idx="1416">
                  <c:v>1042.4423592256194</c:v>
                </c:pt>
                <c:pt idx="1417">
                  <c:v>251.85272059895647</c:v>
                </c:pt>
                <c:pt idx="1418">
                  <c:v>1.9068662117169561</c:v>
                </c:pt>
                <c:pt idx="1419">
                  <c:v>1291.1587631931025</c:v>
                </c:pt>
                <c:pt idx="1420">
                  <c:v>2327.7656741709029</c:v>
                </c:pt>
                <c:pt idx="1421">
                  <c:v>187.42838901651402</c:v>
                </c:pt>
                <c:pt idx="1422">
                  <c:v>52.143600106687167</c:v>
                </c:pt>
                <c:pt idx="1423">
                  <c:v>88.292704891291024</c:v>
                </c:pt>
                <c:pt idx="1424">
                  <c:v>213.18472813008563</c:v>
                </c:pt>
                <c:pt idx="1425">
                  <c:v>0.87832367666878575</c:v>
                </c:pt>
                <c:pt idx="1426">
                  <c:v>134.69414023196717</c:v>
                </c:pt>
                <c:pt idx="1427">
                  <c:v>495.31597510839532</c:v>
                </c:pt>
                <c:pt idx="1428">
                  <c:v>224.03319676121845</c:v>
                </c:pt>
                <c:pt idx="1429">
                  <c:v>58.147458101325384</c:v>
                </c:pt>
                <c:pt idx="1430">
                  <c:v>126.8664668218035</c:v>
                </c:pt>
                <c:pt idx="1431">
                  <c:v>239.96907749806735</c:v>
                </c:pt>
                <c:pt idx="1432">
                  <c:v>2331.5300173328428</c:v>
                </c:pt>
                <c:pt idx="1433">
                  <c:v>1088.0840051544742</c:v>
                </c:pt>
                <c:pt idx="1434">
                  <c:v>62.286867117517119</c:v>
                </c:pt>
                <c:pt idx="1435">
                  <c:v>877.47414334335656</c:v>
                </c:pt>
                <c:pt idx="1436">
                  <c:v>1106.7691625742182</c:v>
                </c:pt>
                <c:pt idx="1437">
                  <c:v>1284.6310228672332</c:v>
                </c:pt>
                <c:pt idx="1438">
                  <c:v>882.30418927642961</c:v>
                </c:pt>
                <c:pt idx="1439">
                  <c:v>0.59022989010602878</c:v>
                </c:pt>
                <c:pt idx="1440">
                  <c:v>914.71460486262629</c:v>
                </c:pt>
                <c:pt idx="1441">
                  <c:v>220.03212590267998</c:v>
                </c:pt>
                <c:pt idx="1442">
                  <c:v>2.1198189082034005</c:v>
                </c:pt>
                <c:pt idx="1443">
                  <c:v>419.95407442298637</c:v>
                </c:pt>
                <c:pt idx="1444">
                  <c:v>1921.8017098945454</c:v>
                </c:pt>
                <c:pt idx="1445">
                  <c:v>1482.5518529440676</c:v>
                </c:pt>
                <c:pt idx="1446">
                  <c:v>384.67961921727988</c:v>
                </c:pt>
                <c:pt idx="1447">
                  <c:v>2160.8495043821886</c:v>
                </c:pt>
                <c:pt idx="1448">
                  <c:v>2319.1153768709305</c:v>
                </c:pt>
                <c:pt idx="1449">
                  <c:v>1717.4877479437323</c:v>
                </c:pt>
                <c:pt idx="1450">
                  <c:v>1133.0263812842209</c:v>
                </c:pt>
                <c:pt idx="1451">
                  <c:v>1316.7715827338131</c:v>
                </c:pt>
                <c:pt idx="1452">
                  <c:v>1880.7306675557879</c:v>
                </c:pt>
                <c:pt idx="1453">
                  <c:v>43.008415909258211</c:v>
                </c:pt>
                <c:pt idx="1454">
                  <c:v>434.83413598801934</c:v>
                </c:pt>
                <c:pt idx="1455">
                  <c:v>475.10267216161145</c:v>
                </c:pt>
                <c:pt idx="1456">
                  <c:v>1219.4766382389389</c:v>
                </c:pt>
                <c:pt idx="1457">
                  <c:v>667.31206017053273</c:v>
                </c:pt>
                <c:pt idx="1458">
                  <c:v>807.99604565884601</c:v>
                </c:pt>
                <c:pt idx="1459">
                  <c:v>599.04229781958418</c:v>
                </c:pt>
                <c:pt idx="1460">
                  <c:v>1.0919744795786173</c:v>
                </c:pt>
                <c:pt idx="1461">
                  <c:v>1636.2919443239614</c:v>
                </c:pt>
                <c:pt idx="1462">
                  <c:v>0.14051375841658167</c:v>
                </c:pt>
                <c:pt idx="1463">
                  <c:v>1077.6460536152942</c:v>
                </c:pt>
                <c:pt idx="1464">
                  <c:v>487.77980813156694</c:v>
                </c:pt>
                <c:pt idx="1465">
                  <c:v>1934.0933343194329</c:v>
                </c:pt>
                <c:pt idx="1466">
                  <c:v>1197.5981431022303</c:v>
                </c:pt>
                <c:pt idx="1467">
                  <c:v>1295.8003651856361</c:v>
                </c:pt>
                <c:pt idx="1468">
                  <c:v>1313.4117322481636</c:v>
                </c:pt>
                <c:pt idx="1469">
                  <c:v>1889.4855202166229</c:v>
                </c:pt>
                <c:pt idx="1470">
                  <c:v>1217.0608603791304</c:v>
                </c:pt>
                <c:pt idx="1471">
                  <c:v>17.643278089789316</c:v>
                </c:pt>
                <c:pt idx="1472">
                  <c:v>42.822800576659802</c:v>
                </c:pt>
                <c:pt idx="1473">
                  <c:v>7.9963449771297785</c:v>
                </c:pt>
                <c:pt idx="1474">
                  <c:v>411.31235849793109</c:v>
                </c:pt>
                <c:pt idx="1475">
                  <c:v>2767.404733809954</c:v>
                </c:pt>
                <c:pt idx="1476">
                  <c:v>2417.874301785087</c:v>
                </c:pt>
                <c:pt idx="1477">
                  <c:v>35.219625906495295</c:v>
                </c:pt>
                <c:pt idx="1478">
                  <c:v>862.18738636822741</c:v>
                </c:pt>
                <c:pt idx="1479">
                  <c:v>2801.3155349197136</c:v>
                </c:pt>
                <c:pt idx="1480">
                  <c:v>427.84225525306408</c:v>
                </c:pt>
                <c:pt idx="1481">
                  <c:v>53.583730958638483</c:v>
                </c:pt>
                <c:pt idx="1482">
                  <c:v>356.16956850870559</c:v>
                </c:pt>
                <c:pt idx="1483">
                  <c:v>117.15637852111541</c:v>
                </c:pt>
                <c:pt idx="1484">
                  <c:v>1821.9899809984454</c:v>
                </c:pt>
                <c:pt idx="1485">
                  <c:v>165.81117627749842</c:v>
                </c:pt>
                <c:pt idx="1486">
                  <c:v>1802.4103284918526</c:v>
                </c:pt>
                <c:pt idx="1487">
                  <c:v>1130.0257296566779</c:v>
                </c:pt>
                <c:pt idx="1488">
                  <c:v>59.427091731538553</c:v>
                </c:pt>
                <c:pt idx="1489">
                  <c:v>8.1732644116145927</c:v>
                </c:pt>
                <c:pt idx="1490">
                  <c:v>432.45819986545547</c:v>
                </c:pt>
                <c:pt idx="1491">
                  <c:v>310.5473102114986</c:v>
                </c:pt>
                <c:pt idx="1492">
                  <c:v>0.74332979575255165</c:v>
                </c:pt>
                <c:pt idx="1493">
                  <c:v>2.9302950633420402</c:v>
                </c:pt>
                <c:pt idx="1494">
                  <c:v>2493.7840680883619</c:v>
                </c:pt>
                <c:pt idx="1495">
                  <c:v>4.9176484051675091</c:v>
                </c:pt>
                <c:pt idx="1496">
                  <c:v>653.13936306564472</c:v>
                </c:pt>
                <c:pt idx="1497">
                  <c:v>1986.2209974219929</c:v>
                </c:pt>
                <c:pt idx="1498">
                  <c:v>912.64949927342479</c:v>
                </c:pt>
                <c:pt idx="1499">
                  <c:v>599.2463648370358</c:v>
                </c:pt>
                <c:pt idx="1500">
                  <c:v>732.89066682529267</c:v>
                </c:pt>
                <c:pt idx="1501">
                  <c:v>1397.2571297412062</c:v>
                </c:pt>
                <c:pt idx="1502">
                  <c:v>882.89664041150922</c:v>
                </c:pt>
                <c:pt idx="1503">
                  <c:v>995.00957877060625</c:v>
                </c:pt>
                <c:pt idx="1504">
                  <c:v>247.58402180168142</c:v>
                </c:pt>
                <c:pt idx="1505">
                  <c:v>26.557846175699414</c:v>
                </c:pt>
                <c:pt idx="1506">
                  <c:v>491.34571708623201</c:v>
                </c:pt>
                <c:pt idx="1507">
                  <c:v>1209.1346920549868</c:v>
                </c:pt>
                <c:pt idx="1508">
                  <c:v>868.49164431263443</c:v>
                </c:pt>
                <c:pt idx="1509">
                  <c:v>5134.909886446505</c:v>
                </c:pt>
                <c:pt idx="1510">
                  <c:v>89.147167412802602</c:v>
                </c:pt>
                <c:pt idx="1511">
                  <c:v>1693.1176069300177</c:v>
                </c:pt>
                <c:pt idx="1512">
                  <c:v>1243.19046496751</c:v>
                </c:pt>
                <c:pt idx="1513">
                  <c:v>67.337259602856093</c:v>
                </c:pt>
                <c:pt idx="1514">
                  <c:v>15.043404587054146</c:v>
                </c:pt>
                <c:pt idx="1515">
                  <c:v>67.930627538625203</c:v>
                </c:pt>
                <c:pt idx="1516">
                  <c:v>100.04548999220169</c:v>
                </c:pt>
                <c:pt idx="1517">
                  <c:v>14.389360412529951</c:v>
                </c:pt>
                <c:pt idx="1518">
                  <c:v>156.86252485201118</c:v>
                </c:pt>
                <c:pt idx="1519">
                  <c:v>1299.4250850639446</c:v>
                </c:pt>
                <c:pt idx="1520">
                  <c:v>1.1109499765289379</c:v>
                </c:pt>
                <c:pt idx="1521">
                  <c:v>2409.8830269754117</c:v>
                </c:pt>
                <c:pt idx="1522">
                  <c:v>131.14377534981955</c:v>
                </c:pt>
                <c:pt idx="1523">
                  <c:v>6.1488282067923059</c:v>
                </c:pt>
                <c:pt idx="1524">
                  <c:v>1362.0746336966822</c:v>
                </c:pt>
                <c:pt idx="1525">
                  <c:v>105.535601669488</c:v>
                </c:pt>
                <c:pt idx="1526">
                  <c:v>1411.5387570100638</c:v>
                </c:pt>
                <c:pt idx="1527">
                  <c:v>356.83846066785077</c:v>
                </c:pt>
                <c:pt idx="1528">
                  <c:v>875.08935175046793</c:v>
                </c:pt>
                <c:pt idx="1529">
                  <c:v>1676.3039837049384</c:v>
                </c:pt>
                <c:pt idx="1530">
                  <c:v>517.2196529606714</c:v>
                </c:pt>
                <c:pt idx="1531">
                  <c:v>1359.0183873506476</c:v>
                </c:pt>
                <c:pt idx="1532">
                  <c:v>1.4583204040196058</c:v>
                </c:pt>
                <c:pt idx="1533">
                  <c:v>662.86725908362314</c:v>
                </c:pt>
                <c:pt idx="1534">
                  <c:v>0.55981881372408671</c:v>
                </c:pt>
                <c:pt idx="1535">
                  <c:v>654.57912378987839</c:v>
                </c:pt>
                <c:pt idx="1536">
                  <c:v>2.1850596551516097</c:v>
                </c:pt>
                <c:pt idx="1537">
                  <c:v>1954.3138586956516</c:v>
                </c:pt>
                <c:pt idx="1538">
                  <c:v>0.24386040429120073</c:v>
                </c:pt>
                <c:pt idx="1539">
                  <c:v>544.08270253056025</c:v>
                </c:pt>
                <c:pt idx="1540">
                  <c:v>52.098907095655278</c:v>
                </c:pt>
                <c:pt idx="1541">
                  <c:v>2271.9435736677115</c:v>
                </c:pt>
                <c:pt idx="1542">
                  <c:v>383.73253918816295</c:v>
                </c:pt>
                <c:pt idx="1543">
                  <c:v>121.36907694272629</c:v>
                </c:pt>
                <c:pt idx="1544">
                  <c:v>53.171114934940135</c:v>
                </c:pt>
                <c:pt idx="1545">
                  <c:v>259.56111265787547</c:v>
                </c:pt>
                <c:pt idx="1546">
                  <c:v>3.218095104786066</c:v>
                </c:pt>
                <c:pt idx="1547">
                  <c:v>1530.5203353426177</c:v>
                </c:pt>
                <c:pt idx="1548">
                  <c:v>997.7565635674008</c:v>
                </c:pt>
                <c:pt idx="1549">
                  <c:v>1998.2274741506649</c:v>
                </c:pt>
                <c:pt idx="1550">
                  <c:v>268.49089599835412</c:v>
                </c:pt>
                <c:pt idx="1551">
                  <c:v>1444.6679471861339</c:v>
                </c:pt>
                <c:pt idx="1552">
                  <c:v>0.92615247303288684</c:v>
                </c:pt>
                <c:pt idx="1553">
                  <c:v>283.88508228128734</c:v>
                </c:pt>
                <c:pt idx="1554">
                  <c:v>667.62349527186382</c:v>
                </c:pt>
                <c:pt idx="1555">
                  <c:v>803.77484218962456</c:v>
                </c:pt>
                <c:pt idx="1556">
                  <c:v>54.825613040272508</c:v>
                </c:pt>
                <c:pt idx="1557">
                  <c:v>66.828386319120085</c:v>
                </c:pt>
                <c:pt idx="1558">
                  <c:v>7.3333508636851008E-2</c:v>
                </c:pt>
                <c:pt idx="1559">
                  <c:v>292.69360958633456</c:v>
                </c:pt>
                <c:pt idx="1560">
                  <c:v>2360.2571129602861</c:v>
                </c:pt>
                <c:pt idx="1561">
                  <c:v>328.04529746643243</c:v>
                </c:pt>
                <c:pt idx="1562">
                  <c:v>777.69286967913138</c:v>
                </c:pt>
                <c:pt idx="1563">
                  <c:v>606.91526866843162</c:v>
                </c:pt>
                <c:pt idx="1564">
                  <c:v>246.64093287245637</c:v>
                </c:pt>
                <c:pt idx="1565">
                  <c:v>98.254689696091205</c:v>
                </c:pt>
                <c:pt idx="1566">
                  <c:v>2178.3555189736894</c:v>
                </c:pt>
                <c:pt idx="1567">
                  <c:v>1.9996706090571139</c:v>
                </c:pt>
                <c:pt idx="1568">
                  <c:v>5.4887083025328784E-2</c:v>
                </c:pt>
                <c:pt idx="1569">
                  <c:v>125.80343283665729</c:v>
                </c:pt>
                <c:pt idx="1570">
                  <c:v>110.80956337118064</c:v>
                </c:pt>
                <c:pt idx="1571">
                  <c:v>42.342240816652343</c:v>
                </c:pt>
                <c:pt idx="1572">
                  <c:v>920.89143263286837</c:v>
                </c:pt>
                <c:pt idx="1573">
                  <c:v>52.051909235012253</c:v>
                </c:pt>
                <c:pt idx="1574">
                  <c:v>4142.4607893097782</c:v>
                </c:pt>
                <c:pt idx="1575">
                  <c:v>2.3916515561624978</c:v>
                </c:pt>
                <c:pt idx="1576">
                  <c:v>712.56038647342984</c:v>
                </c:pt>
                <c:pt idx="1577">
                  <c:v>0.51595464748010411</c:v>
                </c:pt>
                <c:pt idx="1578">
                  <c:v>381.75639501135578</c:v>
                </c:pt>
                <c:pt idx="1579">
                  <c:v>3.9038152304938607</c:v>
                </c:pt>
                <c:pt idx="1580">
                  <c:v>42.016403805966242</c:v>
                </c:pt>
                <c:pt idx="1581">
                  <c:v>273.87268413657546</c:v>
                </c:pt>
                <c:pt idx="1582">
                  <c:v>7.3568261771787699E-2</c:v>
                </c:pt>
                <c:pt idx="1583">
                  <c:v>1708.7906233351093</c:v>
                </c:pt>
                <c:pt idx="1584">
                  <c:v>103.59444447383628</c:v>
                </c:pt>
                <c:pt idx="1585">
                  <c:v>2.77182660139606</c:v>
                </c:pt>
                <c:pt idx="1586">
                  <c:v>28.35173892404238</c:v>
                </c:pt>
                <c:pt idx="1587">
                  <c:v>2523.5655737704919</c:v>
                </c:pt>
                <c:pt idx="1588">
                  <c:v>1129.5941278709802</c:v>
                </c:pt>
                <c:pt idx="1589">
                  <c:v>1524.5819741984774</c:v>
                </c:pt>
                <c:pt idx="1590">
                  <c:v>6.013452223610301</c:v>
                </c:pt>
                <c:pt idx="1591">
                  <c:v>0.18740263833583717</c:v>
                </c:pt>
                <c:pt idx="1592">
                  <c:v>2064.8168561620105</c:v>
                </c:pt>
                <c:pt idx="1593">
                  <c:v>459.35277979956328</c:v>
                </c:pt>
                <c:pt idx="1594">
                  <c:v>1700.7384376214534</c:v>
                </c:pt>
                <c:pt idx="1595">
                  <c:v>6.0149691065099591E-2</c:v>
                </c:pt>
                <c:pt idx="1596">
                  <c:v>2796.5705742185683</c:v>
                </c:pt>
                <c:pt idx="1597">
                  <c:v>1400.3868471953579</c:v>
                </c:pt>
                <c:pt idx="1598">
                  <c:v>2490.1251854793204</c:v>
                </c:pt>
                <c:pt idx="1599">
                  <c:v>5.1315835489404753</c:v>
                </c:pt>
                <c:pt idx="1600">
                  <c:v>1219.3340494092374</c:v>
                </c:pt>
                <c:pt idx="1601">
                  <c:v>538.52570366309976</c:v>
                </c:pt>
                <c:pt idx="1602">
                  <c:v>0.31417183162618828</c:v>
                </c:pt>
                <c:pt idx="1603">
                  <c:v>114.61714333583856</c:v>
                </c:pt>
                <c:pt idx="1604">
                  <c:v>65.734002322680126</c:v>
                </c:pt>
                <c:pt idx="1605">
                  <c:v>776.83438155136275</c:v>
                </c:pt>
                <c:pt idx="1606">
                  <c:v>2.4373952545138233</c:v>
                </c:pt>
                <c:pt idx="1607">
                  <c:v>1.9226838815059504</c:v>
                </c:pt>
                <c:pt idx="1608">
                  <c:v>2.1879654100649732</c:v>
                </c:pt>
                <c:pt idx="1609">
                  <c:v>3.8812311582069032</c:v>
                </c:pt>
                <c:pt idx="1610">
                  <c:v>583.33044011619154</c:v>
                </c:pt>
                <c:pt idx="1611">
                  <c:v>2433.5248989468473</c:v>
                </c:pt>
                <c:pt idx="1612">
                  <c:v>96.811693939340344</c:v>
                </c:pt>
                <c:pt idx="1613">
                  <c:v>168.81255580094921</c:v>
                </c:pt>
                <c:pt idx="1614">
                  <c:v>421.90259537324397</c:v>
                </c:pt>
                <c:pt idx="1615">
                  <c:v>2292.8660826032547</c:v>
                </c:pt>
                <c:pt idx="1616">
                  <c:v>1299.9079763707068</c:v>
                </c:pt>
                <c:pt idx="1617">
                  <c:v>6.6317455948119752</c:v>
                </c:pt>
                <c:pt idx="1618">
                  <c:v>416.6406274411774</c:v>
                </c:pt>
                <c:pt idx="1619">
                  <c:v>1622.3227237818928</c:v>
                </c:pt>
                <c:pt idx="1620">
                  <c:v>1348.5940879596251</c:v>
                </c:pt>
                <c:pt idx="1621">
                  <c:v>698.96442324959594</c:v>
                </c:pt>
                <c:pt idx="1622">
                  <c:v>3.4492376425844268E-2</c:v>
                </c:pt>
                <c:pt idx="1623">
                  <c:v>1010.7650999974908</c:v>
                </c:pt>
                <c:pt idx="1624">
                  <c:v>61.50956429819302</c:v>
                </c:pt>
                <c:pt idx="1625">
                  <c:v>348.456281415256</c:v>
                </c:pt>
                <c:pt idx="1626">
                  <c:v>274.38845213177154</c:v>
                </c:pt>
                <c:pt idx="1627">
                  <c:v>0.17237865213997736</c:v>
                </c:pt>
                <c:pt idx="1628">
                  <c:v>34.312884410393394</c:v>
                </c:pt>
                <c:pt idx="1629">
                  <c:v>780.13074413397055</c:v>
                </c:pt>
                <c:pt idx="1630">
                  <c:v>174.01344657811362</c:v>
                </c:pt>
                <c:pt idx="1631">
                  <c:v>10.472438099043538</c:v>
                </c:pt>
                <c:pt idx="1632">
                  <c:v>1.2308744555501945</c:v>
                </c:pt>
                <c:pt idx="1633">
                  <c:v>0.1144368390304005</c:v>
                </c:pt>
                <c:pt idx="1634">
                  <c:v>1619.1112190383681</c:v>
                </c:pt>
                <c:pt idx="1635">
                  <c:v>2.6140950339059041</c:v>
                </c:pt>
                <c:pt idx="1636">
                  <c:v>365.73558982367695</c:v>
                </c:pt>
                <c:pt idx="1637">
                  <c:v>2.6392293950155885</c:v>
                </c:pt>
                <c:pt idx="1638">
                  <c:v>280.89308937331811</c:v>
                </c:pt>
                <c:pt idx="1639">
                  <c:v>49.453990695965743</c:v>
                </c:pt>
                <c:pt idx="1640">
                  <c:v>32.588452002644999</c:v>
                </c:pt>
                <c:pt idx="1641">
                  <c:v>425.2374931499719</c:v>
                </c:pt>
                <c:pt idx="1642">
                  <c:v>1330.285428420555</c:v>
                </c:pt>
                <c:pt idx="1643">
                  <c:v>1912.5299198667915</c:v>
                </c:pt>
                <c:pt idx="1644">
                  <c:v>24.602085117300344</c:v>
                </c:pt>
                <c:pt idx="1645">
                  <c:v>0.62601746363452104</c:v>
                </c:pt>
                <c:pt idx="1646">
                  <c:v>257.66397898054635</c:v>
                </c:pt>
                <c:pt idx="1647">
                  <c:v>9.4118833430673483</c:v>
                </c:pt>
                <c:pt idx="1648">
                  <c:v>2.8992742134689897</c:v>
                </c:pt>
                <c:pt idx="1649">
                  <c:v>1726.9289036263281</c:v>
                </c:pt>
                <c:pt idx="1650">
                  <c:v>95.870100332522426</c:v>
                </c:pt>
                <c:pt idx="1651">
                  <c:v>119.50124410143299</c:v>
                </c:pt>
                <c:pt idx="1652">
                  <c:v>872.37158958317809</c:v>
                </c:pt>
                <c:pt idx="1653">
                  <c:v>7.9400707717149306</c:v>
                </c:pt>
                <c:pt idx="1654">
                  <c:v>3647.1945766623398</c:v>
                </c:pt>
                <c:pt idx="1655">
                  <c:v>670.74351077870654</c:v>
                </c:pt>
                <c:pt idx="1656">
                  <c:v>321.29966362129079</c:v>
                </c:pt>
                <c:pt idx="1657">
                  <c:v>153.30422594771568</c:v>
                </c:pt>
                <c:pt idx="1658">
                  <c:v>1.0293172499179264</c:v>
                </c:pt>
                <c:pt idx="1659">
                  <c:v>0.55438256423829768</c:v>
                </c:pt>
                <c:pt idx="1660">
                  <c:v>2.984211938237145</c:v>
                </c:pt>
                <c:pt idx="1661">
                  <c:v>1820.4077190946023</c:v>
                </c:pt>
                <c:pt idx="1662">
                  <c:v>352.76623751998022</c:v>
                </c:pt>
                <c:pt idx="1663">
                  <c:v>1239.1156131294442</c:v>
                </c:pt>
                <c:pt idx="1664">
                  <c:v>805.14316862795408</c:v>
                </c:pt>
                <c:pt idx="1665">
                  <c:v>0.76716344155617533</c:v>
                </c:pt>
                <c:pt idx="1666">
                  <c:v>1221.9787026228648</c:v>
                </c:pt>
                <c:pt idx="1667">
                  <c:v>544.58930661205375</c:v>
                </c:pt>
                <c:pt idx="1668">
                  <c:v>5.9803902193556997</c:v>
                </c:pt>
                <c:pt idx="1669">
                  <c:v>1167.8382843629529</c:v>
                </c:pt>
                <c:pt idx="1670">
                  <c:v>956.9790644975817</c:v>
                </c:pt>
                <c:pt idx="1671">
                  <c:v>5.7609807033862239</c:v>
                </c:pt>
                <c:pt idx="1672">
                  <c:v>2149.4697153208567</c:v>
                </c:pt>
                <c:pt idx="1673">
                  <c:v>60.537444232969989</c:v>
                </c:pt>
                <c:pt idx="1674">
                  <c:v>3221.9147280117618</c:v>
                </c:pt>
                <c:pt idx="1675">
                  <c:v>347.86825564533325</c:v>
                </c:pt>
                <c:pt idx="1676">
                  <c:v>1069.3765350037179</c:v>
                </c:pt>
                <c:pt idx="1677">
                  <c:v>603.35053561654536</c:v>
                </c:pt>
                <c:pt idx="1678">
                  <c:v>1657.6125569753081</c:v>
                </c:pt>
                <c:pt idx="1679">
                  <c:v>1180.998369755876</c:v>
                </c:pt>
                <c:pt idx="1680">
                  <c:v>10.232507948888575</c:v>
                </c:pt>
                <c:pt idx="1681">
                  <c:v>44.549860294237853</c:v>
                </c:pt>
                <c:pt idx="1682">
                  <c:v>59.145955141299922</c:v>
                </c:pt>
                <c:pt idx="1683">
                  <c:v>320.17258703233051</c:v>
                </c:pt>
                <c:pt idx="1684">
                  <c:v>3.5900533597943705</c:v>
                </c:pt>
                <c:pt idx="1685">
                  <c:v>1013.5917442738485</c:v>
                </c:pt>
                <c:pt idx="1686">
                  <c:v>14.947463544999509</c:v>
                </c:pt>
                <c:pt idx="1687">
                  <c:v>7.3389932924989045</c:v>
                </c:pt>
                <c:pt idx="1688">
                  <c:v>2.04568041652466</c:v>
                </c:pt>
                <c:pt idx="1689">
                  <c:v>75.883378697825833</c:v>
                </c:pt>
                <c:pt idx="1690">
                  <c:v>2090.7292763749388</c:v>
                </c:pt>
                <c:pt idx="1691">
                  <c:v>7.3736440938833478</c:v>
                </c:pt>
                <c:pt idx="1692">
                  <c:v>269.26139182811579</c:v>
                </c:pt>
                <c:pt idx="1693">
                  <c:v>983.71453387376948</c:v>
                </c:pt>
                <c:pt idx="1694">
                  <c:v>156.56401008546231</c:v>
                </c:pt>
                <c:pt idx="1695">
                  <c:v>1113.9309592031655</c:v>
                </c:pt>
                <c:pt idx="1696">
                  <c:v>1481.5541876410953</c:v>
                </c:pt>
                <c:pt idx="1697">
                  <c:v>348.91769934994306</c:v>
                </c:pt>
                <c:pt idx="1698">
                  <c:v>158.04318557526798</c:v>
                </c:pt>
                <c:pt idx="1699">
                  <c:v>0.57723925344001981</c:v>
                </c:pt>
                <c:pt idx="1700">
                  <c:v>1201.5626137383836</c:v>
                </c:pt>
                <c:pt idx="1701">
                  <c:v>0.69087986309013749</c:v>
                </c:pt>
                <c:pt idx="1702">
                  <c:v>114.62650776752213</c:v>
                </c:pt>
                <c:pt idx="1703">
                  <c:v>5.8231194110285518</c:v>
                </c:pt>
                <c:pt idx="1704">
                  <c:v>0.2771922386666128</c:v>
                </c:pt>
                <c:pt idx="1705">
                  <c:v>185.83942673514562</c:v>
                </c:pt>
                <c:pt idx="1706">
                  <c:v>62.126269555838924</c:v>
                </c:pt>
                <c:pt idx="1707">
                  <c:v>7.9366674141436999E-3</c:v>
                </c:pt>
                <c:pt idx="1708">
                  <c:v>46.768934329891728</c:v>
                </c:pt>
                <c:pt idx="1709">
                  <c:v>2044.663382594417</c:v>
                </c:pt>
                <c:pt idx="1710">
                  <c:v>562.50744845667987</c:v>
                </c:pt>
                <c:pt idx="1711">
                  <c:v>1749.9586845149565</c:v>
                </c:pt>
                <c:pt idx="1712">
                  <c:v>192.21534999390815</c:v>
                </c:pt>
                <c:pt idx="1713">
                  <c:v>10.068249647873735</c:v>
                </c:pt>
                <c:pt idx="1714">
                  <c:v>1152.8751158037664</c:v>
                </c:pt>
                <c:pt idx="1715">
                  <c:v>2188.4714080070098</c:v>
                </c:pt>
                <c:pt idx="1716">
                  <c:v>239.76090918837784</c:v>
                </c:pt>
                <c:pt idx="1717">
                  <c:v>408.92616089044043</c:v>
                </c:pt>
                <c:pt idx="1718">
                  <c:v>281.14755790236114</c:v>
                </c:pt>
                <c:pt idx="1719">
                  <c:v>2289.0894906943054</c:v>
                </c:pt>
                <c:pt idx="1720">
                  <c:v>29.141803069195806</c:v>
                </c:pt>
                <c:pt idx="1721">
                  <c:v>1.0566496909211562</c:v>
                </c:pt>
                <c:pt idx="1722">
                  <c:v>502.18607637508796</c:v>
                </c:pt>
                <c:pt idx="1723">
                  <c:v>1669.4894749576579</c:v>
                </c:pt>
                <c:pt idx="1724">
                  <c:v>494.57922946166423</c:v>
                </c:pt>
                <c:pt idx="1725">
                  <c:v>2.386971726107324</c:v>
                </c:pt>
                <c:pt idx="1726">
                  <c:v>1726.5922199042825</c:v>
                </c:pt>
                <c:pt idx="1727">
                  <c:v>141.36794567237158</c:v>
                </c:pt>
                <c:pt idx="1728">
                  <c:v>266.73886841231848</c:v>
                </c:pt>
                <c:pt idx="1729">
                  <c:v>650.25732062234886</c:v>
                </c:pt>
                <c:pt idx="1730">
                  <c:v>0.46852896928652915</c:v>
                </c:pt>
                <c:pt idx="1731">
                  <c:v>738.20515001858166</c:v>
                </c:pt>
                <c:pt idx="1732">
                  <c:v>253.32311042603439</c:v>
                </c:pt>
                <c:pt idx="1733">
                  <c:v>1700.7981644658153</c:v>
                </c:pt>
                <c:pt idx="1734">
                  <c:v>298.83589776330632</c:v>
                </c:pt>
                <c:pt idx="1735">
                  <c:v>164.54604515803035</c:v>
                </c:pt>
                <c:pt idx="1736">
                  <c:v>100.90148423077073</c:v>
                </c:pt>
                <c:pt idx="1737">
                  <c:v>4.2999354443465476E-2</c:v>
                </c:pt>
                <c:pt idx="1738">
                  <c:v>61.93834807203465</c:v>
                </c:pt>
                <c:pt idx="1739">
                  <c:v>299.49896223047733</c:v>
                </c:pt>
                <c:pt idx="1740">
                  <c:v>104.38246121287091</c:v>
                </c:pt>
                <c:pt idx="1741">
                  <c:v>1129.5977561037801</c:v>
                </c:pt>
                <c:pt idx="1742">
                  <c:v>45.290022174585197</c:v>
                </c:pt>
                <c:pt idx="1743">
                  <c:v>22.655214767355744</c:v>
                </c:pt>
                <c:pt idx="1744">
                  <c:v>1.2722503018632514</c:v>
                </c:pt>
                <c:pt idx="1745">
                  <c:v>1.0940850616527862</c:v>
                </c:pt>
                <c:pt idx="1746">
                  <c:v>28.654693814146054</c:v>
                </c:pt>
                <c:pt idx="1747">
                  <c:v>1594.6512926545831</c:v>
                </c:pt>
                <c:pt idx="1748">
                  <c:v>2526.9372693726941</c:v>
                </c:pt>
                <c:pt idx="1749">
                  <c:v>2.6753070990096712</c:v>
                </c:pt>
                <c:pt idx="1750">
                  <c:v>883.39280903077497</c:v>
                </c:pt>
                <c:pt idx="1751">
                  <c:v>9.766642694534311E-2</c:v>
                </c:pt>
                <c:pt idx="1752">
                  <c:v>113.78624145474593</c:v>
                </c:pt>
                <c:pt idx="1753">
                  <c:v>0.55191029912290424</c:v>
                </c:pt>
                <c:pt idx="1754">
                  <c:v>1757.8524221571165</c:v>
                </c:pt>
                <c:pt idx="1755">
                  <c:v>1747.7790375590223</c:v>
                </c:pt>
                <c:pt idx="1756">
                  <c:v>156.29584963094572</c:v>
                </c:pt>
                <c:pt idx="1757">
                  <c:v>815.1513550636588</c:v>
                </c:pt>
                <c:pt idx="1758">
                  <c:v>612.17542856364798</c:v>
                </c:pt>
                <c:pt idx="1759">
                  <c:v>0.71418985433316429</c:v>
                </c:pt>
                <c:pt idx="1760">
                  <c:v>901.05946684894047</c:v>
                </c:pt>
                <c:pt idx="1761">
                  <c:v>378.55333520968202</c:v>
                </c:pt>
                <c:pt idx="1762">
                  <c:v>2001.5403573629083</c:v>
                </c:pt>
                <c:pt idx="1763">
                  <c:v>288.82676620861201</c:v>
                </c:pt>
                <c:pt idx="1764">
                  <c:v>911.26386060194625</c:v>
                </c:pt>
                <c:pt idx="1765">
                  <c:v>847.57740674204808</c:v>
                </c:pt>
                <c:pt idx="1766">
                  <c:v>1789.6662094192959</c:v>
                </c:pt>
                <c:pt idx="1767">
                  <c:v>38.358866823477463</c:v>
                </c:pt>
                <c:pt idx="1768">
                  <c:v>295.65461275701756</c:v>
                </c:pt>
                <c:pt idx="1769">
                  <c:v>158.48801480434943</c:v>
                </c:pt>
                <c:pt idx="1770">
                  <c:v>388.00498660774895</c:v>
                </c:pt>
                <c:pt idx="1771">
                  <c:v>3.8448759249649131</c:v>
                </c:pt>
                <c:pt idx="1772">
                  <c:v>700.81363236696438</c:v>
                </c:pt>
                <c:pt idx="1773">
                  <c:v>255.00448996953702</c:v>
                </c:pt>
                <c:pt idx="1774">
                  <c:v>1366.9482812569845</c:v>
                </c:pt>
                <c:pt idx="1775">
                  <c:v>1711.1344537815128</c:v>
                </c:pt>
                <c:pt idx="1776">
                  <c:v>340.58555084573777</c:v>
                </c:pt>
                <c:pt idx="1777">
                  <c:v>1535.7316677482154</c:v>
                </c:pt>
                <c:pt idx="1778">
                  <c:v>323.63412960454696</c:v>
                </c:pt>
                <c:pt idx="1779">
                  <c:v>55.294260339878427</c:v>
                </c:pt>
                <c:pt idx="1780">
                  <c:v>50.81202250403333</c:v>
                </c:pt>
                <c:pt idx="1781">
                  <c:v>17.249401578452932</c:v>
                </c:pt>
                <c:pt idx="1782">
                  <c:v>5.0822971776729586</c:v>
                </c:pt>
                <c:pt idx="1783">
                  <c:v>0.77643284321544681</c:v>
                </c:pt>
                <c:pt idx="1784">
                  <c:v>2176.0265774238464</c:v>
                </c:pt>
                <c:pt idx="1785">
                  <c:v>0.91293865175516709</c:v>
                </c:pt>
                <c:pt idx="1786">
                  <c:v>133.20375864034253</c:v>
                </c:pt>
                <c:pt idx="1787">
                  <c:v>3055.7441817396139</c:v>
                </c:pt>
                <c:pt idx="1788">
                  <c:v>2651.5032268219738</c:v>
                </c:pt>
                <c:pt idx="1789">
                  <c:v>1810.5934132645316</c:v>
                </c:pt>
                <c:pt idx="1790">
                  <c:v>123.71753619531719</c:v>
                </c:pt>
                <c:pt idx="1791">
                  <c:v>2216.9240084771423</c:v>
                </c:pt>
                <c:pt idx="1792">
                  <c:v>1131.9399554693673</c:v>
                </c:pt>
                <c:pt idx="1793">
                  <c:v>1.8665338903619311</c:v>
                </c:pt>
                <c:pt idx="1794">
                  <c:v>1984.7280465669398</c:v>
                </c:pt>
                <c:pt idx="1795">
                  <c:v>198.55736578739885</c:v>
                </c:pt>
                <c:pt idx="1796">
                  <c:v>1526.916802610114</c:v>
                </c:pt>
                <c:pt idx="1797">
                  <c:v>38.038165897929105</c:v>
                </c:pt>
                <c:pt idx="1798">
                  <c:v>157.50605506768306</c:v>
                </c:pt>
                <c:pt idx="1799">
                  <c:v>1.4438419595442311</c:v>
                </c:pt>
                <c:pt idx="1800">
                  <c:v>2.3114717215982452</c:v>
                </c:pt>
                <c:pt idx="1801">
                  <c:v>2602.0969981328103</c:v>
                </c:pt>
                <c:pt idx="1802">
                  <c:v>0.26979929633374911</c:v>
                </c:pt>
                <c:pt idx="1803">
                  <c:v>1.8829565000897053</c:v>
                </c:pt>
                <c:pt idx="1804">
                  <c:v>2.5736188097811712</c:v>
                </c:pt>
                <c:pt idx="1805">
                  <c:v>17.233604664694653</c:v>
                </c:pt>
                <c:pt idx="1806">
                  <c:v>439.09107217061376</c:v>
                </c:pt>
                <c:pt idx="1807">
                  <c:v>2431.2671737183286</c:v>
                </c:pt>
                <c:pt idx="1808">
                  <c:v>858.49728246713789</c:v>
                </c:pt>
                <c:pt idx="1809">
                  <c:v>303.63568580413005</c:v>
                </c:pt>
                <c:pt idx="1810">
                  <c:v>0.23198002956116096</c:v>
                </c:pt>
                <c:pt idx="1811">
                  <c:v>704.45284925187627</c:v>
                </c:pt>
                <c:pt idx="1812">
                  <c:v>0.27673144052716009</c:v>
                </c:pt>
                <c:pt idx="1813">
                  <c:v>563.66175752552044</c:v>
                </c:pt>
                <c:pt idx="1814">
                  <c:v>99.890105087339336</c:v>
                </c:pt>
                <c:pt idx="1815">
                  <c:v>88.436730208602427</c:v>
                </c:pt>
                <c:pt idx="1816">
                  <c:v>479.06542056074767</c:v>
                </c:pt>
                <c:pt idx="1817">
                  <c:v>1522.2807101826238</c:v>
                </c:pt>
                <c:pt idx="1818">
                  <c:v>621.55696508131609</c:v>
                </c:pt>
                <c:pt idx="1819">
                  <c:v>54.049892788484598</c:v>
                </c:pt>
                <c:pt idx="1820">
                  <c:v>7.2671023630566145</c:v>
                </c:pt>
                <c:pt idx="1821">
                  <c:v>0.49809181990469131</c:v>
                </c:pt>
                <c:pt idx="1822">
                  <c:v>1429.3762842182011</c:v>
                </c:pt>
                <c:pt idx="1823">
                  <c:v>1.8803778113969527</c:v>
                </c:pt>
                <c:pt idx="1824">
                  <c:v>213.95064410489138</c:v>
                </c:pt>
                <c:pt idx="1825">
                  <c:v>3874.9207690682447</c:v>
                </c:pt>
                <c:pt idx="1826">
                  <c:v>2.8169420499001427</c:v>
                </c:pt>
                <c:pt idx="1827">
                  <c:v>361.21799805038222</c:v>
                </c:pt>
                <c:pt idx="1828">
                  <c:v>745.02620841097314</c:v>
                </c:pt>
                <c:pt idx="1829">
                  <c:v>1397.0979260047102</c:v>
                </c:pt>
                <c:pt idx="1830">
                  <c:v>0.8744195039191367</c:v>
                </c:pt>
                <c:pt idx="1831">
                  <c:v>1.1250822716411133</c:v>
                </c:pt>
                <c:pt idx="1832">
                  <c:v>1642.8686890457459</c:v>
                </c:pt>
                <c:pt idx="1833">
                  <c:v>576.41823725381721</c:v>
                </c:pt>
                <c:pt idx="1834">
                  <c:v>16.662454987680835</c:v>
                </c:pt>
                <c:pt idx="1835">
                  <c:v>8.0663772319003755</c:v>
                </c:pt>
                <c:pt idx="1836">
                  <c:v>82.714967500330971</c:v>
                </c:pt>
                <c:pt idx="1837">
                  <c:v>1338.3255846967388</c:v>
                </c:pt>
                <c:pt idx="1838">
                  <c:v>954.29803234474821</c:v>
                </c:pt>
                <c:pt idx="1839">
                  <c:v>764.04421885753618</c:v>
                </c:pt>
                <c:pt idx="1840">
                  <c:v>1397.0758550983021</c:v>
                </c:pt>
                <c:pt idx="1841">
                  <c:v>1.1769037987528672</c:v>
                </c:pt>
                <c:pt idx="1842">
                  <c:v>21.771497153748964</c:v>
                </c:pt>
                <c:pt idx="1843">
                  <c:v>132.71078762238099</c:v>
                </c:pt>
                <c:pt idx="1844">
                  <c:v>8.6081354775604044</c:v>
                </c:pt>
                <c:pt idx="1845">
                  <c:v>1.7980176809339887</c:v>
                </c:pt>
                <c:pt idx="1846">
                  <c:v>577.84072339034742</c:v>
                </c:pt>
                <c:pt idx="1847">
                  <c:v>46.546300299673504</c:v>
                </c:pt>
                <c:pt idx="1848">
                  <c:v>1.9518438748401317</c:v>
                </c:pt>
                <c:pt idx="1849">
                  <c:v>64.373498967045649</c:v>
                </c:pt>
                <c:pt idx="1850">
                  <c:v>2.0281044920506299</c:v>
                </c:pt>
                <c:pt idx="1851">
                  <c:v>8.9889037984248354E-2</c:v>
                </c:pt>
                <c:pt idx="1852">
                  <c:v>1.9632268069396348</c:v>
                </c:pt>
                <c:pt idx="1853">
                  <c:v>70.118546516622274</c:v>
                </c:pt>
                <c:pt idx="1854">
                  <c:v>244.35722646836049</c:v>
                </c:pt>
                <c:pt idx="1855">
                  <c:v>2.3551567319547124</c:v>
                </c:pt>
                <c:pt idx="1856">
                  <c:v>406.96116095929744</c:v>
                </c:pt>
                <c:pt idx="1857">
                  <c:v>56.485784355850519</c:v>
                </c:pt>
                <c:pt idx="1858">
                  <c:v>8.4318735431193819</c:v>
                </c:pt>
                <c:pt idx="1859">
                  <c:v>984.56790123456778</c:v>
                </c:pt>
                <c:pt idx="1860">
                  <c:v>507.79967472722137</c:v>
                </c:pt>
                <c:pt idx="1861">
                  <c:v>1.636588422009795</c:v>
                </c:pt>
                <c:pt idx="1862">
                  <c:v>1.307564148338118</c:v>
                </c:pt>
                <c:pt idx="1863">
                  <c:v>461.72473122195009</c:v>
                </c:pt>
                <c:pt idx="1864">
                  <c:v>669.59431200334598</c:v>
                </c:pt>
                <c:pt idx="1865">
                  <c:v>174.64318233660666</c:v>
                </c:pt>
                <c:pt idx="1866">
                  <c:v>941.81112603680253</c:v>
                </c:pt>
                <c:pt idx="1867">
                  <c:v>4.8849627959928634</c:v>
                </c:pt>
                <c:pt idx="1868">
                  <c:v>13.788400909157563</c:v>
                </c:pt>
                <c:pt idx="1869">
                  <c:v>130.30677442434802</c:v>
                </c:pt>
                <c:pt idx="1870">
                  <c:v>1992.2400823501462</c:v>
                </c:pt>
                <c:pt idx="1871">
                  <c:v>103.34676841322707</c:v>
                </c:pt>
                <c:pt idx="1872">
                  <c:v>301.00776999131972</c:v>
                </c:pt>
                <c:pt idx="1873">
                  <c:v>1403.7347070186734</c:v>
                </c:pt>
                <c:pt idx="1874">
                  <c:v>1515.3062853129886</c:v>
                </c:pt>
                <c:pt idx="1875">
                  <c:v>128.18035130343023</c:v>
                </c:pt>
                <c:pt idx="1876">
                  <c:v>16.374469943957894</c:v>
                </c:pt>
                <c:pt idx="1877">
                  <c:v>48.36265690462556</c:v>
                </c:pt>
                <c:pt idx="1878">
                  <c:v>23.018583415712218</c:v>
                </c:pt>
                <c:pt idx="1879">
                  <c:v>141.49627563284568</c:v>
                </c:pt>
                <c:pt idx="1880">
                  <c:v>112.07588127035061</c:v>
                </c:pt>
                <c:pt idx="1881">
                  <c:v>1.7921232927626958</c:v>
                </c:pt>
                <c:pt idx="1882">
                  <c:v>21.049498119421024</c:v>
                </c:pt>
                <c:pt idx="1883">
                  <c:v>241.41320766277809</c:v>
                </c:pt>
                <c:pt idx="1884">
                  <c:v>4.8113208695384088E-2</c:v>
                </c:pt>
                <c:pt idx="1885">
                  <c:v>227.36979181036142</c:v>
                </c:pt>
                <c:pt idx="1886">
                  <c:v>210.91278728396409</c:v>
                </c:pt>
                <c:pt idx="1887">
                  <c:v>16.635129773153697</c:v>
                </c:pt>
                <c:pt idx="1888">
                  <c:v>1559.0334293226495</c:v>
                </c:pt>
                <c:pt idx="1889">
                  <c:v>0.94378182730245186</c:v>
                </c:pt>
                <c:pt idx="1890">
                  <c:v>2.0621386845725249</c:v>
                </c:pt>
                <c:pt idx="1891">
                  <c:v>158.11678850612574</c:v>
                </c:pt>
                <c:pt idx="1892">
                  <c:v>25.044444615788258</c:v>
                </c:pt>
                <c:pt idx="1893">
                  <c:v>759.58224725784169</c:v>
                </c:pt>
                <c:pt idx="1894">
                  <c:v>9.3091545267615157</c:v>
                </c:pt>
                <c:pt idx="1895">
                  <c:v>516.91384069607557</c:v>
                </c:pt>
                <c:pt idx="1896">
                  <c:v>96.380616961730738</c:v>
                </c:pt>
                <c:pt idx="1897">
                  <c:v>9.0710717594221807E-2</c:v>
                </c:pt>
                <c:pt idx="1898">
                  <c:v>184.58604275574834</c:v>
                </c:pt>
                <c:pt idx="1899">
                  <c:v>6.0701046134735943</c:v>
                </c:pt>
                <c:pt idx="1900">
                  <c:v>0.60223342408792313</c:v>
                </c:pt>
                <c:pt idx="1901">
                  <c:v>111.89745434279511</c:v>
                </c:pt>
                <c:pt idx="1902">
                  <c:v>2.0408339737505732</c:v>
                </c:pt>
                <c:pt idx="1903">
                  <c:v>990.77392605085902</c:v>
                </c:pt>
                <c:pt idx="1904">
                  <c:v>0.33088539064762618</c:v>
                </c:pt>
                <c:pt idx="1905">
                  <c:v>942.82238442822404</c:v>
                </c:pt>
                <c:pt idx="1906">
                  <c:v>80.142609656280598</c:v>
                </c:pt>
                <c:pt idx="1907">
                  <c:v>0.21760662503885947</c:v>
                </c:pt>
                <c:pt idx="1908">
                  <c:v>393.56448827105555</c:v>
                </c:pt>
                <c:pt idx="1909">
                  <c:v>7.7092186246537331</c:v>
                </c:pt>
                <c:pt idx="1910">
                  <c:v>9.0188772354705797</c:v>
                </c:pt>
                <c:pt idx="1911">
                  <c:v>5.251037129246801</c:v>
                </c:pt>
                <c:pt idx="1912">
                  <c:v>1333.7243773680621</c:v>
                </c:pt>
                <c:pt idx="1913">
                  <c:v>175.47862780339139</c:v>
                </c:pt>
                <c:pt idx="1914">
                  <c:v>3.5984786875100547</c:v>
                </c:pt>
                <c:pt idx="1915">
                  <c:v>20.016412372339513</c:v>
                </c:pt>
                <c:pt idx="1916">
                  <c:v>17.440240823168416</c:v>
                </c:pt>
                <c:pt idx="1917">
                  <c:v>86.900561686753775</c:v>
                </c:pt>
                <c:pt idx="1918">
                  <c:v>263.27183635538</c:v>
                </c:pt>
                <c:pt idx="1919">
                  <c:v>2063.2411067193675</c:v>
                </c:pt>
                <c:pt idx="1920">
                  <c:v>1670.9997636492553</c:v>
                </c:pt>
                <c:pt idx="1921">
                  <c:v>1313.6291760589443</c:v>
                </c:pt>
                <c:pt idx="1922">
                  <c:v>66.791707514361605</c:v>
                </c:pt>
                <c:pt idx="1923">
                  <c:v>38.381344420543272</c:v>
                </c:pt>
                <c:pt idx="1924">
                  <c:v>17.839224915294672</c:v>
                </c:pt>
                <c:pt idx="1925">
                  <c:v>27.602830573986417</c:v>
                </c:pt>
                <c:pt idx="1926">
                  <c:v>1042.1556963246408</c:v>
                </c:pt>
                <c:pt idx="1927">
                  <c:v>4.5766818849354722</c:v>
                </c:pt>
                <c:pt idx="1928">
                  <c:v>1916.7306216423638</c:v>
                </c:pt>
                <c:pt idx="1929">
                  <c:v>203.45235560798383</c:v>
                </c:pt>
                <c:pt idx="1930">
                  <c:v>141.80837981193244</c:v>
                </c:pt>
                <c:pt idx="1931">
                  <c:v>146.18010522671457</c:v>
                </c:pt>
                <c:pt idx="1932">
                  <c:v>149.62410044334069</c:v>
                </c:pt>
                <c:pt idx="1933">
                  <c:v>518.17198670927269</c:v>
                </c:pt>
                <c:pt idx="1934">
                  <c:v>329.83076500646268</c:v>
                </c:pt>
                <c:pt idx="1935">
                  <c:v>170.62722510058174</c:v>
                </c:pt>
                <c:pt idx="1936">
                  <c:v>363.2009086195402</c:v>
                </c:pt>
                <c:pt idx="1937">
                  <c:v>5.7276378500363636</c:v>
                </c:pt>
                <c:pt idx="1938">
                  <c:v>945.86229575848233</c:v>
                </c:pt>
                <c:pt idx="1939">
                  <c:v>2.9921932585581468</c:v>
                </c:pt>
                <c:pt idx="1940">
                  <c:v>947.58209384206373</c:v>
                </c:pt>
                <c:pt idx="1941">
                  <c:v>233.72189499086906</c:v>
                </c:pt>
                <c:pt idx="1942">
                  <c:v>2500.6571453605538</c:v>
                </c:pt>
                <c:pt idx="1943">
                  <c:v>45.138984749797714</c:v>
                </c:pt>
                <c:pt idx="1944">
                  <c:v>773.37272467359219</c:v>
                </c:pt>
                <c:pt idx="1945">
                  <c:v>1.8226753556915545</c:v>
                </c:pt>
                <c:pt idx="1946">
                  <c:v>122.67416184983672</c:v>
                </c:pt>
                <c:pt idx="1947">
                  <c:v>12.996081225507657</c:v>
                </c:pt>
                <c:pt idx="1948">
                  <c:v>1442.7485790918961</c:v>
                </c:pt>
                <c:pt idx="1949">
                  <c:v>13.759758124613221</c:v>
                </c:pt>
                <c:pt idx="1950">
                  <c:v>286.1455628123681</c:v>
                </c:pt>
                <c:pt idx="1951">
                  <c:v>546.75621365973666</c:v>
                </c:pt>
                <c:pt idx="1952">
                  <c:v>1.6972397578713487</c:v>
                </c:pt>
                <c:pt idx="1953">
                  <c:v>2035.0258283986393</c:v>
                </c:pt>
                <c:pt idx="1954">
                  <c:v>203.06441271359799</c:v>
                </c:pt>
                <c:pt idx="1955">
                  <c:v>908.73573995936874</c:v>
                </c:pt>
                <c:pt idx="1956">
                  <c:v>3.223442019091423</c:v>
                </c:pt>
                <c:pt idx="1957">
                  <c:v>0.63262980660780299</c:v>
                </c:pt>
                <c:pt idx="1958">
                  <c:v>22.995081895290788</c:v>
                </c:pt>
                <c:pt idx="1959">
                  <c:v>941.35254669826259</c:v>
                </c:pt>
                <c:pt idx="1960">
                  <c:v>1.4858673045859003</c:v>
                </c:pt>
                <c:pt idx="1961">
                  <c:v>598.26338285182419</c:v>
                </c:pt>
                <c:pt idx="1962">
                  <c:v>659.67315116047462</c:v>
                </c:pt>
                <c:pt idx="1963">
                  <c:v>33.744775182531413</c:v>
                </c:pt>
                <c:pt idx="1964">
                  <c:v>19.344801187578717</c:v>
                </c:pt>
                <c:pt idx="1965">
                  <c:v>728.19680533014434</c:v>
                </c:pt>
                <c:pt idx="1966">
                  <c:v>34.657871085552543</c:v>
                </c:pt>
                <c:pt idx="1967">
                  <c:v>467.95665807416327</c:v>
                </c:pt>
                <c:pt idx="1968">
                  <c:v>72.684086126622773</c:v>
                </c:pt>
                <c:pt idx="1969">
                  <c:v>319.3121802183104</c:v>
                </c:pt>
                <c:pt idx="1970">
                  <c:v>1686.2757369046874</c:v>
                </c:pt>
                <c:pt idx="1971">
                  <c:v>205.44354301252039</c:v>
                </c:pt>
                <c:pt idx="1972">
                  <c:v>138.04014193958096</c:v>
                </c:pt>
                <c:pt idx="1973">
                  <c:v>9.8308312632546091</c:v>
                </c:pt>
                <c:pt idx="1974">
                  <c:v>0.81580615526114975</c:v>
                </c:pt>
                <c:pt idx="1975">
                  <c:v>0.36573637208765974</c:v>
                </c:pt>
                <c:pt idx="1976">
                  <c:v>8.8155467384096262</c:v>
                </c:pt>
                <c:pt idx="1977">
                  <c:v>1.8617680091039637</c:v>
                </c:pt>
                <c:pt idx="1978">
                  <c:v>190.54585407975426</c:v>
                </c:pt>
                <c:pt idx="1979">
                  <c:v>84.54260641862929</c:v>
                </c:pt>
                <c:pt idx="1980">
                  <c:v>112.77128294986393</c:v>
                </c:pt>
                <c:pt idx="1981">
                  <c:v>1.3002437527440438</c:v>
                </c:pt>
                <c:pt idx="1982">
                  <c:v>1238.6206064990656</c:v>
                </c:pt>
                <c:pt idx="1983">
                  <c:v>0.40229902669740841</c:v>
                </c:pt>
                <c:pt idx="1984">
                  <c:v>5.6002737751042062</c:v>
                </c:pt>
                <c:pt idx="1985">
                  <c:v>0.11846645931728592</c:v>
                </c:pt>
                <c:pt idx="1986">
                  <c:v>207.41344847685832</c:v>
                </c:pt>
                <c:pt idx="1987">
                  <c:v>635.52829468145796</c:v>
                </c:pt>
                <c:pt idx="1988">
                  <c:v>1.1001664119910861</c:v>
                </c:pt>
                <c:pt idx="1989">
                  <c:v>1.6992692386707133</c:v>
                </c:pt>
                <c:pt idx="1990">
                  <c:v>41.09731585894157</c:v>
                </c:pt>
                <c:pt idx="1991">
                  <c:v>65.553764393998748</c:v>
                </c:pt>
                <c:pt idx="1992">
                  <c:v>1572.940635066728</c:v>
                </c:pt>
                <c:pt idx="1993">
                  <c:v>53.291880563678056</c:v>
                </c:pt>
                <c:pt idx="1994">
                  <c:v>98.597264411995113</c:v>
                </c:pt>
                <c:pt idx="1995">
                  <c:v>8.4403978699353424</c:v>
                </c:pt>
                <c:pt idx="1996">
                  <c:v>0.32506054921874611</c:v>
                </c:pt>
                <c:pt idx="1997">
                  <c:v>96.77902301308923</c:v>
                </c:pt>
                <c:pt idx="1998">
                  <c:v>35.537331839538652</c:v>
                </c:pt>
                <c:pt idx="1999">
                  <c:v>10.383852998199568</c:v>
                </c:pt>
                <c:pt idx="2000">
                  <c:v>14.18591467159214</c:v>
                </c:pt>
                <c:pt idx="2001">
                  <c:v>24.272722668769575</c:v>
                </c:pt>
                <c:pt idx="2002">
                  <c:v>3.0530482340027993</c:v>
                </c:pt>
                <c:pt idx="2003">
                  <c:v>188.03216226213181</c:v>
                </c:pt>
                <c:pt idx="2004">
                  <c:v>50.485955404179705</c:v>
                </c:pt>
                <c:pt idx="2005">
                  <c:v>241.45248079026078</c:v>
                </c:pt>
                <c:pt idx="2006">
                  <c:v>720.42455623547994</c:v>
                </c:pt>
                <c:pt idx="2007">
                  <c:v>2.1343140488711128</c:v>
                </c:pt>
                <c:pt idx="2008">
                  <c:v>28.450971140838423</c:v>
                </c:pt>
                <c:pt idx="2009">
                  <c:v>898.49732996646924</c:v>
                </c:pt>
                <c:pt idx="2010">
                  <c:v>0.18528144229750124</c:v>
                </c:pt>
                <c:pt idx="2011">
                  <c:v>62.621619955798572</c:v>
                </c:pt>
                <c:pt idx="2012">
                  <c:v>17.755566484635619</c:v>
                </c:pt>
                <c:pt idx="2013">
                  <c:v>1.7496752154835962</c:v>
                </c:pt>
                <c:pt idx="2014">
                  <c:v>1.3749612080056111</c:v>
                </c:pt>
                <c:pt idx="2015">
                  <c:v>2.0111478115341214E-2</c:v>
                </c:pt>
                <c:pt idx="2016">
                  <c:v>0.32884252041925915</c:v>
                </c:pt>
                <c:pt idx="2017">
                  <c:v>155.56843291708327</c:v>
                </c:pt>
                <c:pt idx="2018">
                  <c:v>2.2437639364968107</c:v>
                </c:pt>
                <c:pt idx="2019">
                  <c:v>1.8466109465829392</c:v>
                </c:pt>
                <c:pt idx="2020">
                  <c:v>8.229106893577093</c:v>
                </c:pt>
                <c:pt idx="2021">
                  <c:v>41.579145280311941</c:v>
                </c:pt>
                <c:pt idx="2022">
                  <c:v>7.7931900237245806</c:v>
                </c:pt>
                <c:pt idx="2023">
                  <c:v>209.19946926138871</c:v>
                </c:pt>
                <c:pt idx="2024">
                  <c:v>128.44467920243298</c:v>
                </c:pt>
                <c:pt idx="2025">
                  <c:v>62.366229517682783</c:v>
                </c:pt>
                <c:pt idx="2026">
                  <c:v>696.18961447143727</c:v>
                </c:pt>
                <c:pt idx="2027">
                  <c:v>26.775136592456356</c:v>
                </c:pt>
                <c:pt idx="2028">
                  <c:v>0.66282150840766163</c:v>
                </c:pt>
                <c:pt idx="2029">
                  <c:v>133.75597433658433</c:v>
                </c:pt>
                <c:pt idx="2030">
                  <c:v>3.8425065233271356</c:v>
                </c:pt>
                <c:pt idx="2031">
                  <c:v>2.4996737863981786</c:v>
                </c:pt>
                <c:pt idx="2032">
                  <c:v>834.16583416583421</c:v>
                </c:pt>
                <c:pt idx="2033">
                  <c:v>1268.1484434698827</c:v>
                </c:pt>
                <c:pt idx="2034">
                  <c:v>99.114814323483301</c:v>
                </c:pt>
                <c:pt idx="2035">
                  <c:v>3.4300374769783035</c:v>
                </c:pt>
                <c:pt idx="2036">
                  <c:v>1.8023744162493593</c:v>
                </c:pt>
                <c:pt idx="2037">
                  <c:v>144.52227826782521</c:v>
                </c:pt>
                <c:pt idx="2038">
                  <c:v>11.426309404438459</c:v>
                </c:pt>
                <c:pt idx="2039">
                  <c:v>0.633777072136393</c:v>
                </c:pt>
                <c:pt idx="2040">
                  <c:v>2.7192410243617395</c:v>
                </c:pt>
                <c:pt idx="2041">
                  <c:v>258.0713215288589</c:v>
                </c:pt>
                <c:pt idx="2042">
                  <c:v>8.6037415884917685</c:v>
                </c:pt>
                <c:pt idx="2043">
                  <c:v>653.45571009834657</c:v>
                </c:pt>
                <c:pt idx="2044">
                  <c:v>14.575713686351454</c:v>
                </c:pt>
                <c:pt idx="2045">
                  <c:v>282.19511648578191</c:v>
                </c:pt>
                <c:pt idx="2046">
                  <c:v>308.30041752829999</c:v>
                </c:pt>
                <c:pt idx="2047">
                  <c:v>37.17837998978235</c:v>
                </c:pt>
                <c:pt idx="2048">
                  <c:v>104.98211094925455</c:v>
                </c:pt>
                <c:pt idx="2049">
                  <c:v>1.6296697869819059</c:v>
                </c:pt>
                <c:pt idx="2050">
                  <c:v>26.986356806308404</c:v>
                </c:pt>
                <c:pt idx="2051">
                  <c:v>893.17476371499333</c:v>
                </c:pt>
                <c:pt idx="2052">
                  <c:v>1500.954218484575</c:v>
                </c:pt>
                <c:pt idx="2053">
                  <c:v>3.8064968464276796</c:v>
                </c:pt>
                <c:pt idx="2054">
                  <c:v>577.60955840665213</c:v>
                </c:pt>
                <c:pt idx="2055">
                  <c:v>1904.9053661302896</c:v>
                </c:pt>
                <c:pt idx="2056">
                  <c:v>1.8188793057833741</c:v>
                </c:pt>
                <c:pt idx="2057">
                  <c:v>35.837999757030516</c:v>
                </c:pt>
                <c:pt idx="2058">
                  <c:v>7.4819780219523526</c:v>
                </c:pt>
                <c:pt idx="2059">
                  <c:v>2.2904161981290252</c:v>
                </c:pt>
                <c:pt idx="2060">
                  <c:v>1926.5603465249064</c:v>
                </c:pt>
                <c:pt idx="2061">
                  <c:v>80.475156934354004</c:v>
                </c:pt>
                <c:pt idx="2062">
                  <c:v>834.73350778129748</c:v>
                </c:pt>
                <c:pt idx="2063">
                  <c:v>250.33353816174801</c:v>
                </c:pt>
                <c:pt idx="2064">
                  <c:v>799.68361490254927</c:v>
                </c:pt>
                <c:pt idx="2065">
                  <c:v>0.77608896964711227</c:v>
                </c:pt>
                <c:pt idx="2066">
                  <c:v>271.59328204277614</c:v>
                </c:pt>
                <c:pt idx="2067">
                  <c:v>54.690618762475047</c:v>
                </c:pt>
                <c:pt idx="2068">
                  <c:v>91.259683537352885</c:v>
                </c:pt>
                <c:pt idx="2069">
                  <c:v>6.1821658110319531</c:v>
                </c:pt>
                <c:pt idx="2070">
                  <c:v>85.13670442303119</c:v>
                </c:pt>
                <c:pt idx="2071">
                  <c:v>157.19375171279805</c:v>
                </c:pt>
                <c:pt idx="2072">
                  <c:v>95.909518846566826</c:v>
                </c:pt>
                <c:pt idx="2073">
                  <c:v>1025.188643396124</c:v>
                </c:pt>
                <c:pt idx="2074">
                  <c:v>570.95138562470629</c:v>
                </c:pt>
                <c:pt idx="2075">
                  <c:v>3.9484413945902692</c:v>
                </c:pt>
                <c:pt idx="2076">
                  <c:v>0.21653466732514448</c:v>
                </c:pt>
                <c:pt idx="2077">
                  <c:v>48.99040248225905</c:v>
                </c:pt>
                <c:pt idx="2078">
                  <c:v>3.3971262732541709</c:v>
                </c:pt>
                <c:pt idx="2079">
                  <c:v>1009.8755905019136</c:v>
                </c:pt>
                <c:pt idx="2080">
                  <c:v>1098.641849795365</c:v>
                </c:pt>
                <c:pt idx="2081">
                  <c:v>87.64701962753675</c:v>
                </c:pt>
                <c:pt idx="2082">
                  <c:v>65.724286325713379</c:v>
                </c:pt>
                <c:pt idx="2083">
                  <c:v>343.81155749780675</c:v>
                </c:pt>
                <c:pt idx="2084">
                  <c:v>3.8102358547362263</c:v>
                </c:pt>
                <c:pt idx="2085">
                  <c:v>0.55392619819981248</c:v>
                </c:pt>
                <c:pt idx="2086">
                  <c:v>49.156221127837306</c:v>
                </c:pt>
                <c:pt idx="2087">
                  <c:v>312.68639496358088</c:v>
                </c:pt>
                <c:pt idx="2088">
                  <c:v>84.924141532456275</c:v>
                </c:pt>
                <c:pt idx="2089">
                  <c:v>1.8126244006375751</c:v>
                </c:pt>
                <c:pt idx="2090">
                  <c:v>2049.0459641990692</c:v>
                </c:pt>
                <c:pt idx="2091">
                  <c:v>2.0503218311929423</c:v>
                </c:pt>
                <c:pt idx="2092">
                  <c:v>94.871418074944884</c:v>
                </c:pt>
                <c:pt idx="2093">
                  <c:v>1705.9778361155084</c:v>
                </c:pt>
                <c:pt idx="2094">
                  <c:v>1.574587112148401</c:v>
                </c:pt>
                <c:pt idx="2095">
                  <c:v>25.772653931503758</c:v>
                </c:pt>
                <c:pt idx="2096">
                  <c:v>235.00862380169269</c:v>
                </c:pt>
                <c:pt idx="2097">
                  <c:v>1.6172965933082146</c:v>
                </c:pt>
                <c:pt idx="2098">
                  <c:v>207.71522943370371</c:v>
                </c:pt>
                <c:pt idx="2099">
                  <c:v>2.0006686333115642</c:v>
                </c:pt>
                <c:pt idx="2100">
                  <c:v>24.200753363102145</c:v>
                </c:pt>
                <c:pt idx="2101">
                  <c:v>12.696893019589444</c:v>
                </c:pt>
                <c:pt idx="2102">
                  <c:v>25.003041789073521</c:v>
                </c:pt>
                <c:pt idx="2103">
                  <c:v>1.1483842399934931</c:v>
                </c:pt>
                <c:pt idx="2104">
                  <c:v>24.902410840330717</c:v>
                </c:pt>
                <c:pt idx="2105">
                  <c:v>3.497508942327646</c:v>
                </c:pt>
                <c:pt idx="2106">
                  <c:v>7.5019372262260395</c:v>
                </c:pt>
                <c:pt idx="2107">
                  <c:v>1097.7568253639329</c:v>
                </c:pt>
                <c:pt idx="2108">
                  <c:v>621.58511505652427</c:v>
                </c:pt>
                <c:pt idx="2109">
                  <c:v>176.61437794668296</c:v>
                </c:pt>
                <c:pt idx="2110">
                  <c:v>128.6140018989218</c:v>
                </c:pt>
                <c:pt idx="2111">
                  <c:v>43.057484331939818</c:v>
                </c:pt>
                <c:pt idx="2112">
                  <c:v>49.075436375456412</c:v>
                </c:pt>
                <c:pt idx="2113">
                  <c:v>1.1443520352041068</c:v>
                </c:pt>
                <c:pt idx="2114">
                  <c:v>38.367070851560463</c:v>
                </c:pt>
                <c:pt idx="2115">
                  <c:v>3.043966936328915</c:v>
                </c:pt>
                <c:pt idx="2116">
                  <c:v>244.82413833666629</c:v>
                </c:pt>
                <c:pt idx="2117">
                  <c:v>4.2364476453159963</c:v>
                </c:pt>
                <c:pt idx="2118">
                  <c:v>935.76210362846518</c:v>
                </c:pt>
                <c:pt idx="2119">
                  <c:v>290.26882539038047</c:v>
                </c:pt>
                <c:pt idx="2120">
                  <c:v>2164.6436352318706</c:v>
                </c:pt>
                <c:pt idx="2121">
                  <c:v>1325.9020240539749</c:v>
                </c:pt>
                <c:pt idx="2122">
                  <c:v>1.3075222507439204</c:v>
                </c:pt>
                <c:pt idx="2123">
                  <c:v>712.21109114628212</c:v>
                </c:pt>
                <c:pt idx="2124">
                  <c:v>24.987305820908841</c:v>
                </c:pt>
                <c:pt idx="2125">
                  <c:v>134.86949248806391</c:v>
                </c:pt>
                <c:pt idx="2126">
                  <c:v>1.7825649403488035</c:v>
                </c:pt>
                <c:pt idx="2127">
                  <c:v>6.3062409163080675</c:v>
                </c:pt>
                <c:pt idx="2128">
                  <c:v>382.23810997833186</c:v>
                </c:pt>
                <c:pt idx="2129">
                  <c:v>30.239252474213721</c:v>
                </c:pt>
                <c:pt idx="2130">
                  <c:v>212.34612418241736</c:v>
                </c:pt>
                <c:pt idx="2131">
                  <c:v>41.140170437848958</c:v>
                </c:pt>
                <c:pt idx="2132">
                  <c:v>1.0907188991119032</c:v>
                </c:pt>
                <c:pt idx="2133">
                  <c:v>229.30271961363738</c:v>
                </c:pt>
                <c:pt idx="2134">
                  <c:v>682.79167078980493</c:v>
                </c:pt>
                <c:pt idx="2135">
                  <c:v>1.0254147007014762</c:v>
                </c:pt>
                <c:pt idx="2136">
                  <c:v>4.040517521699881</c:v>
                </c:pt>
                <c:pt idx="2137">
                  <c:v>2350.3981797497158</c:v>
                </c:pt>
                <c:pt idx="2138">
                  <c:v>491.6592343011925</c:v>
                </c:pt>
                <c:pt idx="2139">
                  <c:v>0.68727823892888473</c:v>
                </c:pt>
                <c:pt idx="2140">
                  <c:v>9.702718576947043E-3</c:v>
                </c:pt>
                <c:pt idx="2141">
                  <c:v>72.577901257100649</c:v>
                </c:pt>
                <c:pt idx="2142">
                  <c:v>290.29743736203585</c:v>
                </c:pt>
                <c:pt idx="2143">
                  <c:v>2.4054600106656676</c:v>
                </c:pt>
                <c:pt idx="2144">
                  <c:v>4.6560573851373999</c:v>
                </c:pt>
                <c:pt idx="2145">
                  <c:v>1746.4579524680073</c:v>
                </c:pt>
                <c:pt idx="2146">
                  <c:v>16.790259487793627</c:v>
                </c:pt>
                <c:pt idx="2147">
                  <c:v>0.60718978201279361</c:v>
                </c:pt>
                <c:pt idx="2148">
                  <c:v>9.5333324678429054</c:v>
                </c:pt>
                <c:pt idx="2149">
                  <c:v>7.6086711845304482E-3</c:v>
                </c:pt>
                <c:pt idx="2150">
                  <c:v>70.868995261978171</c:v>
                </c:pt>
                <c:pt idx="2151">
                  <c:v>6.5152584789085131</c:v>
                </c:pt>
                <c:pt idx="2152">
                  <c:v>30.028726319741427</c:v>
                </c:pt>
                <c:pt idx="2153">
                  <c:v>47.356409281095466</c:v>
                </c:pt>
                <c:pt idx="2154">
                  <c:v>157.40291879702067</c:v>
                </c:pt>
                <c:pt idx="2155">
                  <c:v>0.38552041160509198</c:v>
                </c:pt>
                <c:pt idx="2156">
                  <c:v>19.156355430747698</c:v>
                </c:pt>
                <c:pt idx="2157">
                  <c:v>1004.0778417913481</c:v>
                </c:pt>
                <c:pt idx="2158">
                  <c:v>2.9943495937437148</c:v>
                </c:pt>
                <c:pt idx="2159">
                  <c:v>5.4582957709221374</c:v>
                </c:pt>
                <c:pt idx="2160">
                  <c:v>30.35613694686111</c:v>
                </c:pt>
                <c:pt idx="2161">
                  <c:v>0.81571835644323643</c:v>
                </c:pt>
                <c:pt idx="2162">
                  <c:v>96.748059851901616</c:v>
                </c:pt>
                <c:pt idx="2163">
                  <c:v>99.832784910113261</c:v>
                </c:pt>
                <c:pt idx="2164">
                  <c:v>122.06040593709699</c:v>
                </c:pt>
                <c:pt idx="2165">
                  <c:v>1066.269065704902</c:v>
                </c:pt>
                <c:pt idx="2166">
                  <c:v>142.00079338260139</c:v>
                </c:pt>
                <c:pt idx="2167">
                  <c:v>2.6771559956414062</c:v>
                </c:pt>
                <c:pt idx="2168">
                  <c:v>40.343240372399144</c:v>
                </c:pt>
                <c:pt idx="2169">
                  <c:v>36.070698569195621</c:v>
                </c:pt>
                <c:pt idx="2170">
                  <c:v>108.01385612128429</c:v>
                </c:pt>
                <c:pt idx="2171">
                  <c:v>708.00605710675097</c:v>
                </c:pt>
                <c:pt idx="2172">
                  <c:v>297.79731223162395</c:v>
                </c:pt>
                <c:pt idx="2173">
                  <c:v>1.5197984645565512</c:v>
                </c:pt>
                <c:pt idx="2174">
                  <c:v>17.325034484361186</c:v>
                </c:pt>
                <c:pt idx="2175">
                  <c:v>275.59520024707291</c:v>
                </c:pt>
                <c:pt idx="2176">
                  <c:v>81.513574091067824</c:v>
                </c:pt>
                <c:pt idx="2177">
                  <c:v>22.118237836249406</c:v>
                </c:pt>
                <c:pt idx="2178">
                  <c:v>3.8910006530151331</c:v>
                </c:pt>
                <c:pt idx="2179">
                  <c:v>1.8233521004611595</c:v>
                </c:pt>
                <c:pt idx="2180">
                  <c:v>326.81419133428142</c:v>
                </c:pt>
                <c:pt idx="2181">
                  <c:v>2.5608968700025447</c:v>
                </c:pt>
                <c:pt idx="2182">
                  <c:v>0.34300234273711672</c:v>
                </c:pt>
                <c:pt idx="2183">
                  <c:v>20.19495950929225</c:v>
                </c:pt>
                <c:pt idx="2184">
                  <c:v>2.1120896859978249</c:v>
                </c:pt>
                <c:pt idx="2185">
                  <c:v>22.96717843121726</c:v>
                </c:pt>
                <c:pt idx="2186">
                  <c:v>35.579644488926078</c:v>
                </c:pt>
                <c:pt idx="2187">
                  <c:v>1.1984857372910269</c:v>
                </c:pt>
                <c:pt idx="2188">
                  <c:v>10.862605761330444</c:v>
                </c:pt>
                <c:pt idx="2189">
                  <c:v>3.41032558680558</c:v>
                </c:pt>
                <c:pt idx="2190">
                  <c:v>7.8233928109390902</c:v>
                </c:pt>
                <c:pt idx="2191">
                  <c:v>3.6311374650473454</c:v>
                </c:pt>
                <c:pt idx="2192">
                  <c:v>87.673206165960096</c:v>
                </c:pt>
                <c:pt idx="2193">
                  <c:v>0.13924216018814842</c:v>
                </c:pt>
                <c:pt idx="2194">
                  <c:v>36.452971750841542</c:v>
                </c:pt>
                <c:pt idx="2195">
                  <c:v>5.6243948813127371</c:v>
                </c:pt>
                <c:pt idx="2196">
                  <c:v>115.43671687418301</c:v>
                </c:pt>
                <c:pt idx="2197">
                  <c:v>1.4766480090195258</c:v>
                </c:pt>
                <c:pt idx="2198">
                  <c:v>1.0868275508876544</c:v>
                </c:pt>
                <c:pt idx="2199">
                  <c:v>0.3374869745684429</c:v>
                </c:pt>
                <c:pt idx="2200">
                  <c:v>1.1882537974070402</c:v>
                </c:pt>
                <c:pt idx="2201">
                  <c:v>1453.9725410758497</c:v>
                </c:pt>
                <c:pt idx="2202">
                  <c:v>393.9728702086116</c:v>
                </c:pt>
                <c:pt idx="2203">
                  <c:v>4.2778285520545696</c:v>
                </c:pt>
                <c:pt idx="2204">
                  <c:v>10.777804467552794</c:v>
                </c:pt>
                <c:pt idx="2205">
                  <c:v>963.97979967076799</c:v>
                </c:pt>
                <c:pt idx="2206">
                  <c:v>2.4997446504431307</c:v>
                </c:pt>
                <c:pt idx="2207">
                  <c:v>8.1892712961942615E-2</c:v>
                </c:pt>
                <c:pt idx="2208">
                  <c:v>8.5862325366966701</c:v>
                </c:pt>
                <c:pt idx="2209">
                  <c:v>5.8264130086291406</c:v>
                </c:pt>
                <c:pt idx="2210">
                  <c:v>59.751123217639233</c:v>
                </c:pt>
                <c:pt idx="2211">
                  <c:v>648.57942516033745</c:v>
                </c:pt>
                <c:pt idx="2212">
                  <c:v>7.514110491203092</c:v>
                </c:pt>
                <c:pt idx="2213">
                  <c:v>1.0820560273332891</c:v>
                </c:pt>
                <c:pt idx="2214">
                  <c:v>341.26997462739234</c:v>
                </c:pt>
                <c:pt idx="2215">
                  <c:v>81.889417974357215</c:v>
                </c:pt>
                <c:pt idx="2216">
                  <c:v>2091.2901723334885</c:v>
                </c:pt>
                <c:pt idx="2217">
                  <c:v>2.7474629193167246</c:v>
                </c:pt>
                <c:pt idx="2218">
                  <c:v>718.44020547451623</c:v>
                </c:pt>
                <c:pt idx="2219">
                  <c:v>1361.42664042306</c:v>
                </c:pt>
                <c:pt idx="2220">
                  <c:v>6.6806075018888302</c:v>
                </c:pt>
                <c:pt idx="2221">
                  <c:v>1.9402091352154298</c:v>
                </c:pt>
                <c:pt idx="2222">
                  <c:v>77.100358403832445</c:v>
                </c:pt>
                <c:pt idx="2223">
                  <c:v>0.60520264737925555</c:v>
                </c:pt>
                <c:pt idx="2224">
                  <c:v>5.3032205840440074</c:v>
                </c:pt>
                <c:pt idx="2225">
                  <c:v>19.906274250942179</c:v>
                </c:pt>
                <c:pt idx="2226">
                  <c:v>0.86548918143984843</c:v>
                </c:pt>
                <c:pt idx="2227">
                  <c:v>140.56475083300589</c:v>
                </c:pt>
                <c:pt idx="2228">
                  <c:v>71.325692849653706</c:v>
                </c:pt>
                <c:pt idx="2229">
                  <c:v>94.617239547145132</c:v>
                </c:pt>
                <c:pt idx="2230">
                  <c:v>106.63255694043688</c:v>
                </c:pt>
                <c:pt idx="2231">
                  <c:v>53.401127530434799</c:v>
                </c:pt>
                <c:pt idx="2232">
                  <c:v>3.35790199619756</c:v>
                </c:pt>
                <c:pt idx="2233">
                  <c:v>1602.8443201025823</c:v>
                </c:pt>
                <c:pt idx="2234">
                  <c:v>3.9446107002372979</c:v>
                </c:pt>
                <c:pt idx="2235">
                  <c:v>36.73687542723966</c:v>
                </c:pt>
                <c:pt idx="2236">
                  <c:v>22.087454974013806</c:v>
                </c:pt>
                <c:pt idx="2237">
                  <c:v>6.1918997789275441</c:v>
                </c:pt>
                <c:pt idx="2238">
                  <c:v>0.97277174328821991</c:v>
                </c:pt>
                <c:pt idx="2239">
                  <c:v>38.141185361232345</c:v>
                </c:pt>
                <c:pt idx="2240">
                  <c:v>86.831936342989707</c:v>
                </c:pt>
                <c:pt idx="2241">
                  <c:v>115.88855968805755</c:v>
                </c:pt>
                <c:pt idx="2242">
                  <c:v>20.617966594543851</c:v>
                </c:pt>
                <c:pt idx="2243">
                  <c:v>76.906987214863321</c:v>
                </c:pt>
                <c:pt idx="2244">
                  <c:v>21.820286395752412</c:v>
                </c:pt>
                <c:pt idx="2245">
                  <c:v>239.65611335323169</c:v>
                </c:pt>
                <c:pt idx="2246">
                  <c:v>109.06393608948835</c:v>
                </c:pt>
                <c:pt idx="2247">
                  <c:v>1.5684730199785786</c:v>
                </c:pt>
                <c:pt idx="2248">
                  <c:v>87.589732995920031</c:v>
                </c:pt>
                <c:pt idx="2249">
                  <c:v>7.4922467528479739</c:v>
                </c:pt>
                <c:pt idx="2250">
                  <c:v>9.8570095279992547</c:v>
                </c:pt>
                <c:pt idx="2251">
                  <c:v>27.085908233952399</c:v>
                </c:pt>
                <c:pt idx="2252">
                  <c:v>58.55335754634941</c:v>
                </c:pt>
                <c:pt idx="2253">
                  <c:v>15.576378077318562</c:v>
                </c:pt>
                <c:pt idx="2254">
                  <c:v>116.20746705311812</c:v>
                </c:pt>
                <c:pt idx="2255">
                  <c:v>40.352381516203017</c:v>
                </c:pt>
                <c:pt idx="2256">
                  <c:v>388.73271112110643</c:v>
                </c:pt>
                <c:pt idx="2257">
                  <c:v>43.102498707857073</c:v>
                </c:pt>
                <c:pt idx="2258">
                  <c:v>29.583247619503876</c:v>
                </c:pt>
                <c:pt idx="2259">
                  <c:v>2.8277880470776173</c:v>
                </c:pt>
                <c:pt idx="2260">
                  <c:v>165.52257949276458</c:v>
                </c:pt>
                <c:pt idx="2261">
                  <c:v>0.55071432999141956</c:v>
                </c:pt>
                <c:pt idx="2262">
                  <c:v>150.99055007419364</c:v>
                </c:pt>
                <c:pt idx="2263">
                  <c:v>2.6424157535124166</c:v>
                </c:pt>
                <c:pt idx="2264">
                  <c:v>0.20807450460653037</c:v>
                </c:pt>
                <c:pt idx="2265">
                  <c:v>87.236036000449332</c:v>
                </c:pt>
                <c:pt idx="2266">
                  <c:v>6.4027783463573229</c:v>
                </c:pt>
                <c:pt idx="2267">
                  <c:v>4.868419068004739</c:v>
                </c:pt>
                <c:pt idx="2268">
                  <c:v>426.703282332941</c:v>
                </c:pt>
                <c:pt idx="2269">
                  <c:v>42.996621381126822</c:v>
                </c:pt>
                <c:pt idx="2270">
                  <c:v>6.3472269657740972</c:v>
                </c:pt>
                <c:pt idx="2271">
                  <c:v>816.06133454616327</c:v>
                </c:pt>
                <c:pt idx="2272">
                  <c:v>5.1520193705166948</c:v>
                </c:pt>
                <c:pt idx="2273">
                  <c:v>2.337312272404489</c:v>
                </c:pt>
                <c:pt idx="2274">
                  <c:v>15.76447968088261</c:v>
                </c:pt>
                <c:pt idx="2275">
                  <c:v>27.613983692726471</c:v>
                </c:pt>
                <c:pt idx="2276">
                  <c:v>0.61501539794052551</c:v>
                </c:pt>
                <c:pt idx="2277">
                  <c:v>3.9369261499645707</c:v>
                </c:pt>
                <c:pt idx="2278">
                  <c:v>7.7803178887768203</c:v>
                </c:pt>
                <c:pt idx="2279">
                  <c:v>1.3156432247776448</c:v>
                </c:pt>
                <c:pt idx="2280">
                  <c:v>107.25818852837151</c:v>
                </c:pt>
                <c:pt idx="2281">
                  <c:v>229.33416325189759</c:v>
                </c:pt>
                <c:pt idx="2282">
                  <c:v>9.2722756007627734</c:v>
                </c:pt>
                <c:pt idx="2283">
                  <c:v>6.8097943881436356</c:v>
                </c:pt>
                <c:pt idx="2284">
                  <c:v>92.060248686695545</c:v>
                </c:pt>
                <c:pt idx="2285">
                  <c:v>30.023602520030913</c:v>
                </c:pt>
                <c:pt idx="2286">
                  <c:v>212.6338288531156</c:v>
                </c:pt>
                <c:pt idx="2287">
                  <c:v>6.5154149244640154</c:v>
                </c:pt>
                <c:pt idx="2288">
                  <c:v>163.8313002570975</c:v>
                </c:pt>
                <c:pt idx="2289">
                  <c:v>25.124070224347808</c:v>
                </c:pt>
                <c:pt idx="2290">
                  <c:v>1.442784797081512</c:v>
                </c:pt>
                <c:pt idx="2291">
                  <c:v>108.97323771208677</c:v>
                </c:pt>
                <c:pt idx="2292">
                  <c:v>2.5721853427762564</c:v>
                </c:pt>
                <c:pt idx="2293">
                  <c:v>1.8968149987560283</c:v>
                </c:pt>
                <c:pt idx="2294">
                  <c:v>4.8960279599074132</c:v>
                </c:pt>
                <c:pt idx="2295">
                  <c:v>5.4780927478355892</c:v>
                </c:pt>
                <c:pt idx="2296">
                  <c:v>13.526343125980675</c:v>
                </c:pt>
                <c:pt idx="2297">
                  <c:v>13.737887067448417</c:v>
                </c:pt>
                <c:pt idx="2298">
                  <c:v>42.409818599438225</c:v>
                </c:pt>
                <c:pt idx="2299">
                  <c:v>1315.9950887375821</c:v>
                </c:pt>
                <c:pt idx="2300">
                  <c:v>13.170414141919974</c:v>
                </c:pt>
                <c:pt idx="2301">
                  <c:v>5.0803355088175897</c:v>
                </c:pt>
                <c:pt idx="2302">
                  <c:v>62.411376457506613</c:v>
                </c:pt>
                <c:pt idx="2303">
                  <c:v>2.3032362181218238</c:v>
                </c:pt>
                <c:pt idx="2304">
                  <c:v>5.1389838852686225</c:v>
                </c:pt>
                <c:pt idx="2305">
                  <c:v>58.547840767151293</c:v>
                </c:pt>
                <c:pt idx="2306">
                  <c:v>757.83333035091187</c:v>
                </c:pt>
                <c:pt idx="2307">
                  <c:v>18.947208283295335</c:v>
                </c:pt>
                <c:pt idx="2308">
                  <c:v>69.48944860449285</c:v>
                </c:pt>
                <c:pt idx="2309">
                  <c:v>1.5510715308607523</c:v>
                </c:pt>
                <c:pt idx="2310">
                  <c:v>46.648481319152857</c:v>
                </c:pt>
                <c:pt idx="2311">
                  <c:v>38.53998015836428</c:v>
                </c:pt>
                <c:pt idx="2312">
                  <c:v>5.9837098797449588</c:v>
                </c:pt>
              </c:numCache>
            </c:numRef>
          </c:xVal>
          <c:yVal>
            <c:numRef>
              <c:f>'Pasted values for chart'!$D$3:$D$2315</c:f>
              <c:numCache>
                <c:formatCode>General</c:formatCode>
                <c:ptCount val="2313"/>
                <c:pt idx="0">
                  <c:v>0.32662040087724692</c:v>
                </c:pt>
                <c:pt idx="1">
                  <c:v>0.34393186498138811</c:v>
                </c:pt>
                <c:pt idx="2">
                  <c:v>0.36144274410513511</c:v>
                </c:pt>
                <c:pt idx="3">
                  <c:v>0.36837786280677709</c:v>
                </c:pt>
                <c:pt idx="4">
                  <c:v>0.36920658469592421</c:v>
                </c:pt>
                <c:pt idx="5">
                  <c:v>0.37805620640848536</c:v>
                </c:pt>
                <c:pt idx="6">
                  <c:v>0.38374123520772752</c:v>
                </c:pt>
                <c:pt idx="7">
                  <c:v>0.38419725659342624</c:v>
                </c:pt>
                <c:pt idx="8">
                  <c:v>0.38686518712738399</c:v>
                </c:pt>
                <c:pt idx="9">
                  <c:v>0.3901035430937761</c:v>
                </c:pt>
                <c:pt idx="10">
                  <c:v>0.39030253110841417</c:v>
                </c:pt>
                <c:pt idx="11">
                  <c:v>0.39165075516065845</c:v>
                </c:pt>
                <c:pt idx="12">
                  <c:v>0.39373326249241997</c:v>
                </c:pt>
                <c:pt idx="13">
                  <c:v>0.39494604218135604</c:v>
                </c:pt>
                <c:pt idx="14">
                  <c:v>0.39551287263587986</c:v>
                </c:pt>
                <c:pt idx="15">
                  <c:v>0.40057528073331367</c:v>
                </c:pt>
                <c:pt idx="16">
                  <c:v>0.40062471779783743</c:v>
                </c:pt>
                <c:pt idx="17">
                  <c:v>0.40424357517048415</c:v>
                </c:pt>
                <c:pt idx="18">
                  <c:v>0.40617039907168989</c:v>
                </c:pt>
                <c:pt idx="19">
                  <c:v>0.40781838242900093</c:v>
                </c:pt>
                <c:pt idx="20">
                  <c:v>0.40815762160981139</c:v>
                </c:pt>
                <c:pt idx="21">
                  <c:v>0.40818520487322124</c:v>
                </c:pt>
                <c:pt idx="22">
                  <c:v>0.40839763452392436</c:v>
                </c:pt>
                <c:pt idx="23">
                  <c:v>0.41044576819457307</c:v>
                </c:pt>
                <c:pt idx="24">
                  <c:v>0.41053824284705298</c:v>
                </c:pt>
                <c:pt idx="25">
                  <c:v>0.4109166895001804</c:v>
                </c:pt>
                <c:pt idx="26">
                  <c:v>0.41110650082257399</c:v>
                </c:pt>
                <c:pt idx="27">
                  <c:v>0.41239381783860357</c:v>
                </c:pt>
                <c:pt idx="28">
                  <c:v>0.41252128402982036</c:v>
                </c:pt>
                <c:pt idx="29">
                  <c:v>0.41528666177976792</c:v>
                </c:pt>
                <c:pt idx="30">
                  <c:v>0.41744217752208418</c:v>
                </c:pt>
                <c:pt idx="31">
                  <c:v>0.41778324832756847</c:v>
                </c:pt>
                <c:pt idx="32">
                  <c:v>0.41803273727616275</c:v>
                </c:pt>
                <c:pt idx="33">
                  <c:v>0.41820389424779625</c:v>
                </c:pt>
                <c:pt idx="34">
                  <c:v>0.41900774955892139</c:v>
                </c:pt>
                <c:pt idx="35">
                  <c:v>0.41978123193629491</c:v>
                </c:pt>
                <c:pt idx="36">
                  <c:v>0.41987419931905962</c:v>
                </c:pt>
                <c:pt idx="37">
                  <c:v>0.42082708677914482</c:v>
                </c:pt>
                <c:pt idx="38">
                  <c:v>0.42134593826642941</c:v>
                </c:pt>
                <c:pt idx="39">
                  <c:v>0.42329838177236956</c:v>
                </c:pt>
                <c:pt idx="40">
                  <c:v>0.42481888030878062</c:v>
                </c:pt>
                <c:pt idx="41">
                  <c:v>0.42486149997376704</c:v>
                </c:pt>
                <c:pt idx="42">
                  <c:v>0.42637238814632811</c:v>
                </c:pt>
                <c:pt idx="43">
                  <c:v>0.43029835681877321</c:v>
                </c:pt>
                <c:pt idx="44">
                  <c:v>0.4330903264310717</c:v>
                </c:pt>
                <c:pt idx="45">
                  <c:v>0.43384313656896295</c:v>
                </c:pt>
                <c:pt idx="46">
                  <c:v>0.43470093928019593</c:v>
                </c:pt>
                <c:pt idx="47">
                  <c:v>0.43530458235691161</c:v>
                </c:pt>
                <c:pt idx="48">
                  <c:v>0.43587324003856254</c:v>
                </c:pt>
                <c:pt idx="49">
                  <c:v>0.43601515618646797</c:v>
                </c:pt>
                <c:pt idx="50">
                  <c:v>0.43745522973903128</c:v>
                </c:pt>
                <c:pt idx="51">
                  <c:v>0.43748535397119059</c:v>
                </c:pt>
                <c:pt idx="52">
                  <c:v>0.43758686190164442</c:v>
                </c:pt>
                <c:pt idx="53">
                  <c:v>0.43764692463771582</c:v>
                </c:pt>
                <c:pt idx="54">
                  <c:v>0.43826269597442979</c:v>
                </c:pt>
                <c:pt idx="55">
                  <c:v>0.43905172589959884</c:v>
                </c:pt>
                <c:pt idx="56">
                  <c:v>0.43919505326062935</c:v>
                </c:pt>
                <c:pt idx="57">
                  <c:v>0.4392022521633886</c:v>
                </c:pt>
                <c:pt idx="58">
                  <c:v>0.43974016212107037</c:v>
                </c:pt>
                <c:pt idx="59">
                  <c:v>0.43997162517260907</c:v>
                </c:pt>
                <c:pt idx="60">
                  <c:v>0.44020592139305315</c:v>
                </c:pt>
                <c:pt idx="61">
                  <c:v>0.44220159527891195</c:v>
                </c:pt>
                <c:pt idx="62">
                  <c:v>0.44319300879982143</c:v>
                </c:pt>
                <c:pt idx="63">
                  <c:v>0.4434550525872929</c:v>
                </c:pt>
                <c:pt idx="64">
                  <c:v>0.44384971089359465</c:v>
                </c:pt>
                <c:pt idx="65">
                  <c:v>0.44481419027323144</c:v>
                </c:pt>
                <c:pt idx="66">
                  <c:v>0.44578916148336639</c:v>
                </c:pt>
                <c:pt idx="67">
                  <c:v>0.44584736930041585</c:v>
                </c:pt>
                <c:pt idx="68">
                  <c:v>0.44604154697050447</c:v>
                </c:pt>
                <c:pt idx="69">
                  <c:v>0.44660658099474421</c:v>
                </c:pt>
                <c:pt idx="70">
                  <c:v>0.44805347885483615</c:v>
                </c:pt>
                <c:pt idx="71">
                  <c:v>0.44920290278227504</c:v>
                </c:pt>
                <c:pt idx="72">
                  <c:v>0.44989775051124781</c:v>
                </c:pt>
                <c:pt idx="73">
                  <c:v>0.4502310586542751</c:v>
                </c:pt>
                <c:pt idx="74">
                  <c:v>0.4510666907907625</c:v>
                </c:pt>
                <c:pt idx="75">
                  <c:v>0.45200638887252897</c:v>
                </c:pt>
                <c:pt idx="76">
                  <c:v>0.45299283451903599</c:v>
                </c:pt>
                <c:pt idx="77">
                  <c:v>0.45317662085448113</c:v>
                </c:pt>
                <c:pt idx="78">
                  <c:v>0.45325241131273358</c:v>
                </c:pt>
                <c:pt idx="79">
                  <c:v>0.45381772247071572</c:v>
                </c:pt>
                <c:pt idx="80">
                  <c:v>0.45394639473780141</c:v>
                </c:pt>
                <c:pt idx="81">
                  <c:v>0.4542488130747403</c:v>
                </c:pt>
                <c:pt idx="82">
                  <c:v>0.45441592093753896</c:v>
                </c:pt>
                <c:pt idx="83">
                  <c:v>0.45486475071512233</c:v>
                </c:pt>
                <c:pt idx="84">
                  <c:v>0.4551239191808592</c:v>
                </c:pt>
                <c:pt idx="85">
                  <c:v>0.45584328732817303</c:v>
                </c:pt>
                <c:pt idx="86">
                  <c:v>0.45635937837517537</c:v>
                </c:pt>
                <c:pt idx="87">
                  <c:v>0.45706378686641658</c:v>
                </c:pt>
                <c:pt idx="88">
                  <c:v>0.45737839498408567</c:v>
                </c:pt>
                <c:pt idx="89">
                  <c:v>0.45768131183620248</c:v>
                </c:pt>
                <c:pt idx="90">
                  <c:v>0.45844958536774416</c:v>
                </c:pt>
                <c:pt idx="91">
                  <c:v>0.45862631137959758</c:v>
                </c:pt>
                <c:pt idx="92">
                  <c:v>0.45908556778121862</c:v>
                </c:pt>
                <c:pt idx="93">
                  <c:v>0.46009983670631061</c:v>
                </c:pt>
                <c:pt idx="94">
                  <c:v>0.4602028664487362</c:v>
                </c:pt>
                <c:pt idx="95">
                  <c:v>0.46073103331541104</c:v>
                </c:pt>
                <c:pt idx="96">
                  <c:v>0.46128162818591933</c:v>
                </c:pt>
                <c:pt idx="97">
                  <c:v>0.46152235641918826</c:v>
                </c:pt>
                <c:pt idx="98">
                  <c:v>0.46316240859978364</c:v>
                </c:pt>
                <c:pt idx="99">
                  <c:v>0.46435923607151014</c:v>
                </c:pt>
                <c:pt idx="100">
                  <c:v>0.46447624865981507</c:v>
                </c:pt>
                <c:pt idx="101">
                  <c:v>0.46455979193454244</c:v>
                </c:pt>
                <c:pt idx="102">
                  <c:v>0.4645949611392215</c:v>
                </c:pt>
                <c:pt idx="103">
                  <c:v>0.46481602250450926</c:v>
                </c:pt>
                <c:pt idx="104">
                  <c:v>0.46486605182257423</c:v>
                </c:pt>
                <c:pt idx="105">
                  <c:v>0.46495515267067816</c:v>
                </c:pt>
                <c:pt idx="106">
                  <c:v>0.46547840880797126</c:v>
                </c:pt>
                <c:pt idx="107">
                  <c:v>0.46559609295780524</c:v>
                </c:pt>
                <c:pt idx="108">
                  <c:v>0.46651504400379823</c:v>
                </c:pt>
                <c:pt idx="109">
                  <c:v>0.46717973275995639</c:v>
                </c:pt>
                <c:pt idx="110">
                  <c:v>0.46718441995408633</c:v>
                </c:pt>
                <c:pt idx="111">
                  <c:v>0.4673622964132601</c:v>
                </c:pt>
                <c:pt idx="112">
                  <c:v>0.46877429785908653</c:v>
                </c:pt>
                <c:pt idx="113">
                  <c:v>0.46881605655491027</c:v>
                </c:pt>
                <c:pt idx="114">
                  <c:v>0.46884039456922405</c:v>
                </c:pt>
                <c:pt idx="115">
                  <c:v>0.46924889954667903</c:v>
                </c:pt>
                <c:pt idx="116">
                  <c:v>0.46942500463627251</c:v>
                </c:pt>
                <c:pt idx="117">
                  <c:v>0.46960177060360142</c:v>
                </c:pt>
                <c:pt idx="118">
                  <c:v>0.47003819167893157</c:v>
                </c:pt>
                <c:pt idx="119">
                  <c:v>0.47023152796587836</c:v>
                </c:pt>
                <c:pt idx="120">
                  <c:v>0.47024539734885279</c:v>
                </c:pt>
                <c:pt idx="121">
                  <c:v>0.47129017230794068</c:v>
                </c:pt>
                <c:pt idx="122">
                  <c:v>0.47129670433308846</c:v>
                </c:pt>
                <c:pt idx="123">
                  <c:v>0.47189008262635812</c:v>
                </c:pt>
                <c:pt idx="124">
                  <c:v>0.47206094185634245</c:v>
                </c:pt>
                <c:pt idx="125">
                  <c:v>0.47206333780894166</c:v>
                </c:pt>
                <c:pt idx="126">
                  <c:v>0.47237104538716934</c:v>
                </c:pt>
                <c:pt idx="127">
                  <c:v>0.47253090537345521</c:v>
                </c:pt>
                <c:pt idx="128">
                  <c:v>0.47300657683270853</c:v>
                </c:pt>
                <c:pt idx="129">
                  <c:v>0.47388673482114313</c:v>
                </c:pt>
                <c:pt idx="130">
                  <c:v>0.47434621614022415</c:v>
                </c:pt>
                <c:pt idx="131">
                  <c:v>0.47443312516084879</c:v>
                </c:pt>
                <c:pt idx="132">
                  <c:v>0.47445686830143269</c:v>
                </c:pt>
                <c:pt idx="133">
                  <c:v>0.47502542322186947</c:v>
                </c:pt>
                <c:pt idx="134">
                  <c:v>0.47560635425788123</c:v>
                </c:pt>
                <c:pt idx="135">
                  <c:v>0.47562914298510345</c:v>
                </c:pt>
                <c:pt idx="136">
                  <c:v>0.47609810767705463</c:v>
                </c:pt>
                <c:pt idx="137">
                  <c:v>0.4761409355159324</c:v>
                </c:pt>
                <c:pt idx="138">
                  <c:v>0.47653916562289239</c:v>
                </c:pt>
                <c:pt idx="139">
                  <c:v>0.476691917343677</c:v>
                </c:pt>
                <c:pt idx="140">
                  <c:v>0.47696956637208437</c:v>
                </c:pt>
                <c:pt idx="141">
                  <c:v>0.47717315919132697</c:v>
                </c:pt>
                <c:pt idx="142">
                  <c:v>0.47737581634523851</c:v>
                </c:pt>
                <c:pt idx="143">
                  <c:v>0.47761634431814937</c:v>
                </c:pt>
                <c:pt idx="144">
                  <c:v>0.47769639591950619</c:v>
                </c:pt>
                <c:pt idx="145">
                  <c:v>0.47772858876607266</c:v>
                </c:pt>
                <c:pt idx="146">
                  <c:v>0.47796859643979611</c:v>
                </c:pt>
                <c:pt idx="147">
                  <c:v>0.47807333397658897</c:v>
                </c:pt>
                <c:pt idx="148">
                  <c:v>0.47824816556358296</c:v>
                </c:pt>
                <c:pt idx="149">
                  <c:v>0.47833162304211652</c:v>
                </c:pt>
                <c:pt idx="150">
                  <c:v>0.4784018492967031</c:v>
                </c:pt>
                <c:pt idx="151">
                  <c:v>0.4791392952886</c:v>
                </c:pt>
                <c:pt idx="152">
                  <c:v>0.48093578947443094</c:v>
                </c:pt>
                <c:pt idx="153">
                  <c:v>0.48148730481441898</c:v>
                </c:pt>
                <c:pt idx="154">
                  <c:v>0.48148813631172405</c:v>
                </c:pt>
                <c:pt idx="155">
                  <c:v>0.48179046543121351</c:v>
                </c:pt>
                <c:pt idx="156">
                  <c:v>0.48212659210206182</c:v>
                </c:pt>
                <c:pt idx="157">
                  <c:v>0.48263811679885638</c:v>
                </c:pt>
                <c:pt idx="158">
                  <c:v>0.48302048372885154</c:v>
                </c:pt>
                <c:pt idx="159">
                  <c:v>0.48319520492007062</c:v>
                </c:pt>
                <c:pt idx="160">
                  <c:v>0.4838102356243234</c:v>
                </c:pt>
                <c:pt idx="161">
                  <c:v>0.48469971028110559</c:v>
                </c:pt>
                <c:pt idx="162">
                  <c:v>0.48490760761147289</c:v>
                </c:pt>
                <c:pt idx="163">
                  <c:v>0.48492057142266171</c:v>
                </c:pt>
                <c:pt idx="164">
                  <c:v>0.48599638208245427</c:v>
                </c:pt>
                <c:pt idx="165">
                  <c:v>0.48658428085909011</c:v>
                </c:pt>
                <c:pt idx="166">
                  <c:v>0.48662253003517014</c:v>
                </c:pt>
                <c:pt idx="167">
                  <c:v>0.48676529569843108</c:v>
                </c:pt>
                <c:pt idx="168">
                  <c:v>0.48692018181850072</c:v>
                </c:pt>
                <c:pt idx="169">
                  <c:v>0.48741989985782519</c:v>
                </c:pt>
                <c:pt idx="170">
                  <c:v>0.48755711602461782</c:v>
                </c:pt>
                <c:pt idx="171">
                  <c:v>0.48812554899349608</c:v>
                </c:pt>
                <c:pt idx="172">
                  <c:v>0.4892865417194342</c:v>
                </c:pt>
                <c:pt idx="173">
                  <c:v>0.48932574731087936</c:v>
                </c:pt>
                <c:pt idx="174">
                  <c:v>0.48940829376806788</c:v>
                </c:pt>
                <c:pt idx="175">
                  <c:v>0.48954909906419281</c:v>
                </c:pt>
                <c:pt idx="176">
                  <c:v>0.49036809410520676</c:v>
                </c:pt>
                <c:pt idx="177">
                  <c:v>0.49039091642302618</c:v>
                </c:pt>
                <c:pt idx="178">
                  <c:v>0.49056530525308434</c:v>
                </c:pt>
                <c:pt idx="179">
                  <c:v>0.49071970140278015</c:v>
                </c:pt>
                <c:pt idx="180">
                  <c:v>0.49083352428649007</c:v>
                </c:pt>
                <c:pt idx="181">
                  <c:v>0.49093160140413949</c:v>
                </c:pt>
                <c:pt idx="182">
                  <c:v>0.49126613087472498</c:v>
                </c:pt>
                <c:pt idx="183">
                  <c:v>0.49129238023315586</c:v>
                </c:pt>
                <c:pt idx="184">
                  <c:v>0.49137002561718618</c:v>
                </c:pt>
                <c:pt idx="185">
                  <c:v>0.49207886956070757</c:v>
                </c:pt>
                <c:pt idx="186">
                  <c:v>0.49225456139525464</c:v>
                </c:pt>
                <c:pt idx="187">
                  <c:v>0.49225467883912727</c:v>
                </c:pt>
                <c:pt idx="188">
                  <c:v>0.49260776857645361</c:v>
                </c:pt>
                <c:pt idx="189">
                  <c:v>0.49305517864978615</c:v>
                </c:pt>
                <c:pt idx="190">
                  <c:v>0.49337770468626624</c:v>
                </c:pt>
                <c:pt idx="191">
                  <c:v>0.49373727593153061</c:v>
                </c:pt>
                <c:pt idx="192">
                  <c:v>0.49448683160415025</c:v>
                </c:pt>
                <c:pt idx="193">
                  <c:v>0.49461727705607839</c:v>
                </c:pt>
                <c:pt idx="194">
                  <c:v>0.49494428262091317</c:v>
                </c:pt>
                <c:pt idx="195">
                  <c:v>0.49502475342518326</c:v>
                </c:pt>
                <c:pt idx="196">
                  <c:v>0.49616337814772438</c:v>
                </c:pt>
                <c:pt idx="197">
                  <c:v>0.49637166752699263</c:v>
                </c:pt>
                <c:pt idx="198">
                  <c:v>0.49661362150988642</c:v>
                </c:pt>
                <c:pt idx="199">
                  <c:v>0.49691658915422227</c:v>
                </c:pt>
                <c:pt idx="200">
                  <c:v>0.49788181785648439</c:v>
                </c:pt>
                <c:pt idx="201">
                  <c:v>0.49803354836818897</c:v>
                </c:pt>
                <c:pt idx="202">
                  <c:v>0.49807179273463986</c:v>
                </c:pt>
                <c:pt idx="203">
                  <c:v>0.49905468925496776</c:v>
                </c:pt>
                <c:pt idx="204">
                  <c:v>0.49911466042750979</c:v>
                </c:pt>
                <c:pt idx="205">
                  <c:v>0.49915553558879289</c:v>
                </c:pt>
                <c:pt idx="206">
                  <c:v>0.49929322032562806</c:v>
                </c:pt>
                <c:pt idx="207">
                  <c:v>0.49968961441454968</c:v>
                </c:pt>
                <c:pt idx="208">
                  <c:v>0.49986611890171473</c:v>
                </c:pt>
                <c:pt idx="209">
                  <c:v>0.50012293821494458</c:v>
                </c:pt>
                <c:pt idx="210">
                  <c:v>0.5007489752284775</c:v>
                </c:pt>
                <c:pt idx="211">
                  <c:v>0.5010299359000423</c:v>
                </c:pt>
                <c:pt idx="212">
                  <c:v>0.50184275184275184</c:v>
                </c:pt>
                <c:pt idx="213">
                  <c:v>0.50190890572175284</c:v>
                </c:pt>
                <c:pt idx="214">
                  <c:v>0.50252600028889138</c:v>
                </c:pt>
                <c:pt idx="215">
                  <c:v>0.50344497946188227</c:v>
                </c:pt>
                <c:pt idx="216">
                  <c:v>0.50355457172357931</c:v>
                </c:pt>
                <c:pt idx="217">
                  <c:v>0.50378411350081376</c:v>
                </c:pt>
                <c:pt idx="218">
                  <c:v>0.50406782871995814</c:v>
                </c:pt>
                <c:pt idx="219">
                  <c:v>0.50440213062093842</c:v>
                </c:pt>
                <c:pt idx="220">
                  <c:v>0.50577048322110085</c:v>
                </c:pt>
                <c:pt idx="221">
                  <c:v>0.50672805007170352</c:v>
                </c:pt>
                <c:pt idx="222">
                  <c:v>0.50718492665103287</c:v>
                </c:pt>
                <c:pt idx="223">
                  <c:v>0.50727705385606647</c:v>
                </c:pt>
                <c:pt idx="224">
                  <c:v>0.50851753577342662</c:v>
                </c:pt>
                <c:pt idx="225">
                  <c:v>0.50856609596966806</c:v>
                </c:pt>
                <c:pt idx="226">
                  <c:v>0.5087228439763003</c:v>
                </c:pt>
                <c:pt idx="227">
                  <c:v>0.50882822884917478</c:v>
                </c:pt>
                <c:pt idx="228">
                  <c:v>0.50886523424607366</c:v>
                </c:pt>
                <c:pt idx="229">
                  <c:v>0.5090891572456312</c:v>
                </c:pt>
                <c:pt idx="230">
                  <c:v>0.50970055061262132</c:v>
                </c:pt>
                <c:pt idx="231">
                  <c:v>0.5099331593122709</c:v>
                </c:pt>
                <c:pt idx="232">
                  <c:v>0.51013349600175983</c:v>
                </c:pt>
                <c:pt idx="233">
                  <c:v>0.51024853932734138</c:v>
                </c:pt>
                <c:pt idx="234">
                  <c:v>0.51103271452365528</c:v>
                </c:pt>
                <c:pt idx="235">
                  <c:v>0.51163887798951058</c:v>
                </c:pt>
                <c:pt idx="236">
                  <c:v>0.51175468732541829</c:v>
                </c:pt>
                <c:pt idx="237">
                  <c:v>0.51210754069969644</c:v>
                </c:pt>
                <c:pt idx="238">
                  <c:v>0.5122913275115184</c:v>
                </c:pt>
                <c:pt idx="239">
                  <c:v>0.51240346962256522</c:v>
                </c:pt>
                <c:pt idx="240">
                  <c:v>0.51300841442623624</c:v>
                </c:pt>
                <c:pt idx="241">
                  <c:v>0.51300912653109243</c:v>
                </c:pt>
                <c:pt idx="242">
                  <c:v>0.5135627869306244</c:v>
                </c:pt>
                <c:pt idx="243">
                  <c:v>0.51422310737085941</c:v>
                </c:pt>
                <c:pt idx="244">
                  <c:v>0.51422397955464738</c:v>
                </c:pt>
                <c:pt idx="245">
                  <c:v>0.51432662006774998</c:v>
                </c:pt>
                <c:pt idx="246">
                  <c:v>0.51467629084367505</c:v>
                </c:pt>
                <c:pt idx="247">
                  <c:v>0.51473972043929139</c:v>
                </c:pt>
                <c:pt idx="248">
                  <c:v>0.51484997702710789</c:v>
                </c:pt>
                <c:pt idx="249">
                  <c:v>0.51507388593666459</c:v>
                </c:pt>
                <c:pt idx="250">
                  <c:v>0.5152223010974637</c:v>
                </c:pt>
                <c:pt idx="251">
                  <c:v>0.51537655346279854</c:v>
                </c:pt>
                <c:pt idx="252">
                  <c:v>0.51581870550812359</c:v>
                </c:pt>
                <c:pt idx="253">
                  <c:v>0.51629711569019099</c:v>
                </c:pt>
                <c:pt idx="254">
                  <c:v>0.51631150243217627</c:v>
                </c:pt>
                <c:pt idx="255">
                  <c:v>0.51657653760184619</c:v>
                </c:pt>
                <c:pt idx="256">
                  <c:v>0.51717869307837205</c:v>
                </c:pt>
                <c:pt idx="257">
                  <c:v>0.51725732018227255</c:v>
                </c:pt>
                <c:pt idx="258">
                  <c:v>0.51752577388242127</c:v>
                </c:pt>
                <c:pt idx="259">
                  <c:v>0.51766836756209644</c:v>
                </c:pt>
                <c:pt idx="260">
                  <c:v>0.51790521306330661</c:v>
                </c:pt>
                <c:pt idx="261">
                  <c:v>0.51796967686142825</c:v>
                </c:pt>
                <c:pt idx="262">
                  <c:v>0.5181872172395271</c:v>
                </c:pt>
                <c:pt idx="263">
                  <c:v>0.51856311388382581</c:v>
                </c:pt>
                <c:pt idx="264">
                  <c:v>0.51867227266246541</c:v>
                </c:pt>
                <c:pt idx="265">
                  <c:v>0.51902809633027569</c:v>
                </c:pt>
                <c:pt idx="266">
                  <c:v>0.51924966353772029</c:v>
                </c:pt>
                <c:pt idx="267">
                  <c:v>0.51947128600975701</c:v>
                </c:pt>
                <c:pt idx="268">
                  <c:v>0.51948432940900069</c:v>
                </c:pt>
                <c:pt idx="269">
                  <c:v>0.51949030688846753</c:v>
                </c:pt>
                <c:pt idx="270">
                  <c:v>0.52043027935460684</c:v>
                </c:pt>
                <c:pt idx="271">
                  <c:v>0.52077604694381885</c:v>
                </c:pt>
                <c:pt idx="272">
                  <c:v>0.52112985349419394</c:v>
                </c:pt>
                <c:pt idx="273">
                  <c:v>0.5215845606907078</c:v>
                </c:pt>
                <c:pt idx="274">
                  <c:v>0.52195933942206674</c:v>
                </c:pt>
                <c:pt idx="275">
                  <c:v>0.52199035878358802</c:v>
                </c:pt>
                <c:pt idx="276">
                  <c:v>0.52222844129448387</c:v>
                </c:pt>
                <c:pt idx="277">
                  <c:v>0.52306983280080299</c:v>
                </c:pt>
                <c:pt idx="278">
                  <c:v>0.52325443522443893</c:v>
                </c:pt>
                <c:pt idx="279">
                  <c:v>0.52357087488681253</c:v>
                </c:pt>
                <c:pt idx="280">
                  <c:v>0.52386508180661828</c:v>
                </c:pt>
                <c:pt idx="281">
                  <c:v>0.52398640101201743</c:v>
                </c:pt>
                <c:pt idx="282">
                  <c:v>0.52435257004471081</c:v>
                </c:pt>
                <c:pt idx="283">
                  <c:v>0.52487680069817155</c:v>
                </c:pt>
                <c:pt idx="284">
                  <c:v>0.52534419256473608</c:v>
                </c:pt>
                <c:pt idx="285">
                  <c:v>0.52543314646761907</c:v>
                </c:pt>
                <c:pt idx="286">
                  <c:v>0.52617805007185503</c:v>
                </c:pt>
                <c:pt idx="287">
                  <c:v>0.5264795491761759</c:v>
                </c:pt>
                <c:pt idx="288">
                  <c:v>0.52649791471867191</c:v>
                </c:pt>
                <c:pt idx="289">
                  <c:v>0.5271751615931568</c:v>
                </c:pt>
                <c:pt idx="290">
                  <c:v>0.5276350302211531</c:v>
                </c:pt>
                <c:pt idx="291">
                  <c:v>0.52784543587707311</c:v>
                </c:pt>
                <c:pt idx="292">
                  <c:v>0.5279046723573606</c:v>
                </c:pt>
                <c:pt idx="293">
                  <c:v>0.52824680038314242</c:v>
                </c:pt>
                <c:pt idx="294">
                  <c:v>0.52871996390027387</c:v>
                </c:pt>
                <c:pt idx="295">
                  <c:v>0.53083565490526896</c:v>
                </c:pt>
                <c:pt idx="296">
                  <c:v>0.53087302301273176</c:v>
                </c:pt>
                <c:pt idx="297">
                  <c:v>0.53106607734221811</c:v>
                </c:pt>
                <c:pt idx="298">
                  <c:v>0.53128319765424792</c:v>
                </c:pt>
                <c:pt idx="299">
                  <c:v>0.53133997129039068</c:v>
                </c:pt>
                <c:pt idx="300">
                  <c:v>0.53136661480063774</c:v>
                </c:pt>
                <c:pt idx="301">
                  <c:v>0.53147718634821928</c:v>
                </c:pt>
                <c:pt idx="302">
                  <c:v>0.53150913358367113</c:v>
                </c:pt>
                <c:pt idx="303">
                  <c:v>0.53164694281665303</c:v>
                </c:pt>
                <c:pt idx="304">
                  <c:v>0.53176234293988511</c:v>
                </c:pt>
                <c:pt idx="305">
                  <c:v>0.53236657788300368</c:v>
                </c:pt>
                <c:pt idx="306">
                  <c:v>0.53276167290174026</c:v>
                </c:pt>
                <c:pt idx="307">
                  <c:v>0.5330082870382622</c:v>
                </c:pt>
                <c:pt idx="308">
                  <c:v>0.53323958281738382</c:v>
                </c:pt>
                <c:pt idx="309">
                  <c:v>0.53326783540681921</c:v>
                </c:pt>
                <c:pt idx="310">
                  <c:v>0.53333471010986688</c:v>
                </c:pt>
                <c:pt idx="311">
                  <c:v>0.5334996979413541</c:v>
                </c:pt>
                <c:pt idx="312">
                  <c:v>0.53373217373067361</c:v>
                </c:pt>
                <c:pt idx="313">
                  <c:v>0.53379962739417541</c:v>
                </c:pt>
                <c:pt idx="314">
                  <c:v>0.53393984771215031</c:v>
                </c:pt>
                <c:pt idx="315">
                  <c:v>0.5340853658536584</c:v>
                </c:pt>
                <c:pt idx="316">
                  <c:v>0.53420987996367764</c:v>
                </c:pt>
                <c:pt idx="317">
                  <c:v>0.53502552112434643</c:v>
                </c:pt>
                <c:pt idx="318">
                  <c:v>0.53532136259513863</c:v>
                </c:pt>
                <c:pt idx="319">
                  <c:v>0.53543688443119153</c:v>
                </c:pt>
                <c:pt idx="320">
                  <c:v>0.53588593262471595</c:v>
                </c:pt>
                <c:pt idx="321">
                  <c:v>0.5358969886804692</c:v>
                </c:pt>
                <c:pt idx="322">
                  <c:v>0.53594081795868775</c:v>
                </c:pt>
                <c:pt idx="323">
                  <c:v>0.53603935392951541</c:v>
                </c:pt>
                <c:pt idx="324">
                  <c:v>0.5363678224660462</c:v>
                </c:pt>
                <c:pt idx="325">
                  <c:v>0.53658953650032126</c:v>
                </c:pt>
                <c:pt idx="326">
                  <c:v>0.53677252712999435</c:v>
                </c:pt>
                <c:pt idx="327">
                  <c:v>0.53711181187777934</c:v>
                </c:pt>
                <c:pt idx="328">
                  <c:v>0.53732240050894253</c:v>
                </c:pt>
                <c:pt idx="329">
                  <c:v>0.53738418889120698</c:v>
                </c:pt>
                <c:pt idx="330">
                  <c:v>0.53740706319702558</c:v>
                </c:pt>
                <c:pt idx="331">
                  <c:v>0.53743502570223267</c:v>
                </c:pt>
                <c:pt idx="332">
                  <c:v>0.53754506534474944</c:v>
                </c:pt>
                <c:pt idx="333">
                  <c:v>0.53778533444271615</c:v>
                </c:pt>
                <c:pt idx="334">
                  <c:v>0.53785445183686964</c:v>
                </c:pt>
                <c:pt idx="335">
                  <c:v>0.53832403612044233</c:v>
                </c:pt>
                <c:pt idx="336">
                  <c:v>0.53913721936977721</c:v>
                </c:pt>
                <c:pt idx="337">
                  <c:v>0.5391457724841634</c:v>
                </c:pt>
                <c:pt idx="338">
                  <c:v>0.53962019102531922</c:v>
                </c:pt>
                <c:pt idx="339">
                  <c:v>0.54045597940136092</c:v>
                </c:pt>
                <c:pt idx="340">
                  <c:v>0.54055851039297298</c:v>
                </c:pt>
                <c:pt idx="341">
                  <c:v>0.54090218740517393</c:v>
                </c:pt>
                <c:pt idx="342">
                  <c:v>0.54097412656757604</c:v>
                </c:pt>
                <c:pt idx="343">
                  <c:v>0.54100053151574723</c:v>
                </c:pt>
                <c:pt idx="344">
                  <c:v>0.54109353414705896</c:v>
                </c:pt>
                <c:pt idx="345">
                  <c:v>0.54137881645297292</c:v>
                </c:pt>
                <c:pt idx="346">
                  <c:v>0.54207870715659667</c:v>
                </c:pt>
                <c:pt idx="347">
                  <c:v>0.54233432380876023</c:v>
                </c:pt>
                <c:pt idx="348">
                  <c:v>0.54234205429050653</c:v>
                </c:pt>
                <c:pt idx="349">
                  <c:v>0.54250723742211171</c:v>
                </c:pt>
                <c:pt idx="350">
                  <c:v>0.54283143021660196</c:v>
                </c:pt>
                <c:pt idx="351">
                  <c:v>0.5428699391104127</c:v>
                </c:pt>
                <c:pt idx="352">
                  <c:v>0.54333420411006683</c:v>
                </c:pt>
                <c:pt idx="353">
                  <c:v>0.54359521790798826</c:v>
                </c:pt>
                <c:pt idx="354">
                  <c:v>0.54362446032212053</c:v>
                </c:pt>
                <c:pt idx="355">
                  <c:v>0.5437342951777675</c:v>
                </c:pt>
                <c:pt idx="356">
                  <c:v>0.54374440476623087</c:v>
                </c:pt>
                <c:pt idx="357">
                  <c:v>0.5439012256467729</c:v>
                </c:pt>
                <c:pt idx="358">
                  <c:v>0.54421616011248253</c:v>
                </c:pt>
                <c:pt idx="359">
                  <c:v>0.54430967996408164</c:v>
                </c:pt>
                <c:pt idx="360">
                  <c:v>0.54475993862256555</c:v>
                </c:pt>
                <c:pt idx="361">
                  <c:v>0.54477706508814083</c:v>
                </c:pt>
                <c:pt idx="362">
                  <c:v>0.54523566760943443</c:v>
                </c:pt>
                <c:pt idx="363">
                  <c:v>0.54546687935797911</c:v>
                </c:pt>
                <c:pt idx="364">
                  <c:v>0.54580548344646307</c:v>
                </c:pt>
                <c:pt idx="365">
                  <c:v>0.54591661393517532</c:v>
                </c:pt>
                <c:pt idx="366">
                  <c:v>0.54592034849257587</c:v>
                </c:pt>
                <c:pt idx="367">
                  <c:v>0.54647773137945399</c:v>
                </c:pt>
                <c:pt idx="368">
                  <c:v>0.54691043083900148</c:v>
                </c:pt>
                <c:pt idx="369">
                  <c:v>0.5469770010746039</c:v>
                </c:pt>
                <c:pt idx="370">
                  <c:v>0.54697896715613259</c:v>
                </c:pt>
                <c:pt idx="371">
                  <c:v>0.5472763464209548</c:v>
                </c:pt>
                <c:pt idx="372">
                  <c:v>0.5473388733404444</c:v>
                </c:pt>
                <c:pt idx="373">
                  <c:v>0.54743282931965254</c:v>
                </c:pt>
                <c:pt idx="374">
                  <c:v>0.54801242468876232</c:v>
                </c:pt>
                <c:pt idx="375">
                  <c:v>0.54811088383700446</c:v>
                </c:pt>
                <c:pt idx="376">
                  <c:v>0.54813561835541502</c:v>
                </c:pt>
                <c:pt idx="377">
                  <c:v>0.54826621748362547</c:v>
                </c:pt>
                <c:pt idx="378">
                  <c:v>0.54843803277243863</c:v>
                </c:pt>
                <c:pt idx="379">
                  <c:v>0.54853745750054816</c:v>
                </c:pt>
                <c:pt idx="380">
                  <c:v>0.54887444244586203</c:v>
                </c:pt>
                <c:pt idx="381">
                  <c:v>0.54913974841601909</c:v>
                </c:pt>
                <c:pt idx="382">
                  <c:v>0.54918010524155725</c:v>
                </c:pt>
                <c:pt idx="383">
                  <c:v>0.54923657380369972</c:v>
                </c:pt>
                <c:pt idx="384">
                  <c:v>0.54951685783802651</c:v>
                </c:pt>
                <c:pt idx="385">
                  <c:v>0.54961017797105927</c:v>
                </c:pt>
                <c:pt idx="386">
                  <c:v>0.55012305960592667</c:v>
                </c:pt>
                <c:pt idx="387">
                  <c:v>0.55025451696960226</c:v>
                </c:pt>
                <c:pt idx="388">
                  <c:v>0.55070543679739636</c:v>
                </c:pt>
                <c:pt idx="389">
                  <c:v>0.5510860139571373</c:v>
                </c:pt>
                <c:pt idx="390">
                  <c:v>0.55128196333361246</c:v>
                </c:pt>
                <c:pt idx="391">
                  <c:v>0.55218649269330122</c:v>
                </c:pt>
                <c:pt idx="392">
                  <c:v>0.55237401647141537</c:v>
                </c:pt>
                <c:pt idx="393">
                  <c:v>0.55248748008426796</c:v>
                </c:pt>
                <c:pt idx="394">
                  <c:v>0.55252400897630205</c:v>
                </c:pt>
                <c:pt idx="395">
                  <c:v>0.55259720739937268</c:v>
                </c:pt>
                <c:pt idx="396">
                  <c:v>0.55370940434046512</c:v>
                </c:pt>
                <c:pt idx="397">
                  <c:v>0.55374410721392731</c:v>
                </c:pt>
                <c:pt idx="398">
                  <c:v>0.55442960022951548</c:v>
                </c:pt>
                <c:pt idx="399">
                  <c:v>0.55499781430780182</c:v>
                </c:pt>
                <c:pt idx="400">
                  <c:v>0.55516812047818531</c:v>
                </c:pt>
                <c:pt idx="401">
                  <c:v>0.55521695016804518</c:v>
                </c:pt>
                <c:pt idx="402">
                  <c:v>0.55566967781114651</c:v>
                </c:pt>
                <c:pt idx="403">
                  <c:v>0.55582410874443389</c:v>
                </c:pt>
                <c:pt idx="404">
                  <c:v>0.55587361212782194</c:v>
                </c:pt>
                <c:pt idx="405">
                  <c:v>0.55600649666186985</c:v>
                </c:pt>
                <c:pt idx="406">
                  <c:v>0.55601692407414738</c:v>
                </c:pt>
                <c:pt idx="407">
                  <c:v>0.55602288267868594</c:v>
                </c:pt>
                <c:pt idx="408">
                  <c:v>0.55609370836980943</c:v>
                </c:pt>
                <c:pt idx="409">
                  <c:v>0.55617622220395613</c:v>
                </c:pt>
                <c:pt idx="410">
                  <c:v>0.55643440024542434</c:v>
                </c:pt>
                <c:pt idx="411">
                  <c:v>0.55647132725601156</c:v>
                </c:pt>
                <c:pt idx="412">
                  <c:v>0.55726458193696427</c:v>
                </c:pt>
                <c:pt idx="413">
                  <c:v>0.55729717217416808</c:v>
                </c:pt>
                <c:pt idx="414">
                  <c:v>0.5572998773865836</c:v>
                </c:pt>
                <c:pt idx="415">
                  <c:v>0.5574457588036057</c:v>
                </c:pt>
                <c:pt idx="416">
                  <c:v>0.55789905621666136</c:v>
                </c:pt>
                <c:pt idx="417">
                  <c:v>0.5582011074301001</c:v>
                </c:pt>
                <c:pt idx="418">
                  <c:v>0.55821542578502104</c:v>
                </c:pt>
                <c:pt idx="419">
                  <c:v>0.55851885099607779</c:v>
                </c:pt>
                <c:pt idx="420">
                  <c:v>0.55865539652221341</c:v>
                </c:pt>
                <c:pt idx="421">
                  <c:v>0.5589150661241703</c:v>
                </c:pt>
                <c:pt idx="422">
                  <c:v>0.55893199260756465</c:v>
                </c:pt>
                <c:pt idx="423">
                  <c:v>0.55952694066455377</c:v>
                </c:pt>
                <c:pt idx="424">
                  <c:v>0.55953822081229865</c:v>
                </c:pt>
                <c:pt idx="425">
                  <c:v>0.55966310924205376</c:v>
                </c:pt>
                <c:pt idx="426">
                  <c:v>0.55987546176246838</c:v>
                </c:pt>
                <c:pt idx="427">
                  <c:v>0.55989103044167843</c:v>
                </c:pt>
                <c:pt idx="428">
                  <c:v>0.55993963352598752</c:v>
                </c:pt>
                <c:pt idx="429">
                  <c:v>0.56045783813405481</c:v>
                </c:pt>
                <c:pt idx="430">
                  <c:v>0.56081200440413315</c:v>
                </c:pt>
                <c:pt idx="431">
                  <c:v>0.56106667712172342</c:v>
                </c:pt>
                <c:pt idx="432">
                  <c:v>0.56126757977453756</c:v>
                </c:pt>
                <c:pt idx="433">
                  <c:v>0.5614930465218293</c:v>
                </c:pt>
                <c:pt idx="434">
                  <c:v>0.56156173473532722</c:v>
                </c:pt>
                <c:pt idx="435">
                  <c:v>0.56156770075293871</c:v>
                </c:pt>
                <c:pt idx="436">
                  <c:v>0.56184502867348796</c:v>
                </c:pt>
                <c:pt idx="437">
                  <c:v>0.56351439145424875</c:v>
                </c:pt>
                <c:pt idx="438">
                  <c:v>0.56354197243736004</c:v>
                </c:pt>
                <c:pt idx="439">
                  <c:v>0.56369724894612094</c:v>
                </c:pt>
                <c:pt idx="440">
                  <c:v>0.56380749286262877</c:v>
                </c:pt>
                <c:pt idx="441">
                  <c:v>0.56398359633035322</c:v>
                </c:pt>
                <c:pt idx="442">
                  <c:v>0.56417294449585353</c:v>
                </c:pt>
                <c:pt idx="443">
                  <c:v>0.56424376249369479</c:v>
                </c:pt>
                <c:pt idx="444">
                  <c:v>0.56438804033143608</c:v>
                </c:pt>
                <c:pt idx="445">
                  <c:v>0.56450647682417576</c:v>
                </c:pt>
                <c:pt idx="446">
                  <c:v>0.56481571734680547</c:v>
                </c:pt>
                <c:pt idx="447">
                  <c:v>0.56501628976619378</c:v>
                </c:pt>
                <c:pt idx="448">
                  <c:v>0.56507202367397635</c:v>
                </c:pt>
                <c:pt idx="449">
                  <c:v>0.56532393043181384</c:v>
                </c:pt>
                <c:pt idx="450">
                  <c:v>0.56536655024688942</c:v>
                </c:pt>
                <c:pt idx="451">
                  <c:v>0.56537301417385644</c:v>
                </c:pt>
                <c:pt idx="452">
                  <c:v>0.56601275287666675</c:v>
                </c:pt>
                <c:pt idx="453">
                  <c:v>0.56616363853693463</c:v>
                </c:pt>
                <c:pt idx="454">
                  <c:v>0.56619183796549255</c:v>
                </c:pt>
                <c:pt idx="455">
                  <c:v>0.56636415306373689</c:v>
                </c:pt>
                <c:pt idx="456">
                  <c:v>0.56650650803335301</c:v>
                </c:pt>
                <c:pt idx="457">
                  <c:v>0.56653115762537776</c:v>
                </c:pt>
                <c:pt idx="458">
                  <c:v>0.56659459459459394</c:v>
                </c:pt>
                <c:pt idx="459">
                  <c:v>0.56670435807398944</c:v>
                </c:pt>
                <c:pt idx="460">
                  <c:v>0.56698096773462292</c:v>
                </c:pt>
                <c:pt idx="461">
                  <c:v>0.56699524055090034</c:v>
                </c:pt>
                <c:pt idx="462">
                  <c:v>0.56714163261896011</c:v>
                </c:pt>
                <c:pt idx="463">
                  <c:v>0.56717617801680364</c:v>
                </c:pt>
                <c:pt idx="464">
                  <c:v>0.56724467859868755</c:v>
                </c:pt>
                <c:pt idx="465">
                  <c:v>0.5677169584417634</c:v>
                </c:pt>
                <c:pt idx="466">
                  <c:v>0.56821174322287871</c:v>
                </c:pt>
                <c:pt idx="467">
                  <c:v>0.5684328495102019</c:v>
                </c:pt>
                <c:pt idx="468">
                  <c:v>0.56854205037924777</c:v>
                </c:pt>
                <c:pt idx="469">
                  <c:v>0.5685718022131514</c:v>
                </c:pt>
                <c:pt idx="470">
                  <c:v>0.5686048565830466</c:v>
                </c:pt>
                <c:pt idx="471">
                  <c:v>0.56913560825544141</c:v>
                </c:pt>
                <c:pt idx="472">
                  <c:v>0.56914962598033048</c:v>
                </c:pt>
                <c:pt idx="473">
                  <c:v>0.56927565000245506</c:v>
                </c:pt>
                <c:pt idx="474">
                  <c:v>0.56940241500670852</c:v>
                </c:pt>
                <c:pt idx="475">
                  <c:v>0.56952025163945708</c:v>
                </c:pt>
                <c:pt idx="476">
                  <c:v>0.56959931959931831</c:v>
                </c:pt>
                <c:pt idx="477">
                  <c:v>0.56974999629855605</c:v>
                </c:pt>
                <c:pt idx="478">
                  <c:v>0.5700204120228759</c:v>
                </c:pt>
                <c:pt idx="479">
                  <c:v>0.57016156021002851</c:v>
                </c:pt>
                <c:pt idx="480">
                  <c:v>0.57031858190298379</c:v>
                </c:pt>
                <c:pt idx="481">
                  <c:v>0.57044056339332405</c:v>
                </c:pt>
                <c:pt idx="482">
                  <c:v>0.57051416056940885</c:v>
                </c:pt>
                <c:pt idx="483">
                  <c:v>0.57075610251768749</c:v>
                </c:pt>
                <c:pt idx="484">
                  <c:v>0.57078246769064289</c:v>
                </c:pt>
                <c:pt idx="485">
                  <c:v>0.57090087140024415</c:v>
                </c:pt>
                <c:pt idx="486">
                  <c:v>0.57090528519099948</c:v>
                </c:pt>
                <c:pt idx="487">
                  <c:v>0.57090651790169866</c:v>
                </c:pt>
                <c:pt idx="488">
                  <c:v>0.57129864049323831</c:v>
                </c:pt>
                <c:pt idx="489">
                  <c:v>0.57145064990237315</c:v>
                </c:pt>
                <c:pt idx="490">
                  <c:v>0.5715851160131491</c:v>
                </c:pt>
                <c:pt idx="491">
                  <c:v>0.57174016737620581</c:v>
                </c:pt>
                <c:pt idx="492">
                  <c:v>0.57175266224621479</c:v>
                </c:pt>
                <c:pt idx="493">
                  <c:v>0.57183238592240515</c:v>
                </c:pt>
                <c:pt idx="494">
                  <c:v>0.57188050719965711</c:v>
                </c:pt>
                <c:pt idx="495">
                  <c:v>0.57189616057856218</c:v>
                </c:pt>
                <c:pt idx="496">
                  <c:v>0.57200153867259906</c:v>
                </c:pt>
                <c:pt idx="497">
                  <c:v>0.57223035662129673</c:v>
                </c:pt>
                <c:pt idx="498">
                  <c:v>0.57224285657401741</c:v>
                </c:pt>
                <c:pt idx="499">
                  <c:v>0.57240088633369268</c:v>
                </c:pt>
                <c:pt idx="500">
                  <c:v>0.57268758277457443</c:v>
                </c:pt>
                <c:pt idx="501">
                  <c:v>0.57312696263400886</c:v>
                </c:pt>
                <c:pt idx="502">
                  <c:v>0.57347242921013519</c:v>
                </c:pt>
                <c:pt idx="503">
                  <c:v>0.57357865208179615</c:v>
                </c:pt>
                <c:pt idx="504">
                  <c:v>0.57363864646074403</c:v>
                </c:pt>
                <c:pt idx="505">
                  <c:v>0.57364133502648418</c:v>
                </c:pt>
                <c:pt idx="506">
                  <c:v>0.57378587428828021</c:v>
                </c:pt>
                <c:pt idx="507">
                  <c:v>0.57380952380952388</c:v>
                </c:pt>
                <c:pt idx="508">
                  <c:v>0.57406037740135207</c:v>
                </c:pt>
                <c:pt idx="509">
                  <c:v>0.57425689146385739</c:v>
                </c:pt>
                <c:pt idx="510">
                  <c:v>0.57440538413491216</c:v>
                </c:pt>
                <c:pt idx="511">
                  <c:v>0.57462647911966425</c:v>
                </c:pt>
                <c:pt idx="512">
                  <c:v>0.57471387367805038</c:v>
                </c:pt>
                <c:pt idx="513">
                  <c:v>0.5747753113795051</c:v>
                </c:pt>
                <c:pt idx="514">
                  <c:v>0.57526087898616163</c:v>
                </c:pt>
                <c:pt idx="515">
                  <c:v>0.57531578366808345</c:v>
                </c:pt>
                <c:pt idx="516">
                  <c:v>0.57571463902227737</c:v>
                </c:pt>
                <c:pt idx="517">
                  <c:v>0.57590256981041532</c:v>
                </c:pt>
                <c:pt idx="518">
                  <c:v>0.57599715980094635</c:v>
                </c:pt>
                <c:pt idx="519">
                  <c:v>0.57620363338665459</c:v>
                </c:pt>
                <c:pt idx="520">
                  <c:v>0.57624656066398461</c:v>
                </c:pt>
                <c:pt idx="521">
                  <c:v>0.57639528053479672</c:v>
                </c:pt>
                <c:pt idx="522">
                  <c:v>0.57645546953991511</c:v>
                </c:pt>
                <c:pt idx="523">
                  <c:v>0.57649457530297088</c:v>
                </c:pt>
                <c:pt idx="524">
                  <c:v>0.57679894710900248</c:v>
                </c:pt>
                <c:pt idx="525">
                  <c:v>0.57707366431111984</c:v>
                </c:pt>
                <c:pt idx="526">
                  <c:v>0.57736192066900649</c:v>
                </c:pt>
                <c:pt idx="527">
                  <c:v>0.57744361387684429</c:v>
                </c:pt>
                <c:pt idx="528">
                  <c:v>0.57746770393053892</c:v>
                </c:pt>
                <c:pt idx="529">
                  <c:v>0.57762636485707997</c:v>
                </c:pt>
                <c:pt idx="530">
                  <c:v>0.57782511394136715</c:v>
                </c:pt>
                <c:pt idx="531">
                  <c:v>0.57788067664741727</c:v>
                </c:pt>
                <c:pt idx="532">
                  <c:v>0.57792090113681216</c:v>
                </c:pt>
                <c:pt idx="533">
                  <c:v>0.57798961603291843</c:v>
                </c:pt>
                <c:pt idx="534">
                  <c:v>0.57806084851036943</c:v>
                </c:pt>
                <c:pt idx="535">
                  <c:v>0.5782911103574282</c:v>
                </c:pt>
                <c:pt idx="536">
                  <c:v>0.578365171801839</c:v>
                </c:pt>
                <c:pt idx="537">
                  <c:v>0.57858364508893267</c:v>
                </c:pt>
                <c:pt idx="538">
                  <c:v>0.57876740694840767</c:v>
                </c:pt>
                <c:pt idx="539">
                  <c:v>0.57878077169911801</c:v>
                </c:pt>
                <c:pt idx="540">
                  <c:v>0.5788687269289956</c:v>
                </c:pt>
                <c:pt idx="541">
                  <c:v>0.57895014330814976</c:v>
                </c:pt>
                <c:pt idx="542">
                  <c:v>0.57903598243377208</c:v>
                </c:pt>
                <c:pt idx="543">
                  <c:v>0.5803021514052763</c:v>
                </c:pt>
                <c:pt idx="544">
                  <c:v>0.58033670167260121</c:v>
                </c:pt>
                <c:pt idx="545">
                  <c:v>0.58038985031859047</c:v>
                </c:pt>
                <c:pt idx="546">
                  <c:v>0.58044419198713804</c:v>
                </c:pt>
                <c:pt idx="547">
                  <c:v>0.58059232473112565</c:v>
                </c:pt>
                <c:pt idx="548">
                  <c:v>0.58060710609904742</c:v>
                </c:pt>
                <c:pt idx="549">
                  <c:v>0.58079765934281169</c:v>
                </c:pt>
                <c:pt idx="550">
                  <c:v>0.58131907077779676</c:v>
                </c:pt>
                <c:pt idx="551">
                  <c:v>0.58166567763184507</c:v>
                </c:pt>
                <c:pt idx="552">
                  <c:v>0.58177627011291333</c:v>
                </c:pt>
                <c:pt idx="553">
                  <c:v>0.58184506695144989</c:v>
                </c:pt>
                <c:pt idx="554">
                  <c:v>0.58197753496750027</c:v>
                </c:pt>
                <c:pt idx="555">
                  <c:v>0.58207179502134565</c:v>
                </c:pt>
                <c:pt idx="556">
                  <c:v>0.58207436685697589</c:v>
                </c:pt>
                <c:pt idx="557">
                  <c:v>0.58210076642794317</c:v>
                </c:pt>
                <c:pt idx="558">
                  <c:v>0.58214416093127552</c:v>
                </c:pt>
                <c:pt idx="559">
                  <c:v>0.5823931495418011</c:v>
                </c:pt>
                <c:pt idx="560">
                  <c:v>0.58267320502219344</c:v>
                </c:pt>
                <c:pt idx="561">
                  <c:v>0.58270471967456328</c:v>
                </c:pt>
                <c:pt idx="562">
                  <c:v>0.58281536452206695</c:v>
                </c:pt>
                <c:pt idx="563">
                  <c:v>0.58300249514642855</c:v>
                </c:pt>
                <c:pt idx="564">
                  <c:v>0.58311365633790957</c:v>
                </c:pt>
                <c:pt idx="565">
                  <c:v>0.58343299090338763</c:v>
                </c:pt>
                <c:pt idx="566">
                  <c:v>0.58357059973639314</c:v>
                </c:pt>
                <c:pt idx="567">
                  <c:v>0.58363273145975469</c:v>
                </c:pt>
                <c:pt idx="568">
                  <c:v>0.58380971519817726</c:v>
                </c:pt>
                <c:pt idx="569">
                  <c:v>0.58426157356718411</c:v>
                </c:pt>
                <c:pt idx="570">
                  <c:v>0.58428071231227818</c:v>
                </c:pt>
                <c:pt idx="571">
                  <c:v>0.58429350958994197</c:v>
                </c:pt>
                <c:pt idx="572">
                  <c:v>0.58437284100708076</c:v>
                </c:pt>
                <c:pt idx="573">
                  <c:v>0.5845623133713489</c:v>
                </c:pt>
                <c:pt idx="574">
                  <c:v>0.58460543818889565</c:v>
                </c:pt>
                <c:pt idx="575">
                  <c:v>0.58464725218694558</c:v>
                </c:pt>
                <c:pt idx="576">
                  <c:v>0.58486658300121463</c:v>
                </c:pt>
                <c:pt idx="577">
                  <c:v>0.58527131782945807</c:v>
                </c:pt>
                <c:pt idx="578">
                  <c:v>0.58532340739198641</c:v>
                </c:pt>
                <c:pt idx="579">
                  <c:v>0.58542938542938483</c:v>
                </c:pt>
                <c:pt idx="580">
                  <c:v>0.58543861636645211</c:v>
                </c:pt>
                <c:pt idx="581">
                  <c:v>0.58549537425423892</c:v>
                </c:pt>
                <c:pt idx="582">
                  <c:v>0.58552842098568958</c:v>
                </c:pt>
                <c:pt idx="583">
                  <c:v>0.5856241104289307</c:v>
                </c:pt>
                <c:pt idx="584">
                  <c:v>0.5862004147045714</c:v>
                </c:pt>
                <c:pt idx="585">
                  <c:v>0.5862352689310365</c:v>
                </c:pt>
                <c:pt idx="586">
                  <c:v>0.58660702445524848</c:v>
                </c:pt>
                <c:pt idx="587">
                  <c:v>0.58672085362096704</c:v>
                </c:pt>
                <c:pt idx="588">
                  <c:v>0.58682245925631171</c:v>
                </c:pt>
                <c:pt idx="589">
                  <c:v>0.58696639832959652</c:v>
                </c:pt>
                <c:pt idx="590">
                  <c:v>0.58710515775976535</c:v>
                </c:pt>
                <c:pt idx="591">
                  <c:v>0.58721131074804667</c:v>
                </c:pt>
                <c:pt idx="592">
                  <c:v>0.58723545886042672</c:v>
                </c:pt>
                <c:pt idx="593">
                  <c:v>0.58739091705166468</c:v>
                </c:pt>
                <c:pt idx="594">
                  <c:v>0.58761371639786975</c:v>
                </c:pt>
                <c:pt idx="595">
                  <c:v>0.58794425451555388</c:v>
                </c:pt>
                <c:pt idx="596">
                  <c:v>0.58797498229879597</c:v>
                </c:pt>
                <c:pt idx="597">
                  <c:v>0.58832900348826189</c:v>
                </c:pt>
                <c:pt idx="598">
                  <c:v>0.58842612871137223</c:v>
                </c:pt>
                <c:pt idx="599">
                  <c:v>0.58914774443315709</c:v>
                </c:pt>
                <c:pt idx="600">
                  <c:v>0.58958394892712662</c:v>
                </c:pt>
                <c:pt idx="601">
                  <c:v>0.5896889430411506</c:v>
                </c:pt>
                <c:pt idx="602">
                  <c:v>0.58969597896195758</c:v>
                </c:pt>
                <c:pt idx="603">
                  <c:v>0.58985849787734157</c:v>
                </c:pt>
                <c:pt idx="604">
                  <c:v>0.59002274889192974</c:v>
                </c:pt>
                <c:pt idx="605">
                  <c:v>0.59014943389943353</c:v>
                </c:pt>
                <c:pt idx="606">
                  <c:v>0.59021299067065658</c:v>
                </c:pt>
                <c:pt idx="607">
                  <c:v>0.59029130937249985</c:v>
                </c:pt>
                <c:pt idx="608">
                  <c:v>0.59036563207636794</c:v>
                </c:pt>
                <c:pt idx="609">
                  <c:v>0.59048492474769232</c:v>
                </c:pt>
                <c:pt idx="610">
                  <c:v>0.59060418559375938</c:v>
                </c:pt>
                <c:pt idx="611">
                  <c:v>0.5909072548032247</c:v>
                </c:pt>
                <c:pt idx="612">
                  <c:v>0.59117027893982477</c:v>
                </c:pt>
                <c:pt idx="613">
                  <c:v>0.59143721628114532</c:v>
                </c:pt>
                <c:pt idx="614">
                  <c:v>0.59148301775807988</c:v>
                </c:pt>
                <c:pt idx="615">
                  <c:v>0.59163878230629929</c:v>
                </c:pt>
                <c:pt idx="616">
                  <c:v>0.59164472046434258</c:v>
                </c:pt>
                <c:pt idx="617">
                  <c:v>0.59184692134254535</c:v>
                </c:pt>
                <c:pt idx="618">
                  <c:v>0.59192411698158154</c:v>
                </c:pt>
                <c:pt idx="619">
                  <c:v>0.59199498504497738</c:v>
                </c:pt>
                <c:pt idx="620">
                  <c:v>0.59201086424586458</c:v>
                </c:pt>
                <c:pt idx="621">
                  <c:v>0.59205592564228104</c:v>
                </c:pt>
                <c:pt idx="622">
                  <c:v>0.59214064329933336</c:v>
                </c:pt>
                <c:pt idx="623">
                  <c:v>0.59234854551433802</c:v>
                </c:pt>
                <c:pt idx="624">
                  <c:v>0.59248838409912297</c:v>
                </c:pt>
                <c:pt idx="625">
                  <c:v>0.59250438903416724</c:v>
                </c:pt>
                <c:pt idx="626">
                  <c:v>0.59262234810316261</c:v>
                </c:pt>
                <c:pt idx="627">
                  <c:v>0.59268133524090538</c:v>
                </c:pt>
                <c:pt idx="628">
                  <c:v>0.59288410032391148</c:v>
                </c:pt>
                <c:pt idx="629">
                  <c:v>0.59332258149281891</c:v>
                </c:pt>
                <c:pt idx="630">
                  <c:v>0.59332545901991529</c:v>
                </c:pt>
                <c:pt idx="631">
                  <c:v>0.59350402819336523</c:v>
                </c:pt>
                <c:pt idx="632">
                  <c:v>0.59350418970878827</c:v>
                </c:pt>
                <c:pt idx="633">
                  <c:v>0.59362843643450069</c:v>
                </c:pt>
                <c:pt idx="634">
                  <c:v>0.59372416663575889</c:v>
                </c:pt>
                <c:pt idx="635">
                  <c:v>0.59385243324313775</c:v>
                </c:pt>
                <c:pt idx="636">
                  <c:v>0.59401042681626726</c:v>
                </c:pt>
                <c:pt idx="637">
                  <c:v>0.59414369103398679</c:v>
                </c:pt>
                <c:pt idx="638">
                  <c:v>0.5942787474534803</c:v>
                </c:pt>
                <c:pt idx="639">
                  <c:v>0.59446937967366675</c:v>
                </c:pt>
                <c:pt idx="640">
                  <c:v>0.59457361263907627</c:v>
                </c:pt>
                <c:pt idx="641">
                  <c:v>0.59459618181400375</c:v>
                </c:pt>
                <c:pt idx="642">
                  <c:v>0.59513620051983163</c:v>
                </c:pt>
                <c:pt idx="643">
                  <c:v>0.59543467302439756</c:v>
                </c:pt>
                <c:pt idx="644">
                  <c:v>0.59565442494957832</c:v>
                </c:pt>
                <c:pt idx="645">
                  <c:v>0.59576315177117101</c:v>
                </c:pt>
                <c:pt idx="646">
                  <c:v>0.59600767376232766</c:v>
                </c:pt>
                <c:pt idx="647">
                  <c:v>0.59608203550708649</c:v>
                </c:pt>
                <c:pt idx="648">
                  <c:v>0.59643440979611984</c:v>
                </c:pt>
                <c:pt idx="649">
                  <c:v>0.59644357376306778</c:v>
                </c:pt>
                <c:pt idx="650">
                  <c:v>0.59655693144065203</c:v>
                </c:pt>
                <c:pt idx="651">
                  <c:v>0.59676630438628686</c:v>
                </c:pt>
                <c:pt idx="652">
                  <c:v>0.59713712567166966</c:v>
                </c:pt>
                <c:pt idx="653">
                  <c:v>0.59717487860214369</c:v>
                </c:pt>
                <c:pt idx="654">
                  <c:v>0.59755739054868717</c:v>
                </c:pt>
                <c:pt idx="655">
                  <c:v>0.59771033013844466</c:v>
                </c:pt>
                <c:pt idx="656">
                  <c:v>0.59779354665217821</c:v>
                </c:pt>
                <c:pt idx="657">
                  <c:v>0.59786101891365107</c:v>
                </c:pt>
                <c:pt idx="658">
                  <c:v>0.59802415808739673</c:v>
                </c:pt>
                <c:pt idx="659">
                  <c:v>0.59814529818463791</c:v>
                </c:pt>
                <c:pt idx="660">
                  <c:v>0.59820641765801619</c:v>
                </c:pt>
                <c:pt idx="661">
                  <c:v>0.59824059739550106</c:v>
                </c:pt>
                <c:pt idx="662">
                  <c:v>0.59830096670569355</c:v>
                </c:pt>
                <c:pt idx="663">
                  <c:v>0.59840425531914865</c:v>
                </c:pt>
                <c:pt idx="664">
                  <c:v>0.59872598602713811</c:v>
                </c:pt>
                <c:pt idx="665">
                  <c:v>0.59874745513624272</c:v>
                </c:pt>
                <c:pt idx="666">
                  <c:v>0.59878168763897199</c:v>
                </c:pt>
                <c:pt idx="667">
                  <c:v>0.59917604089254972</c:v>
                </c:pt>
                <c:pt idx="668">
                  <c:v>0.5991956520680296</c:v>
                </c:pt>
                <c:pt idx="669">
                  <c:v>0.59926738798419621</c:v>
                </c:pt>
                <c:pt idx="670">
                  <c:v>0.59943112354055794</c:v>
                </c:pt>
                <c:pt idx="671">
                  <c:v>0.59953078623729772</c:v>
                </c:pt>
                <c:pt idx="672">
                  <c:v>0.59966581764559423</c:v>
                </c:pt>
                <c:pt idx="673">
                  <c:v>0.59970496566192855</c:v>
                </c:pt>
                <c:pt idx="674">
                  <c:v>0.600429082268783</c:v>
                </c:pt>
                <c:pt idx="675">
                  <c:v>0.60114228420146554</c:v>
                </c:pt>
                <c:pt idx="676">
                  <c:v>0.60144765984729354</c:v>
                </c:pt>
                <c:pt idx="677">
                  <c:v>0.60147950256217875</c:v>
                </c:pt>
                <c:pt idx="678">
                  <c:v>0.60156224237759548</c:v>
                </c:pt>
                <c:pt idx="679">
                  <c:v>0.60179153600846214</c:v>
                </c:pt>
                <c:pt idx="680">
                  <c:v>0.60192713038241397</c:v>
                </c:pt>
                <c:pt idx="681">
                  <c:v>0.60196158008658018</c:v>
                </c:pt>
                <c:pt idx="682">
                  <c:v>0.60206289462657714</c:v>
                </c:pt>
                <c:pt idx="683">
                  <c:v>0.60209265608505202</c:v>
                </c:pt>
                <c:pt idx="684">
                  <c:v>0.60249686340049569</c:v>
                </c:pt>
                <c:pt idx="685">
                  <c:v>0.60254391652002126</c:v>
                </c:pt>
                <c:pt idx="686">
                  <c:v>0.60268755619471104</c:v>
                </c:pt>
                <c:pt idx="687">
                  <c:v>0.60304004426416691</c:v>
                </c:pt>
                <c:pt idx="688">
                  <c:v>0.60310023193659434</c:v>
                </c:pt>
                <c:pt idx="689">
                  <c:v>0.60372284698666856</c:v>
                </c:pt>
                <c:pt idx="690">
                  <c:v>0.6040203079508093</c:v>
                </c:pt>
                <c:pt idx="691">
                  <c:v>0.60410962941027258</c:v>
                </c:pt>
                <c:pt idx="692">
                  <c:v>0.60411142676767715</c:v>
                </c:pt>
                <c:pt idx="693">
                  <c:v>0.60420713332214171</c:v>
                </c:pt>
                <c:pt idx="694">
                  <c:v>0.60434784324117774</c:v>
                </c:pt>
                <c:pt idx="695">
                  <c:v>0.60450439306006865</c:v>
                </c:pt>
                <c:pt idx="696">
                  <c:v>0.6046163462054609</c:v>
                </c:pt>
                <c:pt idx="697">
                  <c:v>0.6049107142857143</c:v>
                </c:pt>
                <c:pt idx="698">
                  <c:v>0.60502524970657612</c:v>
                </c:pt>
                <c:pt idx="699">
                  <c:v>0.60507721642932089</c:v>
                </c:pt>
                <c:pt idx="700">
                  <c:v>0.60534313929926864</c:v>
                </c:pt>
                <c:pt idx="701">
                  <c:v>0.60550903307431492</c:v>
                </c:pt>
                <c:pt idx="702">
                  <c:v>0.60560986105891135</c:v>
                </c:pt>
                <c:pt idx="703">
                  <c:v>0.60567646056470748</c:v>
                </c:pt>
                <c:pt idx="704">
                  <c:v>0.60568668916624713</c:v>
                </c:pt>
                <c:pt idx="705">
                  <c:v>0.60593230419946498</c:v>
                </c:pt>
                <c:pt idx="706">
                  <c:v>0.60603898899206665</c:v>
                </c:pt>
                <c:pt idx="707">
                  <c:v>0.60616315111271102</c:v>
                </c:pt>
                <c:pt idx="708">
                  <c:v>0.60617580514860459</c:v>
                </c:pt>
                <c:pt idx="709">
                  <c:v>0.60622799787885251</c:v>
                </c:pt>
                <c:pt idx="710">
                  <c:v>0.60624055669594257</c:v>
                </c:pt>
                <c:pt idx="711">
                  <c:v>0.60679862495191994</c:v>
                </c:pt>
                <c:pt idx="712">
                  <c:v>0.60683126782230024</c:v>
                </c:pt>
                <c:pt idx="713">
                  <c:v>0.60717519719305713</c:v>
                </c:pt>
                <c:pt idx="714">
                  <c:v>0.60726695228587058</c:v>
                </c:pt>
                <c:pt idx="715">
                  <c:v>0.60748059706299196</c:v>
                </c:pt>
                <c:pt idx="716">
                  <c:v>0.60753300802146692</c:v>
                </c:pt>
                <c:pt idx="717">
                  <c:v>0.60755495850999786</c:v>
                </c:pt>
                <c:pt idx="718">
                  <c:v>0.60777127852621693</c:v>
                </c:pt>
                <c:pt idx="719">
                  <c:v>0.60778138321562647</c:v>
                </c:pt>
                <c:pt idx="720">
                  <c:v>0.6077821207218439</c:v>
                </c:pt>
                <c:pt idx="721">
                  <c:v>0.60779177778010296</c:v>
                </c:pt>
                <c:pt idx="722">
                  <c:v>0.60786760617399127</c:v>
                </c:pt>
                <c:pt idx="723">
                  <c:v>0.60794439828476998</c:v>
                </c:pt>
                <c:pt idx="724">
                  <c:v>0.60804459509639497</c:v>
                </c:pt>
                <c:pt idx="725">
                  <c:v>0.60811583158696869</c:v>
                </c:pt>
                <c:pt idx="726">
                  <c:v>0.60825308659535826</c:v>
                </c:pt>
                <c:pt idx="727">
                  <c:v>0.6085062996837578</c:v>
                </c:pt>
                <c:pt idx="728">
                  <c:v>0.60860079411698487</c:v>
                </c:pt>
                <c:pt idx="729">
                  <c:v>0.60892089066324495</c:v>
                </c:pt>
                <c:pt idx="730">
                  <c:v>0.60897936089240234</c:v>
                </c:pt>
                <c:pt idx="731">
                  <c:v>0.6089985358039206</c:v>
                </c:pt>
                <c:pt idx="732">
                  <c:v>0.60917842264340605</c:v>
                </c:pt>
                <c:pt idx="733">
                  <c:v>0.60920837366755665</c:v>
                </c:pt>
                <c:pt idx="734">
                  <c:v>0.60952371621736168</c:v>
                </c:pt>
                <c:pt idx="735">
                  <c:v>0.60964302528188963</c:v>
                </c:pt>
                <c:pt idx="736">
                  <c:v>0.60964659446962555</c:v>
                </c:pt>
                <c:pt idx="737">
                  <c:v>0.60966637815721147</c:v>
                </c:pt>
                <c:pt idx="738">
                  <c:v>0.60973804362638906</c:v>
                </c:pt>
                <c:pt idx="739">
                  <c:v>0.60991806815680505</c:v>
                </c:pt>
                <c:pt idx="740">
                  <c:v>0.60991919128327043</c:v>
                </c:pt>
                <c:pt idx="741">
                  <c:v>0.60994280311705329</c:v>
                </c:pt>
                <c:pt idx="742">
                  <c:v>0.60995110266879626</c:v>
                </c:pt>
                <c:pt idx="743">
                  <c:v>0.61007078488456246</c:v>
                </c:pt>
                <c:pt idx="744">
                  <c:v>0.6101012319915059</c:v>
                </c:pt>
                <c:pt idx="745">
                  <c:v>0.61017754146783809</c:v>
                </c:pt>
                <c:pt idx="746">
                  <c:v>0.61047585290850526</c:v>
                </c:pt>
                <c:pt idx="747">
                  <c:v>0.61051352117326463</c:v>
                </c:pt>
                <c:pt idx="748">
                  <c:v>0.61058924492797051</c:v>
                </c:pt>
                <c:pt idx="749">
                  <c:v>0.61069223229898562</c:v>
                </c:pt>
                <c:pt idx="750">
                  <c:v>0.6107086437605741</c:v>
                </c:pt>
                <c:pt idx="751">
                  <c:v>0.6109229865022896</c:v>
                </c:pt>
                <c:pt idx="752">
                  <c:v>0.61103069371264662</c:v>
                </c:pt>
                <c:pt idx="753">
                  <c:v>0.61107438435332673</c:v>
                </c:pt>
                <c:pt idx="754">
                  <c:v>0.61122993581305218</c:v>
                </c:pt>
                <c:pt idx="755">
                  <c:v>0.61126913422358053</c:v>
                </c:pt>
                <c:pt idx="756">
                  <c:v>0.61143743067459855</c:v>
                </c:pt>
                <c:pt idx="757">
                  <c:v>0.61158219463144814</c:v>
                </c:pt>
                <c:pt idx="758">
                  <c:v>0.61167174160705517</c:v>
                </c:pt>
                <c:pt idx="759">
                  <c:v>0.61169007109918283</c:v>
                </c:pt>
                <c:pt idx="760">
                  <c:v>0.61170590368224242</c:v>
                </c:pt>
                <c:pt idx="761">
                  <c:v>0.61174692680456932</c:v>
                </c:pt>
                <c:pt idx="762">
                  <c:v>0.61180122036121787</c:v>
                </c:pt>
                <c:pt idx="763">
                  <c:v>0.61180692351153654</c:v>
                </c:pt>
                <c:pt idx="764">
                  <c:v>0.61192341202413914</c:v>
                </c:pt>
                <c:pt idx="765">
                  <c:v>0.6120317823197976</c:v>
                </c:pt>
                <c:pt idx="766">
                  <c:v>0.61211629562693393</c:v>
                </c:pt>
                <c:pt idx="767">
                  <c:v>0.61218517745808843</c:v>
                </c:pt>
                <c:pt idx="768">
                  <c:v>0.61225503814948123</c:v>
                </c:pt>
                <c:pt idx="769">
                  <c:v>0.61261143639660953</c:v>
                </c:pt>
                <c:pt idx="770">
                  <c:v>0.61265019130512666</c:v>
                </c:pt>
                <c:pt idx="771">
                  <c:v>0.61272565404414403</c:v>
                </c:pt>
                <c:pt idx="772">
                  <c:v>0.61292136383539009</c:v>
                </c:pt>
                <c:pt idx="773">
                  <c:v>0.61294609320467508</c:v>
                </c:pt>
                <c:pt idx="774">
                  <c:v>0.61299620274808464</c:v>
                </c:pt>
                <c:pt idx="775">
                  <c:v>0.61307033365122077</c:v>
                </c:pt>
                <c:pt idx="776">
                  <c:v>0.61321415158200787</c:v>
                </c:pt>
                <c:pt idx="777">
                  <c:v>0.61339336314064907</c:v>
                </c:pt>
                <c:pt idx="778">
                  <c:v>0.61342838837413893</c:v>
                </c:pt>
                <c:pt idx="779">
                  <c:v>0.6134528120890731</c:v>
                </c:pt>
                <c:pt idx="780">
                  <c:v>0.61352769044061195</c:v>
                </c:pt>
                <c:pt idx="781">
                  <c:v>0.61354461882874023</c:v>
                </c:pt>
                <c:pt idx="782">
                  <c:v>0.61361993651793589</c:v>
                </c:pt>
                <c:pt idx="783">
                  <c:v>0.61371066057457635</c:v>
                </c:pt>
                <c:pt idx="784">
                  <c:v>0.61383784712773759</c:v>
                </c:pt>
                <c:pt idx="785">
                  <c:v>0.61390770562068198</c:v>
                </c:pt>
                <c:pt idx="786">
                  <c:v>0.61396433776187176</c:v>
                </c:pt>
                <c:pt idx="787">
                  <c:v>0.61411282372746023</c:v>
                </c:pt>
                <c:pt idx="788">
                  <c:v>0.61439160068997922</c:v>
                </c:pt>
                <c:pt idx="789">
                  <c:v>0.6144993391150162</c:v>
                </c:pt>
                <c:pt idx="790">
                  <c:v>0.61460005047293254</c:v>
                </c:pt>
                <c:pt idx="791">
                  <c:v>0.61475201302583593</c:v>
                </c:pt>
                <c:pt idx="792">
                  <c:v>0.61487170905988064</c:v>
                </c:pt>
                <c:pt idx="793">
                  <c:v>0.61487774945718843</c:v>
                </c:pt>
                <c:pt idx="794">
                  <c:v>0.61492880508769576</c:v>
                </c:pt>
                <c:pt idx="795">
                  <c:v>0.61502743891860634</c:v>
                </c:pt>
                <c:pt idx="796">
                  <c:v>0.61508683431210087</c:v>
                </c:pt>
                <c:pt idx="797">
                  <c:v>0.61513558225616949</c:v>
                </c:pt>
                <c:pt idx="798">
                  <c:v>0.61523146897787728</c:v>
                </c:pt>
                <c:pt idx="799">
                  <c:v>0.61531818416095807</c:v>
                </c:pt>
                <c:pt idx="800">
                  <c:v>0.61538571326625291</c:v>
                </c:pt>
                <c:pt idx="801">
                  <c:v>0.61539693734584333</c:v>
                </c:pt>
                <c:pt idx="802">
                  <c:v>0.61543921403634982</c:v>
                </c:pt>
                <c:pt idx="803">
                  <c:v>0.61556575064700314</c:v>
                </c:pt>
                <c:pt idx="804">
                  <c:v>0.61561995325649699</c:v>
                </c:pt>
                <c:pt idx="805">
                  <c:v>0.61562869918145313</c:v>
                </c:pt>
                <c:pt idx="806">
                  <c:v>0.61587019672180554</c:v>
                </c:pt>
                <c:pt idx="807">
                  <c:v>0.61590398290409298</c:v>
                </c:pt>
                <c:pt idx="808">
                  <c:v>0.61596407728483193</c:v>
                </c:pt>
                <c:pt idx="809">
                  <c:v>0.61608964601483218</c:v>
                </c:pt>
                <c:pt idx="810">
                  <c:v>0.6161251688135323</c:v>
                </c:pt>
                <c:pt idx="811">
                  <c:v>0.61647092323060637</c:v>
                </c:pt>
                <c:pt idx="812">
                  <c:v>0.61651762663824894</c:v>
                </c:pt>
                <c:pt idx="813">
                  <c:v>0.6165373173938008</c:v>
                </c:pt>
                <c:pt idx="814">
                  <c:v>0.61666271731953481</c:v>
                </c:pt>
                <c:pt idx="815">
                  <c:v>0.61687413712671979</c:v>
                </c:pt>
                <c:pt idx="816">
                  <c:v>0.61720182414836144</c:v>
                </c:pt>
                <c:pt idx="817">
                  <c:v>0.61721869836248477</c:v>
                </c:pt>
                <c:pt idx="818">
                  <c:v>0.61731627091262309</c:v>
                </c:pt>
                <c:pt idx="819">
                  <c:v>0.61751543821199495</c:v>
                </c:pt>
                <c:pt idx="820">
                  <c:v>0.61759883605626897</c:v>
                </c:pt>
                <c:pt idx="821">
                  <c:v>0.61766443550124805</c:v>
                </c:pt>
                <c:pt idx="822">
                  <c:v>0.61790795341898253</c:v>
                </c:pt>
                <c:pt idx="823">
                  <c:v>0.61793714426527035</c:v>
                </c:pt>
                <c:pt idx="824">
                  <c:v>0.61803740321911194</c:v>
                </c:pt>
                <c:pt idx="825">
                  <c:v>0.61816637355445159</c:v>
                </c:pt>
                <c:pt idx="826">
                  <c:v>0.61824148715915506</c:v>
                </c:pt>
                <c:pt idx="827">
                  <c:v>0.61833436440834877</c:v>
                </c:pt>
                <c:pt idx="828">
                  <c:v>0.61841880317406761</c:v>
                </c:pt>
                <c:pt idx="829">
                  <c:v>0.61846455213715634</c:v>
                </c:pt>
                <c:pt idx="830">
                  <c:v>0.61852648913766861</c:v>
                </c:pt>
                <c:pt idx="831">
                  <c:v>0.61857309771982427</c:v>
                </c:pt>
                <c:pt idx="832">
                  <c:v>0.61861493554357638</c:v>
                </c:pt>
                <c:pt idx="833">
                  <c:v>0.61876168335849002</c:v>
                </c:pt>
                <c:pt idx="834">
                  <c:v>0.61890433005906642</c:v>
                </c:pt>
                <c:pt idx="835">
                  <c:v>0.61914379456860691</c:v>
                </c:pt>
                <c:pt idx="836">
                  <c:v>0.61920083481890531</c:v>
                </c:pt>
                <c:pt idx="837">
                  <c:v>0.61922973943021131</c:v>
                </c:pt>
                <c:pt idx="838">
                  <c:v>0.61934450121950679</c:v>
                </c:pt>
                <c:pt idx="839">
                  <c:v>0.61941725010233617</c:v>
                </c:pt>
                <c:pt idx="840">
                  <c:v>0.61942545826460516</c:v>
                </c:pt>
                <c:pt idx="841">
                  <c:v>0.61954302382109827</c:v>
                </c:pt>
                <c:pt idx="842">
                  <c:v>0.61959773635524262</c:v>
                </c:pt>
                <c:pt idx="843">
                  <c:v>0.61960855641943058</c:v>
                </c:pt>
                <c:pt idx="844">
                  <c:v>0.61978168309415282</c:v>
                </c:pt>
                <c:pt idx="845">
                  <c:v>0.61982371923802437</c:v>
                </c:pt>
                <c:pt idx="846">
                  <c:v>0.62000345767036469</c:v>
                </c:pt>
                <c:pt idx="847">
                  <c:v>0.62000650882759667</c:v>
                </c:pt>
                <c:pt idx="848">
                  <c:v>0.62001673081691377</c:v>
                </c:pt>
                <c:pt idx="849">
                  <c:v>0.62032479296269738</c:v>
                </c:pt>
                <c:pt idx="850">
                  <c:v>0.62036689394724154</c:v>
                </c:pt>
                <c:pt idx="851">
                  <c:v>0.62039510345192039</c:v>
                </c:pt>
                <c:pt idx="852">
                  <c:v>0.62061544879029307</c:v>
                </c:pt>
                <c:pt idx="853">
                  <c:v>0.62074573381710485</c:v>
                </c:pt>
                <c:pt idx="854">
                  <c:v>0.62076215158406955</c:v>
                </c:pt>
                <c:pt idx="855">
                  <c:v>0.620764673078953</c:v>
                </c:pt>
                <c:pt idx="856">
                  <c:v>0.6210457423851129</c:v>
                </c:pt>
                <c:pt idx="857">
                  <c:v>0.62131701655433658</c:v>
                </c:pt>
                <c:pt idx="858">
                  <c:v>0.62133010628222674</c:v>
                </c:pt>
                <c:pt idx="859">
                  <c:v>0.6213933341055129</c:v>
                </c:pt>
                <c:pt idx="860">
                  <c:v>0.62140844861114553</c:v>
                </c:pt>
                <c:pt idx="861">
                  <c:v>0.62144468565104505</c:v>
                </c:pt>
                <c:pt idx="862">
                  <c:v>0.62183160236871082</c:v>
                </c:pt>
                <c:pt idx="863">
                  <c:v>0.62209164853306009</c:v>
                </c:pt>
                <c:pt idx="864">
                  <c:v>0.62218625751284606</c:v>
                </c:pt>
                <c:pt idx="865">
                  <c:v>0.62219207870176241</c:v>
                </c:pt>
                <c:pt idx="866">
                  <c:v>0.62221524496206615</c:v>
                </c:pt>
                <c:pt idx="867">
                  <c:v>0.62222970264978006</c:v>
                </c:pt>
                <c:pt idx="868">
                  <c:v>0.62226553051780931</c:v>
                </c:pt>
                <c:pt idx="869">
                  <c:v>0.62231679696236886</c:v>
                </c:pt>
                <c:pt idx="870">
                  <c:v>0.62236769315876816</c:v>
                </c:pt>
                <c:pt idx="871">
                  <c:v>0.62243360893628219</c:v>
                </c:pt>
                <c:pt idx="872">
                  <c:v>0.62244943700755551</c:v>
                </c:pt>
                <c:pt idx="873">
                  <c:v>0.62258462378858193</c:v>
                </c:pt>
                <c:pt idx="874">
                  <c:v>0.62266029698692493</c:v>
                </c:pt>
                <c:pt idx="875">
                  <c:v>0.62268373722567694</c:v>
                </c:pt>
                <c:pt idx="876">
                  <c:v>0.62269810666855141</c:v>
                </c:pt>
                <c:pt idx="877">
                  <c:v>0.62271386076380264</c:v>
                </c:pt>
                <c:pt idx="878">
                  <c:v>0.6227201476397205</c:v>
                </c:pt>
                <c:pt idx="879">
                  <c:v>0.62293734899435105</c:v>
                </c:pt>
                <c:pt idx="880">
                  <c:v>0.62294373680970028</c:v>
                </c:pt>
                <c:pt idx="881">
                  <c:v>0.62300311911736783</c:v>
                </c:pt>
                <c:pt idx="882">
                  <c:v>0.62304872023783742</c:v>
                </c:pt>
                <c:pt idx="883">
                  <c:v>0.62325966603927896</c:v>
                </c:pt>
                <c:pt idx="884">
                  <c:v>0.62351287338843331</c:v>
                </c:pt>
                <c:pt idx="885">
                  <c:v>0.62351781714884069</c:v>
                </c:pt>
                <c:pt idx="886">
                  <c:v>0.62367062179467592</c:v>
                </c:pt>
                <c:pt idx="887">
                  <c:v>0.62385396108234215</c:v>
                </c:pt>
                <c:pt idx="888">
                  <c:v>0.6240095512293371</c:v>
                </c:pt>
                <c:pt idx="889">
                  <c:v>0.62416488893841249</c:v>
                </c:pt>
                <c:pt idx="890">
                  <c:v>0.62431388948470534</c:v>
                </c:pt>
                <c:pt idx="891">
                  <c:v>0.62432483837538144</c:v>
                </c:pt>
                <c:pt idx="892">
                  <c:v>0.62452318326039913</c:v>
                </c:pt>
                <c:pt idx="893">
                  <c:v>0.62463676828756187</c:v>
                </c:pt>
                <c:pt idx="894">
                  <c:v>0.62482959923043968</c:v>
                </c:pt>
                <c:pt idx="895">
                  <c:v>0.62483940430305995</c:v>
                </c:pt>
                <c:pt idx="896">
                  <c:v>0.62489696938146888</c:v>
                </c:pt>
                <c:pt idx="897">
                  <c:v>0.6249830287048177</c:v>
                </c:pt>
                <c:pt idx="898">
                  <c:v>0.62498610519295184</c:v>
                </c:pt>
                <c:pt idx="899">
                  <c:v>0.62508465069901697</c:v>
                </c:pt>
                <c:pt idx="900">
                  <c:v>0.62510307063945447</c:v>
                </c:pt>
                <c:pt idx="901">
                  <c:v>0.62511822573408649</c:v>
                </c:pt>
                <c:pt idx="902">
                  <c:v>0.62520682024573559</c:v>
                </c:pt>
                <c:pt idx="903">
                  <c:v>0.62524073795668822</c:v>
                </c:pt>
                <c:pt idx="904">
                  <c:v>0.62534217156730121</c:v>
                </c:pt>
                <c:pt idx="905">
                  <c:v>0.62562816129444576</c:v>
                </c:pt>
                <c:pt idx="906">
                  <c:v>0.62583684895726011</c:v>
                </c:pt>
                <c:pt idx="907">
                  <c:v>0.62591024803630924</c:v>
                </c:pt>
                <c:pt idx="908">
                  <c:v>0.62598335029668395</c:v>
                </c:pt>
                <c:pt idx="909">
                  <c:v>0.62605819331420887</c:v>
                </c:pt>
                <c:pt idx="910">
                  <c:v>0.62606392531551902</c:v>
                </c:pt>
                <c:pt idx="911">
                  <c:v>0.62616319752686789</c:v>
                </c:pt>
                <c:pt idx="912">
                  <c:v>0.62628229728104301</c:v>
                </c:pt>
                <c:pt idx="913">
                  <c:v>0.62629743032447127</c:v>
                </c:pt>
                <c:pt idx="914">
                  <c:v>0.62642197596454907</c:v>
                </c:pt>
                <c:pt idx="915">
                  <c:v>0.62645116475393758</c:v>
                </c:pt>
                <c:pt idx="916">
                  <c:v>0.62661156642594629</c:v>
                </c:pt>
                <c:pt idx="917">
                  <c:v>0.62671232876712302</c:v>
                </c:pt>
                <c:pt idx="918">
                  <c:v>0.62671733713497657</c:v>
                </c:pt>
                <c:pt idx="919">
                  <c:v>0.6268058858877058</c:v>
                </c:pt>
                <c:pt idx="920">
                  <c:v>0.62704590494476098</c:v>
                </c:pt>
                <c:pt idx="921">
                  <c:v>0.62727425389206137</c:v>
                </c:pt>
                <c:pt idx="922">
                  <c:v>0.62729806862680038</c:v>
                </c:pt>
                <c:pt idx="923">
                  <c:v>0.62734798915572343</c:v>
                </c:pt>
                <c:pt idx="924">
                  <c:v>0.62747880834300584</c:v>
                </c:pt>
                <c:pt idx="925">
                  <c:v>0.62748284554754996</c:v>
                </c:pt>
                <c:pt idx="926">
                  <c:v>0.62757008702357409</c:v>
                </c:pt>
                <c:pt idx="927">
                  <c:v>0.62758291577189174</c:v>
                </c:pt>
                <c:pt idx="928">
                  <c:v>0.62759700224694392</c:v>
                </c:pt>
                <c:pt idx="929">
                  <c:v>0.62761552617230121</c:v>
                </c:pt>
                <c:pt idx="930">
                  <c:v>0.62767215653123931</c:v>
                </c:pt>
                <c:pt idx="931">
                  <c:v>0.62796392349372565</c:v>
                </c:pt>
                <c:pt idx="932">
                  <c:v>0.62798194713088307</c:v>
                </c:pt>
                <c:pt idx="933">
                  <c:v>0.62798404217520321</c:v>
                </c:pt>
                <c:pt idx="934">
                  <c:v>0.62802172189207295</c:v>
                </c:pt>
                <c:pt idx="935">
                  <c:v>0.62815490990837575</c:v>
                </c:pt>
                <c:pt idx="936">
                  <c:v>0.62836062346181709</c:v>
                </c:pt>
                <c:pt idx="937">
                  <c:v>0.62854265458159142</c:v>
                </c:pt>
                <c:pt idx="938">
                  <c:v>0.62857944072131866</c:v>
                </c:pt>
                <c:pt idx="939">
                  <c:v>0.6287276251926297</c:v>
                </c:pt>
                <c:pt idx="940">
                  <c:v>0.62900025114145841</c:v>
                </c:pt>
                <c:pt idx="941">
                  <c:v>0.62906592619865775</c:v>
                </c:pt>
                <c:pt idx="942">
                  <c:v>0.62912936696506394</c:v>
                </c:pt>
                <c:pt idx="943">
                  <c:v>0.62933534021720705</c:v>
                </c:pt>
                <c:pt idx="944">
                  <c:v>0.62951889130343452</c:v>
                </c:pt>
                <c:pt idx="945">
                  <c:v>0.62958202802673457</c:v>
                </c:pt>
                <c:pt idx="946">
                  <c:v>0.62963220724777813</c:v>
                </c:pt>
                <c:pt idx="947">
                  <c:v>0.62970349516173485</c:v>
                </c:pt>
                <c:pt idx="948">
                  <c:v>0.62981691368788251</c:v>
                </c:pt>
                <c:pt idx="949">
                  <c:v>0.62994352524079056</c:v>
                </c:pt>
                <c:pt idx="950">
                  <c:v>0.63000428269112141</c:v>
                </c:pt>
                <c:pt idx="951">
                  <c:v>0.63008496342706377</c:v>
                </c:pt>
                <c:pt idx="952">
                  <c:v>0.63016630891248682</c:v>
                </c:pt>
                <c:pt idx="953">
                  <c:v>0.63032454361054735</c:v>
                </c:pt>
                <c:pt idx="954">
                  <c:v>0.63045601015525821</c:v>
                </c:pt>
                <c:pt idx="955">
                  <c:v>0.63045723332424664</c:v>
                </c:pt>
                <c:pt idx="956">
                  <c:v>0.63050707254528859</c:v>
                </c:pt>
                <c:pt idx="957">
                  <c:v>0.63051551882411994</c:v>
                </c:pt>
                <c:pt idx="958">
                  <c:v>0.63059533345036711</c:v>
                </c:pt>
                <c:pt idx="959">
                  <c:v>0.63065144581509458</c:v>
                </c:pt>
                <c:pt idx="960">
                  <c:v>0.63066021492953861</c:v>
                </c:pt>
                <c:pt idx="961">
                  <c:v>0.63080220042063773</c:v>
                </c:pt>
                <c:pt idx="962">
                  <c:v>0.63090662440950684</c:v>
                </c:pt>
                <c:pt idx="963">
                  <c:v>0.63091322055137866</c:v>
                </c:pt>
                <c:pt idx="964">
                  <c:v>0.63143668960689303</c:v>
                </c:pt>
                <c:pt idx="965">
                  <c:v>0.63150206140620369</c:v>
                </c:pt>
                <c:pt idx="966">
                  <c:v>0.63150875604146606</c:v>
                </c:pt>
                <c:pt idx="967">
                  <c:v>0.6316886066027303</c:v>
                </c:pt>
                <c:pt idx="968">
                  <c:v>0.6317078743739597</c:v>
                </c:pt>
                <c:pt idx="969">
                  <c:v>0.63189540294648427</c:v>
                </c:pt>
                <c:pt idx="970">
                  <c:v>0.6319105691056911</c:v>
                </c:pt>
                <c:pt idx="971">
                  <c:v>0.63233641434207855</c:v>
                </c:pt>
                <c:pt idx="972">
                  <c:v>0.63237706565879981</c:v>
                </c:pt>
                <c:pt idx="973">
                  <c:v>0.63281214414966491</c:v>
                </c:pt>
                <c:pt idx="974">
                  <c:v>0.63286234748883652</c:v>
                </c:pt>
                <c:pt idx="975">
                  <c:v>0.6329061868799305</c:v>
                </c:pt>
                <c:pt idx="976">
                  <c:v>0.63292706754608719</c:v>
                </c:pt>
                <c:pt idx="977">
                  <c:v>0.63293082254749056</c:v>
                </c:pt>
                <c:pt idx="978">
                  <c:v>0.63293407956166448</c:v>
                </c:pt>
                <c:pt idx="979">
                  <c:v>0.63293428284253994</c:v>
                </c:pt>
                <c:pt idx="980">
                  <c:v>0.63305588470622598</c:v>
                </c:pt>
                <c:pt idx="981">
                  <c:v>0.63315599027329805</c:v>
                </c:pt>
                <c:pt idx="982">
                  <c:v>0.63315754028545479</c:v>
                </c:pt>
                <c:pt idx="983">
                  <c:v>0.63322355289421073</c:v>
                </c:pt>
                <c:pt idx="984">
                  <c:v>0.6332378197693258</c:v>
                </c:pt>
                <c:pt idx="985">
                  <c:v>0.63351735539629972</c:v>
                </c:pt>
                <c:pt idx="986">
                  <c:v>0.63366680792026309</c:v>
                </c:pt>
                <c:pt idx="987">
                  <c:v>0.6337990168111971</c:v>
                </c:pt>
                <c:pt idx="988">
                  <c:v>0.63382210756828217</c:v>
                </c:pt>
                <c:pt idx="989">
                  <c:v>0.63383733434591982</c:v>
                </c:pt>
                <c:pt idx="990">
                  <c:v>0.6343650377671447</c:v>
                </c:pt>
                <c:pt idx="991">
                  <c:v>0.63445165540016146</c:v>
                </c:pt>
                <c:pt idx="992">
                  <c:v>0.63446109670463113</c:v>
                </c:pt>
                <c:pt idx="993">
                  <c:v>0.63452320840930221</c:v>
                </c:pt>
                <c:pt idx="994">
                  <c:v>0.63487050359045472</c:v>
                </c:pt>
                <c:pt idx="995">
                  <c:v>0.63498451961234581</c:v>
                </c:pt>
                <c:pt idx="996">
                  <c:v>0.63518284690204363</c:v>
                </c:pt>
                <c:pt idx="997">
                  <c:v>0.63525213515426804</c:v>
                </c:pt>
                <c:pt idx="998">
                  <c:v>0.6353454474742255</c:v>
                </c:pt>
                <c:pt idx="999">
                  <c:v>0.63539394397444149</c:v>
                </c:pt>
                <c:pt idx="1000">
                  <c:v>0.63546261255382974</c:v>
                </c:pt>
                <c:pt idx="1001">
                  <c:v>0.63546450774210528</c:v>
                </c:pt>
                <c:pt idx="1002">
                  <c:v>0.63547672619884732</c:v>
                </c:pt>
                <c:pt idx="1003">
                  <c:v>0.6355192169883862</c:v>
                </c:pt>
                <c:pt idx="1004">
                  <c:v>0.63552132401412664</c:v>
                </c:pt>
                <c:pt idx="1005">
                  <c:v>0.63559600534949889</c:v>
                </c:pt>
                <c:pt idx="1006">
                  <c:v>0.63560791513667902</c:v>
                </c:pt>
                <c:pt idx="1007">
                  <c:v>0.6356405268724864</c:v>
                </c:pt>
                <c:pt idx="1008">
                  <c:v>0.63572929581776449</c:v>
                </c:pt>
                <c:pt idx="1009">
                  <c:v>0.63575052795664355</c:v>
                </c:pt>
                <c:pt idx="1010">
                  <c:v>0.63595456502611469</c:v>
                </c:pt>
                <c:pt idx="1011">
                  <c:v>0.63620723420817049</c:v>
                </c:pt>
                <c:pt idx="1012">
                  <c:v>0.63667759562841475</c:v>
                </c:pt>
                <c:pt idx="1013">
                  <c:v>0.63704141923968982</c:v>
                </c:pt>
                <c:pt idx="1014">
                  <c:v>0.63742232046787062</c:v>
                </c:pt>
                <c:pt idx="1015">
                  <c:v>0.63755034938193378</c:v>
                </c:pt>
                <c:pt idx="1016">
                  <c:v>0.63774470641423442</c:v>
                </c:pt>
                <c:pt idx="1017">
                  <c:v>0.63789820621570215</c:v>
                </c:pt>
                <c:pt idx="1018">
                  <c:v>0.6378997479054328</c:v>
                </c:pt>
                <c:pt idx="1019">
                  <c:v>0.63805384335774606</c:v>
                </c:pt>
                <c:pt idx="1020">
                  <c:v>0.63811160868668126</c:v>
                </c:pt>
                <c:pt idx="1021">
                  <c:v>0.63835164835164837</c:v>
                </c:pt>
                <c:pt idx="1022">
                  <c:v>0.6384236644375364</c:v>
                </c:pt>
                <c:pt idx="1023">
                  <c:v>0.63860328316873727</c:v>
                </c:pt>
                <c:pt idx="1024">
                  <c:v>0.63861885353113546</c:v>
                </c:pt>
                <c:pt idx="1025">
                  <c:v>0.63867002420489449</c:v>
                </c:pt>
                <c:pt idx="1026">
                  <c:v>0.63872131791680398</c:v>
                </c:pt>
                <c:pt idx="1027">
                  <c:v>0.63875104619320378</c:v>
                </c:pt>
                <c:pt idx="1028">
                  <c:v>0.63884656055688871</c:v>
                </c:pt>
                <c:pt idx="1029">
                  <c:v>0.63908103195344756</c:v>
                </c:pt>
                <c:pt idx="1030">
                  <c:v>0.63912064329937557</c:v>
                </c:pt>
                <c:pt idx="1031">
                  <c:v>0.6391452276131675</c:v>
                </c:pt>
                <c:pt idx="1032">
                  <c:v>0.63929543504753505</c:v>
                </c:pt>
                <c:pt idx="1033">
                  <c:v>0.63931020317881659</c:v>
                </c:pt>
                <c:pt idx="1034">
                  <c:v>0.63939634440974547</c:v>
                </c:pt>
                <c:pt idx="1035">
                  <c:v>0.63953126542470451</c:v>
                </c:pt>
                <c:pt idx="1036">
                  <c:v>0.63966136495137227</c:v>
                </c:pt>
                <c:pt idx="1037">
                  <c:v>0.63972681800692588</c:v>
                </c:pt>
                <c:pt idx="1038">
                  <c:v>0.63973184331137534</c:v>
                </c:pt>
                <c:pt idx="1039">
                  <c:v>0.63992913814522445</c:v>
                </c:pt>
                <c:pt idx="1040">
                  <c:v>0.64017447685327988</c:v>
                </c:pt>
                <c:pt idx="1041">
                  <c:v>0.64033513920622909</c:v>
                </c:pt>
                <c:pt idx="1042">
                  <c:v>0.64034368879416748</c:v>
                </c:pt>
                <c:pt idx="1043">
                  <c:v>0.64034977997892695</c:v>
                </c:pt>
                <c:pt idx="1044">
                  <c:v>0.64038398312772438</c:v>
                </c:pt>
                <c:pt idx="1045">
                  <c:v>0.64040221704687783</c:v>
                </c:pt>
                <c:pt idx="1046">
                  <c:v>0.64048359538482214</c:v>
                </c:pt>
                <c:pt idx="1047">
                  <c:v>0.64051715890297156</c:v>
                </c:pt>
                <c:pt idx="1048">
                  <c:v>0.64058696883852595</c:v>
                </c:pt>
                <c:pt idx="1049">
                  <c:v>0.64059590906881569</c:v>
                </c:pt>
                <c:pt idx="1050">
                  <c:v>0.64086276461957703</c:v>
                </c:pt>
                <c:pt idx="1051">
                  <c:v>0.64089494473925857</c:v>
                </c:pt>
                <c:pt idx="1052">
                  <c:v>0.64094777098827138</c:v>
                </c:pt>
                <c:pt idx="1053">
                  <c:v>0.64108068514762195</c:v>
                </c:pt>
                <c:pt idx="1054">
                  <c:v>0.64108923250552119</c:v>
                </c:pt>
                <c:pt idx="1055">
                  <c:v>0.64151106972892802</c:v>
                </c:pt>
                <c:pt idx="1056">
                  <c:v>0.64173090955236212</c:v>
                </c:pt>
                <c:pt idx="1057">
                  <c:v>0.64188854489164127</c:v>
                </c:pt>
                <c:pt idx="1058">
                  <c:v>0.64208818923054778</c:v>
                </c:pt>
                <c:pt idx="1059">
                  <c:v>0.64210513818573567</c:v>
                </c:pt>
                <c:pt idx="1060">
                  <c:v>0.64211166507549322</c:v>
                </c:pt>
                <c:pt idx="1061">
                  <c:v>0.64225226451329931</c:v>
                </c:pt>
                <c:pt idx="1062">
                  <c:v>0.64231943212811538</c:v>
                </c:pt>
                <c:pt idx="1063">
                  <c:v>0.64246613135082586</c:v>
                </c:pt>
                <c:pt idx="1064">
                  <c:v>0.64251083484489135</c:v>
                </c:pt>
                <c:pt idx="1065">
                  <c:v>0.64279470107369907</c:v>
                </c:pt>
                <c:pt idx="1066">
                  <c:v>0.64279827191902383</c:v>
                </c:pt>
                <c:pt idx="1067">
                  <c:v>0.64283963763094054</c:v>
                </c:pt>
                <c:pt idx="1068">
                  <c:v>0.64298152150750343</c:v>
                </c:pt>
                <c:pt idx="1069">
                  <c:v>0.64299142488305583</c:v>
                </c:pt>
                <c:pt idx="1070">
                  <c:v>0.6430008364818679</c:v>
                </c:pt>
                <c:pt idx="1071">
                  <c:v>0.64306740170584575</c:v>
                </c:pt>
                <c:pt idx="1072">
                  <c:v>0.64308695313991582</c:v>
                </c:pt>
                <c:pt idx="1073">
                  <c:v>0.64311401648869049</c:v>
                </c:pt>
                <c:pt idx="1074">
                  <c:v>0.64338736555067377</c:v>
                </c:pt>
                <c:pt idx="1075">
                  <c:v>0.64351262123879371</c:v>
                </c:pt>
                <c:pt idx="1076">
                  <c:v>0.64359698681732624</c:v>
                </c:pt>
                <c:pt idx="1077">
                  <c:v>0.64363428695429237</c:v>
                </c:pt>
                <c:pt idx="1078">
                  <c:v>0.64364165184074318</c:v>
                </c:pt>
                <c:pt idx="1079">
                  <c:v>0.64374772010887371</c:v>
                </c:pt>
                <c:pt idx="1080">
                  <c:v>0.64378793083705477</c:v>
                </c:pt>
                <c:pt idx="1081">
                  <c:v>0.64381831717957438</c:v>
                </c:pt>
                <c:pt idx="1082">
                  <c:v>0.64407551477606251</c:v>
                </c:pt>
                <c:pt idx="1083">
                  <c:v>0.64410299003322324</c:v>
                </c:pt>
                <c:pt idx="1084">
                  <c:v>0.64411255130497524</c:v>
                </c:pt>
                <c:pt idx="1085">
                  <c:v>0.64411867112843346</c:v>
                </c:pt>
                <c:pt idx="1086">
                  <c:v>0.64419599099778013</c:v>
                </c:pt>
                <c:pt idx="1087">
                  <c:v>0.64424174418956714</c:v>
                </c:pt>
                <c:pt idx="1088">
                  <c:v>0.64444080579155849</c:v>
                </c:pt>
                <c:pt idx="1089">
                  <c:v>0.64477241098695115</c:v>
                </c:pt>
                <c:pt idx="1090">
                  <c:v>0.64508074152126993</c:v>
                </c:pt>
                <c:pt idx="1091">
                  <c:v>0.64508225411270581</c:v>
                </c:pt>
                <c:pt idx="1092">
                  <c:v>0.64522785415431183</c:v>
                </c:pt>
                <c:pt idx="1093">
                  <c:v>0.64528459413167139</c:v>
                </c:pt>
                <c:pt idx="1094">
                  <c:v>0.64536141015626658</c:v>
                </c:pt>
                <c:pt idx="1095">
                  <c:v>0.6453730961865255</c:v>
                </c:pt>
                <c:pt idx="1096">
                  <c:v>0.64554173982632834</c:v>
                </c:pt>
                <c:pt idx="1097">
                  <c:v>0.64567673491895661</c:v>
                </c:pt>
                <c:pt idx="1098">
                  <c:v>0.64583234670408418</c:v>
                </c:pt>
                <c:pt idx="1099">
                  <c:v>0.64598272112120136</c:v>
                </c:pt>
                <c:pt idx="1100">
                  <c:v>0.64598997493734289</c:v>
                </c:pt>
                <c:pt idx="1101">
                  <c:v>0.6461297140866491</c:v>
                </c:pt>
                <c:pt idx="1102">
                  <c:v>0.64613685456609016</c:v>
                </c:pt>
                <c:pt idx="1103">
                  <c:v>0.64622183799037825</c:v>
                </c:pt>
                <c:pt idx="1104">
                  <c:v>0.64639969779409578</c:v>
                </c:pt>
                <c:pt idx="1105">
                  <c:v>0.64641967263711286</c:v>
                </c:pt>
                <c:pt idx="1106">
                  <c:v>0.6464202858091751</c:v>
                </c:pt>
                <c:pt idx="1107">
                  <c:v>0.64667618946222805</c:v>
                </c:pt>
                <c:pt idx="1108">
                  <c:v>0.64678957871802956</c:v>
                </c:pt>
                <c:pt idx="1109">
                  <c:v>0.64702434449611224</c:v>
                </c:pt>
                <c:pt idx="1110">
                  <c:v>0.64705519446349624</c:v>
                </c:pt>
                <c:pt idx="1111">
                  <c:v>0.64722493052108143</c:v>
                </c:pt>
                <c:pt idx="1112">
                  <c:v>0.64729275289978128</c:v>
                </c:pt>
                <c:pt idx="1113">
                  <c:v>0.64745697694133619</c:v>
                </c:pt>
                <c:pt idx="1114">
                  <c:v>0.64748498813014865</c:v>
                </c:pt>
                <c:pt idx="1115">
                  <c:v>0.64750663502152639</c:v>
                </c:pt>
                <c:pt idx="1116">
                  <c:v>0.64780802644020274</c:v>
                </c:pt>
                <c:pt idx="1117">
                  <c:v>0.64787679795239717</c:v>
                </c:pt>
                <c:pt idx="1118">
                  <c:v>0.64791878511356249</c:v>
                </c:pt>
                <c:pt idx="1119">
                  <c:v>0.64796387876792727</c:v>
                </c:pt>
                <c:pt idx="1120">
                  <c:v>0.6481612114371702</c:v>
                </c:pt>
                <c:pt idx="1121">
                  <c:v>0.64817062999277208</c:v>
                </c:pt>
                <c:pt idx="1122">
                  <c:v>0.64828697114530498</c:v>
                </c:pt>
                <c:pt idx="1123">
                  <c:v>0.64832202058068911</c:v>
                </c:pt>
                <c:pt idx="1124">
                  <c:v>0.64837046175449542</c:v>
                </c:pt>
                <c:pt idx="1125">
                  <c:v>0.64844535535595804</c:v>
                </c:pt>
                <c:pt idx="1126">
                  <c:v>0.64846388160007118</c:v>
                </c:pt>
                <c:pt idx="1127">
                  <c:v>0.64849581841286874</c:v>
                </c:pt>
                <c:pt idx="1128">
                  <c:v>0.64853190511085312</c:v>
                </c:pt>
                <c:pt idx="1129">
                  <c:v>0.64859695937391681</c:v>
                </c:pt>
                <c:pt idx="1130">
                  <c:v>0.64865178595988493</c:v>
                </c:pt>
                <c:pt idx="1131">
                  <c:v>0.64868655196576075</c:v>
                </c:pt>
                <c:pt idx="1132">
                  <c:v>0.64876650412578363</c:v>
                </c:pt>
                <c:pt idx="1133">
                  <c:v>0.6487833178592739</c:v>
                </c:pt>
                <c:pt idx="1134">
                  <c:v>0.64878993602361901</c:v>
                </c:pt>
                <c:pt idx="1135">
                  <c:v>0.64884430011222338</c:v>
                </c:pt>
                <c:pt idx="1136">
                  <c:v>0.64886526382295295</c:v>
                </c:pt>
                <c:pt idx="1137">
                  <c:v>0.64887026247745427</c:v>
                </c:pt>
                <c:pt idx="1138">
                  <c:v>0.64891445012248972</c:v>
                </c:pt>
                <c:pt idx="1139">
                  <c:v>0.64915117088089469</c:v>
                </c:pt>
                <c:pt idx="1140">
                  <c:v>0.64920622791097515</c:v>
                </c:pt>
                <c:pt idx="1141">
                  <c:v>0.64923562446892702</c:v>
                </c:pt>
                <c:pt idx="1142">
                  <c:v>0.64953118466003379</c:v>
                </c:pt>
                <c:pt idx="1143">
                  <c:v>0.64961413990540295</c:v>
                </c:pt>
                <c:pt idx="1144">
                  <c:v>0.64964785444911899</c:v>
                </c:pt>
                <c:pt idx="1145">
                  <c:v>0.64975588609886192</c:v>
                </c:pt>
                <c:pt idx="1146">
                  <c:v>0.64992105933282407</c:v>
                </c:pt>
                <c:pt idx="1147">
                  <c:v>0.65000216690984181</c:v>
                </c:pt>
                <c:pt idx="1148">
                  <c:v>0.65001555312473547</c:v>
                </c:pt>
                <c:pt idx="1149">
                  <c:v>0.65009499580260499</c:v>
                </c:pt>
                <c:pt idx="1150">
                  <c:v>0.65011492539998572</c:v>
                </c:pt>
                <c:pt idx="1151">
                  <c:v>0.65016803146370716</c:v>
                </c:pt>
                <c:pt idx="1152">
                  <c:v>0.65038700418547346</c:v>
                </c:pt>
                <c:pt idx="1153">
                  <c:v>0.65059205413894516</c:v>
                </c:pt>
                <c:pt idx="1154">
                  <c:v>0.65062767462158644</c:v>
                </c:pt>
                <c:pt idx="1155">
                  <c:v>0.65072267173157539</c:v>
                </c:pt>
                <c:pt idx="1156">
                  <c:v>0.65092383347293903</c:v>
                </c:pt>
                <c:pt idx="1157">
                  <c:v>0.6510242883337839</c:v>
                </c:pt>
                <c:pt idx="1158">
                  <c:v>0.65108542329310737</c:v>
                </c:pt>
                <c:pt idx="1159">
                  <c:v>0.65114463176575021</c:v>
                </c:pt>
                <c:pt idx="1160">
                  <c:v>0.65123693453681408</c:v>
                </c:pt>
                <c:pt idx="1161">
                  <c:v>0.65123974155889652</c:v>
                </c:pt>
                <c:pt idx="1162">
                  <c:v>0.65130551568001227</c:v>
                </c:pt>
                <c:pt idx="1163">
                  <c:v>0.65137305083007202</c:v>
                </c:pt>
                <c:pt idx="1164">
                  <c:v>0.65147575874885078</c:v>
                </c:pt>
                <c:pt idx="1165">
                  <c:v>0.65148967509517797</c:v>
                </c:pt>
                <c:pt idx="1166">
                  <c:v>0.65156217844109743</c:v>
                </c:pt>
                <c:pt idx="1167">
                  <c:v>0.65182317616246832</c:v>
                </c:pt>
                <c:pt idx="1168">
                  <c:v>0.65192934350659704</c:v>
                </c:pt>
                <c:pt idx="1169">
                  <c:v>0.65195168863494868</c:v>
                </c:pt>
                <c:pt idx="1170">
                  <c:v>0.65213048916366301</c:v>
                </c:pt>
                <c:pt idx="1171">
                  <c:v>0.65220427100877176</c:v>
                </c:pt>
                <c:pt idx="1172">
                  <c:v>0.65226567422021842</c:v>
                </c:pt>
                <c:pt idx="1173">
                  <c:v>0.65231580297353564</c:v>
                </c:pt>
                <c:pt idx="1174">
                  <c:v>0.65241463902286678</c:v>
                </c:pt>
                <c:pt idx="1175">
                  <c:v>0.65244534944791122</c:v>
                </c:pt>
                <c:pt idx="1176">
                  <c:v>0.65269143017205233</c:v>
                </c:pt>
                <c:pt idx="1177">
                  <c:v>0.65269640821815555</c:v>
                </c:pt>
                <c:pt idx="1178">
                  <c:v>0.65286217708593508</c:v>
                </c:pt>
                <c:pt idx="1179">
                  <c:v>0.65295327091279465</c:v>
                </c:pt>
                <c:pt idx="1180">
                  <c:v>0.65302173732983726</c:v>
                </c:pt>
                <c:pt idx="1181">
                  <c:v>0.65302622612243766</c:v>
                </c:pt>
                <c:pt idx="1182">
                  <c:v>0.65307830067220107</c:v>
                </c:pt>
                <c:pt idx="1183">
                  <c:v>0.65314171811478772</c:v>
                </c:pt>
                <c:pt idx="1184">
                  <c:v>0.6532313958819822</c:v>
                </c:pt>
                <c:pt idx="1185">
                  <c:v>0.65347800253786148</c:v>
                </c:pt>
                <c:pt idx="1186">
                  <c:v>0.65374135090793772</c:v>
                </c:pt>
                <c:pt idx="1187">
                  <c:v>0.65378537004875248</c:v>
                </c:pt>
                <c:pt idx="1188">
                  <c:v>0.653811869227236</c:v>
                </c:pt>
                <c:pt idx="1189">
                  <c:v>0.65395317787648177</c:v>
                </c:pt>
                <c:pt idx="1190">
                  <c:v>0.65400222235450545</c:v>
                </c:pt>
                <c:pt idx="1191">
                  <c:v>0.65405270166220231</c:v>
                </c:pt>
                <c:pt idx="1192">
                  <c:v>0.65433413018576636</c:v>
                </c:pt>
                <c:pt idx="1193">
                  <c:v>0.65435389692815449</c:v>
                </c:pt>
                <c:pt idx="1194">
                  <c:v>0.65440291384501148</c:v>
                </c:pt>
                <c:pt idx="1195">
                  <c:v>0.65447778262948808</c:v>
                </c:pt>
                <c:pt idx="1196">
                  <c:v>0.65448477562250085</c:v>
                </c:pt>
                <c:pt idx="1197">
                  <c:v>0.65452256570538969</c:v>
                </c:pt>
                <c:pt idx="1198">
                  <c:v>0.65458087350078342</c:v>
                </c:pt>
                <c:pt idx="1199">
                  <c:v>0.65474733596408563</c:v>
                </c:pt>
                <c:pt idx="1200">
                  <c:v>0.65487031290277475</c:v>
                </c:pt>
                <c:pt idx="1201">
                  <c:v>0.6550419973572803</c:v>
                </c:pt>
                <c:pt idx="1202">
                  <c:v>0.65509196074608411</c:v>
                </c:pt>
                <c:pt idx="1203">
                  <c:v>0.65513585363366778</c:v>
                </c:pt>
                <c:pt idx="1204">
                  <c:v>0.65526677164587033</c:v>
                </c:pt>
                <c:pt idx="1205">
                  <c:v>0.65538824108340332</c:v>
                </c:pt>
                <c:pt idx="1206">
                  <c:v>0.65540784952070863</c:v>
                </c:pt>
                <c:pt idx="1207">
                  <c:v>0.65561783706961796</c:v>
                </c:pt>
                <c:pt idx="1208">
                  <c:v>0.65578096285936871</c:v>
                </c:pt>
                <c:pt idx="1209">
                  <c:v>0.65582859330640242</c:v>
                </c:pt>
                <c:pt idx="1210">
                  <c:v>0.65589221302779455</c:v>
                </c:pt>
                <c:pt idx="1211">
                  <c:v>0.65591940541202454</c:v>
                </c:pt>
                <c:pt idx="1212">
                  <c:v>0.65600547581224822</c:v>
                </c:pt>
                <c:pt idx="1213">
                  <c:v>0.65601546756712537</c:v>
                </c:pt>
                <c:pt idx="1214">
                  <c:v>0.65604890854734854</c:v>
                </c:pt>
                <c:pt idx="1215">
                  <c:v>0.65608498843222951</c:v>
                </c:pt>
                <c:pt idx="1216">
                  <c:v>0.6561640929382917</c:v>
                </c:pt>
                <c:pt idx="1217">
                  <c:v>0.65618370542479021</c:v>
                </c:pt>
                <c:pt idx="1218">
                  <c:v>0.65628190001805042</c:v>
                </c:pt>
                <c:pt idx="1219">
                  <c:v>0.65630469015071757</c:v>
                </c:pt>
                <c:pt idx="1220">
                  <c:v>0.65641397746233232</c:v>
                </c:pt>
                <c:pt idx="1221">
                  <c:v>0.65642243328810568</c:v>
                </c:pt>
                <c:pt idx="1222">
                  <c:v>0.65656291823110413</c:v>
                </c:pt>
                <c:pt idx="1223">
                  <c:v>0.65667046509982518</c:v>
                </c:pt>
                <c:pt idx="1224">
                  <c:v>0.65698464150652269</c:v>
                </c:pt>
                <c:pt idx="1225">
                  <c:v>0.65730258955739274</c:v>
                </c:pt>
                <c:pt idx="1226">
                  <c:v>0.65739647281895019</c:v>
                </c:pt>
                <c:pt idx="1227">
                  <c:v>0.65740273361422119</c:v>
                </c:pt>
                <c:pt idx="1228">
                  <c:v>0.6575318850472156</c:v>
                </c:pt>
                <c:pt idx="1229">
                  <c:v>0.65766256254316624</c:v>
                </c:pt>
                <c:pt idx="1230">
                  <c:v>0.65774413363635587</c:v>
                </c:pt>
                <c:pt idx="1231">
                  <c:v>0.65787413809121531</c:v>
                </c:pt>
                <c:pt idx="1232">
                  <c:v>0.65787705157922916</c:v>
                </c:pt>
                <c:pt idx="1233">
                  <c:v>0.65790924531154071</c:v>
                </c:pt>
                <c:pt idx="1234">
                  <c:v>0.65793923744761185</c:v>
                </c:pt>
                <c:pt idx="1235">
                  <c:v>0.65795446122011902</c:v>
                </c:pt>
                <c:pt idx="1236">
                  <c:v>0.65805801704626921</c:v>
                </c:pt>
                <c:pt idx="1237">
                  <c:v>0.65809121564725159</c:v>
                </c:pt>
                <c:pt idx="1238">
                  <c:v>0.65811164119565568</c:v>
                </c:pt>
                <c:pt idx="1239">
                  <c:v>0.6581830432465835</c:v>
                </c:pt>
                <c:pt idx="1240">
                  <c:v>0.65829203602191211</c:v>
                </c:pt>
                <c:pt idx="1241">
                  <c:v>0.65841214048962382</c:v>
                </c:pt>
                <c:pt idx="1242">
                  <c:v>0.6584685931297789</c:v>
                </c:pt>
                <c:pt idx="1243">
                  <c:v>0.65850401671297221</c:v>
                </c:pt>
                <c:pt idx="1244">
                  <c:v>0.65873787964635799</c:v>
                </c:pt>
                <c:pt idx="1245">
                  <c:v>0.65875330500145324</c:v>
                </c:pt>
                <c:pt idx="1246">
                  <c:v>0.65880818899394811</c:v>
                </c:pt>
                <c:pt idx="1247">
                  <c:v>0.65898598645882567</c:v>
                </c:pt>
                <c:pt idx="1248">
                  <c:v>0.65904442350561909</c:v>
                </c:pt>
                <c:pt idx="1249">
                  <c:v>0.65904877574370269</c:v>
                </c:pt>
                <c:pt idx="1250">
                  <c:v>0.65915235388208504</c:v>
                </c:pt>
                <c:pt idx="1251">
                  <c:v>0.65924825611103766</c:v>
                </c:pt>
                <c:pt idx="1252">
                  <c:v>0.65959815159947999</c:v>
                </c:pt>
                <c:pt idx="1253">
                  <c:v>0.65967837259718043</c:v>
                </c:pt>
                <c:pt idx="1254">
                  <c:v>0.65974376477002128</c:v>
                </c:pt>
                <c:pt idx="1255">
                  <c:v>0.65992985853207065</c:v>
                </c:pt>
                <c:pt idx="1256">
                  <c:v>0.65994441712140028</c:v>
                </c:pt>
                <c:pt idx="1257">
                  <c:v>0.65999358322549484</c:v>
                </c:pt>
                <c:pt idx="1258">
                  <c:v>0.66015090389741748</c:v>
                </c:pt>
                <c:pt idx="1259">
                  <c:v>0.66016198580745855</c:v>
                </c:pt>
                <c:pt idx="1260">
                  <c:v>0.66024505331425032</c:v>
                </c:pt>
                <c:pt idx="1261">
                  <c:v>0.66024759868309579</c:v>
                </c:pt>
                <c:pt idx="1262">
                  <c:v>0.6602798742106144</c:v>
                </c:pt>
                <c:pt idx="1263">
                  <c:v>0.66030040246459365</c:v>
                </c:pt>
                <c:pt idx="1264">
                  <c:v>0.66043678821238427</c:v>
                </c:pt>
                <c:pt idx="1265">
                  <c:v>0.66044063170208611</c:v>
                </c:pt>
                <c:pt idx="1266">
                  <c:v>0.66053491863244462</c:v>
                </c:pt>
                <c:pt idx="1267">
                  <c:v>0.66069732588818342</c:v>
                </c:pt>
                <c:pt idx="1268">
                  <c:v>0.66088404626096298</c:v>
                </c:pt>
                <c:pt idx="1269">
                  <c:v>0.66102311322172391</c:v>
                </c:pt>
                <c:pt idx="1270">
                  <c:v>0.66104818382868447</c:v>
                </c:pt>
                <c:pt idx="1271">
                  <c:v>0.66105771518186918</c:v>
                </c:pt>
                <c:pt idx="1272">
                  <c:v>0.66106461675541506</c:v>
                </c:pt>
                <c:pt idx="1273">
                  <c:v>0.66116761274045943</c:v>
                </c:pt>
                <c:pt idx="1274">
                  <c:v>0.66122991045173241</c:v>
                </c:pt>
                <c:pt idx="1275">
                  <c:v>0.66138531385774935</c:v>
                </c:pt>
                <c:pt idx="1276">
                  <c:v>0.66196550975449797</c:v>
                </c:pt>
                <c:pt idx="1277">
                  <c:v>0.66207725235937598</c:v>
                </c:pt>
                <c:pt idx="1278">
                  <c:v>0.66211419250483849</c:v>
                </c:pt>
                <c:pt idx="1279">
                  <c:v>0.66225090233080641</c:v>
                </c:pt>
                <c:pt idx="1280">
                  <c:v>0.66254494658147189</c:v>
                </c:pt>
                <c:pt idx="1281">
                  <c:v>0.66256875318612241</c:v>
                </c:pt>
                <c:pt idx="1282">
                  <c:v>0.66272788621423362</c:v>
                </c:pt>
                <c:pt idx="1283">
                  <c:v>0.66300107613666903</c:v>
                </c:pt>
                <c:pt idx="1284">
                  <c:v>0.66305511005229611</c:v>
                </c:pt>
                <c:pt idx="1285">
                  <c:v>0.66305986711194775</c:v>
                </c:pt>
                <c:pt idx="1286">
                  <c:v>0.6632709255289857</c:v>
                </c:pt>
                <c:pt idx="1287">
                  <c:v>0.66333098662375567</c:v>
                </c:pt>
                <c:pt idx="1288">
                  <c:v>0.66340100230629162</c:v>
                </c:pt>
                <c:pt idx="1289">
                  <c:v>0.66346072111638421</c:v>
                </c:pt>
                <c:pt idx="1290">
                  <c:v>0.66358402595574029</c:v>
                </c:pt>
                <c:pt idx="1291">
                  <c:v>0.66380102960760701</c:v>
                </c:pt>
                <c:pt idx="1292">
                  <c:v>0.66381452970717125</c:v>
                </c:pt>
                <c:pt idx="1293">
                  <c:v>0.66397203113880943</c:v>
                </c:pt>
                <c:pt idx="1294">
                  <c:v>0.66416345442621239</c:v>
                </c:pt>
                <c:pt idx="1295">
                  <c:v>0.664338776514806</c:v>
                </c:pt>
                <c:pt idx="1296">
                  <c:v>0.66434624886637217</c:v>
                </c:pt>
                <c:pt idx="1297">
                  <c:v>0.66435579771186948</c:v>
                </c:pt>
                <c:pt idx="1298">
                  <c:v>0.66439525862882143</c:v>
                </c:pt>
                <c:pt idx="1299">
                  <c:v>0.6644171779141087</c:v>
                </c:pt>
                <c:pt idx="1300">
                  <c:v>0.66443094201582875</c:v>
                </c:pt>
                <c:pt idx="1301">
                  <c:v>0.66450806618102398</c:v>
                </c:pt>
                <c:pt idx="1302">
                  <c:v>0.66454294584966134</c:v>
                </c:pt>
                <c:pt idx="1303">
                  <c:v>0.66458365828642141</c:v>
                </c:pt>
                <c:pt idx="1304">
                  <c:v>0.66467453388430309</c:v>
                </c:pt>
                <c:pt idx="1305">
                  <c:v>0.66469696969697001</c:v>
                </c:pt>
                <c:pt idx="1306">
                  <c:v>0.66476626904069414</c:v>
                </c:pt>
                <c:pt idx="1307">
                  <c:v>0.66478366016508084</c:v>
                </c:pt>
                <c:pt idx="1308">
                  <c:v>0.66502060923930151</c:v>
                </c:pt>
                <c:pt idx="1309">
                  <c:v>0.66529010116122955</c:v>
                </c:pt>
                <c:pt idx="1310">
                  <c:v>0.6652995902263461</c:v>
                </c:pt>
                <c:pt idx="1311">
                  <c:v>0.66531561511079196</c:v>
                </c:pt>
                <c:pt idx="1312">
                  <c:v>0.66575252164961474</c:v>
                </c:pt>
                <c:pt idx="1313">
                  <c:v>0.66600480369283921</c:v>
                </c:pt>
                <c:pt idx="1314">
                  <c:v>0.66606154647453386</c:v>
                </c:pt>
                <c:pt idx="1315">
                  <c:v>0.66622810114758002</c:v>
                </c:pt>
                <c:pt idx="1316">
                  <c:v>0.66631038248711827</c:v>
                </c:pt>
                <c:pt idx="1317">
                  <c:v>0.66637962122061833</c:v>
                </c:pt>
                <c:pt idx="1318">
                  <c:v>0.66651801921595499</c:v>
                </c:pt>
                <c:pt idx="1319">
                  <c:v>0.66687282253490698</c:v>
                </c:pt>
                <c:pt idx="1320">
                  <c:v>0.667011159906443</c:v>
                </c:pt>
                <c:pt idx="1321">
                  <c:v>0.66722784057108897</c:v>
                </c:pt>
                <c:pt idx="1322">
                  <c:v>0.66724926271465657</c:v>
                </c:pt>
                <c:pt idx="1323">
                  <c:v>0.66728045325779017</c:v>
                </c:pt>
                <c:pt idx="1324">
                  <c:v>0.66733452593917719</c:v>
                </c:pt>
                <c:pt idx="1325">
                  <c:v>0.66743648960739044</c:v>
                </c:pt>
                <c:pt idx="1326">
                  <c:v>0.66757142857142737</c:v>
                </c:pt>
                <c:pt idx="1327">
                  <c:v>0.66758375726197328</c:v>
                </c:pt>
                <c:pt idx="1328">
                  <c:v>0.66758993309186021</c:v>
                </c:pt>
                <c:pt idx="1329">
                  <c:v>0.66768945035875304</c:v>
                </c:pt>
                <c:pt idx="1330">
                  <c:v>0.66781837237050268</c:v>
                </c:pt>
                <c:pt idx="1331">
                  <c:v>0.66794063600632936</c:v>
                </c:pt>
                <c:pt idx="1332">
                  <c:v>0.66825961244904053</c:v>
                </c:pt>
                <c:pt idx="1333">
                  <c:v>0.66831483314216367</c:v>
                </c:pt>
                <c:pt idx="1334">
                  <c:v>0.66882397172546704</c:v>
                </c:pt>
                <c:pt idx="1335">
                  <c:v>0.66884041960970186</c:v>
                </c:pt>
                <c:pt idx="1336">
                  <c:v>0.66906552094522043</c:v>
                </c:pt>
                <c:pt idx="1337">
                  <c:v>0.66908480702207151</c:v>
                </c:pt>
                <c:pt idx="1338">
                  <c:v>0.66926323915014541</c:v>
                </c:pt>
                <c:pt idx="1339">
                  <c:v>0.66929165086043418</c:v>
                </c:pt>
                <c:pt idx="1340">
                  <c:v>0.66943347416326549</c:v>
                </c:pt>
                <c:pt idx="1341">
                  <c:v>0.66955386892733992</c:v>
                </c:pt>
                <c:pt idx="1342">
                  <c:v>0.6696013666151629</c:v>
                </c:pt>
                <c:pt idx="1343">
                  <c:v>0.66960169338392816</c:v>
                </c:pt>
                <c:pt idx="1344">
                  <c:v>0.669636203636092</c:v>
                </c:pt>
                <c:pt idx="1345">
                  <c:v>0.66967054263565884</c:v>
                </c:pt>
                <c:pt idx="1346">
                  <c:v>0.66971107908503913</c:v>
                </c:pt>
                <c:pt idx="1347">
                  <c:v>0.66981877264281431</c:v>
                </c:pt>
                <c:pt idx="1348">
                  <c:v>0.66984390567917673</c:v>
                </c:pt>
                <c:pt idx="1349">
                  <c:v>0.66994170013708187</c:v>
                </c:pt>
                <c:pt idx="1350">
                  <c:v>0.67010513707568042</c:v>
                </c:pt>
                <c:pt idx="1351">
                  <c:v>0.67012193561819433</c:v>
                </c:pt>
                <c:pt idx="1352">
                  <c:v>0.6701239571925891</c:v>
                </c:pt>
                <c:pt idx="1353">
                  <c:v>0.67031215540196942</c:v>
                </c:pt>
                <c:pt idx="1354">
                  <c:v>0.67034399983599147</c:v>
                </c:pt>
                <c:pt idx="1355">
                  <c:v>0.67056351724480512</c:v>
                </c:pt>
                <c:pt idx="1356">
                  <c:v>0.67079780956120838</c:v>
                </c:pt>
                <c:pt idx="1357">
                  <c:v>0.67087853728852109</c:v>
                </c:pt>
                <c:pt idx="1358">
                  <c:v>0.67092282717282692</c:v>
                </c:pt>
                <c:pt idx="1359">
                  <c:v>0.6709570898186491</c:v>
                </c:pt>
                <c:pt idx="1360">
                  <c:v>0.6711356106651718</c:v>
                </c:pt>
                <c:pt idx="1361">
                  <c:v>0.67123198258110883</c:v>
                </c:pt>
                <c:pt idx="1362">
                  <c:v>0.67135897283245016</c:v>
                </c:pt>
                <c:pt idx="1363">
                  <c:v>0.67162358582453019</c:v>
                </c:pt>
                <c:pt idx="1364">
                  <c:v>0.67179491862494267</c:v>
                </c:pt>
                <c:pt idx="1365">
                  <c:v>0.67182146854192815</c:v>
                </c:pt>
                <c:pt idx="1366">
                  <c:v>0.67187304227541</c:v>
                </c:pt>
                <c:pt idx="1367">
                  <c:v>0.67197125256673429</c:v>
                </c:pt>
                <c:pt idx="1368">
                  <c:v>0.67199289835774634</c:v>
                </c:pt>
                <c:pt idx="1369">
                  <c:v>0.6721023582948259</c:v>
                </c:pt>
                <c:pt idx="1370">
                  <c:v>0.67226854762494004</c:v>
                </c:pt>
                <c:pt idx="1371">
                  <c:v>0.67228438550444358</c:v>
                </c:pt>
                <c:pt idx="1372">
                  <c:v>0.67229944677925002</c:v>
                </c:pt>
                <c:pt idx="1373">
                  <c:v>0.67239263213449285</c:v>
                </c:pt>
                <c:pt idx="1374">
                  <c:v>0.67252845352909063</c:v>
                </c:pt>
                <c:pt idx="1375">
                  <c:v>0.67257764970082212</c:v>
                </c:pt>
                <c:pt idx="1376">
                  <c:v>0.67258812137558233</c:v>
                </c:pt>
                <c:pt idx="1377">
                  <c:v>0.67262814188057285</c:v>
                </c:pt>
                <c:pt idx="1378">
                  <c:v>0.67271990898540057</c:v>
                </c:pt>
                <c:pt idx="1379">
                  <c:v>0.67289430369076864</c:v>
                </c:pt>
                <c:pt idx="1380">
                  <c:v>0.67295942770395234</c:v>
                </c:pt>
                <c:pt idx="1381">
                  <c:v>0.6730173968697275</c:v>
                </c:pt>
                <c:pt idx="1382">
                  <c:v>0.67302138089431907</c:v>
                </c:pt>
                <c:pt idx="1383">
                  <c:v>0.6731339812538244</c:v>
                </c:pt>
                <c:pt idx="1384">
                  <c:v>0.67359792835665311</c:v>
                </c:pt>
                <c:pt idx="1385">
                  <c:v>0.673743097936645</c:v>
                </c:pt>
                <c:pt idx="1386">
                  <c:v>0.6737521554330651</c:v>
                </c:pt>
                <c:pt idx="1387">
                  <c:v>0.67388316930473136</c:v>
                </c:pt>
                <c:pt idx="1388">
                  <c:v>0.67404743485200203</c:v>
                </c:pt>
                <c:pt idx="1389">
                  <c:v>0.67418854543074602</c:v>
                </c:pt>
                <c:pt idx="1390">
                  <c:v>0.67421241513043439</c:v>
                </c:pt>
                <c:pt idx="1391">
                  <c:v>0.67421823748086596</c:v>
                </c:pt>
                <c:pt idx="1392">
                  <c:v>0.67430280242962015</c:v>
                </c:pt>
                <c:pt idx="1393">
                  <c:v>0.67436887660844158</c:v>
                </c:pt>
                <c:pt idx="1394">
                  <c:v>0.6744289996211319</c:v>
                </c:pt>
                <c:pt idx="1395">
                  <c:v>0.67444879048217787</c:v>
                </c:pt>
                <c:pt idx="1396">
                  <c:v>0.67446541171709773</c:v>
                </c:pt>
                <c:pt idx="1397">
                  <c:v>0.67457181297334845</c:v>
                </c:pt>
                <c:pt idx="1398">
                  <c:v>0.67459818657019588</c:v>
                </c:pt>
                <c:pt idx="1399">
                  <c:v>0.67487295313382278</c:v>
                </c:pt>
                <c:pt idx="1400">
                  <c:v>0.67489562911557643</c:v>
                </c:pt>
                <c:pt idx="1401">
                  <c:v>0.67495737904659825</c:v>
                </c:pt>
                <c:pt idx="1402">
                  <c:v>0.67506326201978373</c:v>
                </c:pt>
                <c:pt idx="1403">
                  <c:v>0.67513663548499403</c:v>
                </c:pt>
                <c:pt idx="1404">
                  <c:v>0.67518836162972073</c:v>
                </c:pt>
                <c:pt idx="1405">
                  <c:v>0.67523860021208959</c:v>
                </c:pt>
                <c:pt idx="1406">
                  <c:v>0.67524698919770176</c:v>
                </c:pt>
                <c:pt idx="1407">
                  <c:v>0.67530266438193431</c:v>
                </c:pt>
                <c:pt idx="1408">
                  <c:v>0.67536627072511024</c:v>
                </c:pt>
                <c:pt idx="1409">
                  <c:v>0.67557360022660728</c:v>
                </c:pt>
                <c:pt idx="1410">
                  <c:v>0.67567398694743919</c:v>
                </c:pt>
                <c:pt idx="1411">
                  <c:v>0.67575171675311163</c:v>
                </c:pt>
                <c:pt idx="1412">
                  <c:v>0.67579273145282492</c:v>
                </c:pt>
                <c:pt idx="1413">
                  <c:v>0.67586213914299997</c:v>
                </c:pt>
                <c:pt idx="1414">
                  <c:v>0.67597642204538777</c:v>
                </c:pt>
                <c:pt idx="1415">
                  <c:v>0.67602372368335362</c:v>
                </c:pt>
                <c:pt idx="1416">
                  <c:v>0.67610622545856014</c:v>
                </c:pt>
                <c:pt idx="1417">
                  <c:v>0.67615251429757739</c:v>
                </c:pt>
                <c:pt idx="1418">
                  <c:v>0.67635909736269451</c:v>
                </c:pt>
                <c:pt idx="1419">
                  <c:v>0.67638318670576736</c:v>
                </c:pt>
                <c:pt idx="1420">
                  <c:v>0.67645702037850697</c:v>
                </c:pt>
                <c:pt idx="1421">
                  <c:v>0.67652772040241005</c:v>
                </c:pt>
                <c:pt idx="1422">
                  <c:v>0.67673014077249272</c:v>
                </c:pt>
                <c:pt idx="1423">
                  <c:v>0.67691676916768961</c:v>
                </c:pt>
                <c:pt idx="1424">
                  <c:v>0.67706338947325384</c:v>
                </c:pt>
                <c:pt idx="1425">
                  <c:v>0.67709012651623846</c:v>
                </c:pt>
                <c:pt idx="1426">
                  <c:v>0.67709282015407612</c:v>
                </c:pt>
                <c:pt idx="1427">
                  <c:v>0.67725194330132599</c:v>
                </c:pt>
                <c:pt idx="1428">
                  <c:v>0.67732531140684682</c:v>
                </c:pt>
                <c:pt idx="1429">
                  <c:v>0.67741100780991381</c:v>
                </c:pt>
                <c:pt idx="1430">
                  <c:v>0.67744200984743663</c:v>
                </c:pt>
                <c:pt idx="1431">
                  <c:v>0.67748206448083359</c:v>
                </c:pt>
                <c:pt idx="1432">
                  <c:v>0.67755093069406436</c:v>
                </c:pt>
                <c:pt idx="1433">
                  <c:v>0.67756824664521453</c:v>
                </c:pt>
                <c:pt idx="1434">
                  <c:v>0.67756849315068568</c:v>
                </c:pt>
                <c:pt idx="1435">
                  <c:v>0.6777793262208176</c:v>
                </c:pt>
                <c:pt idx="1436">
                  <c:v>0.6778685021481442</c:v>
                </c:pt>
                <c:pt idx="1437">
                  <c:v>0.67790032387977717</c:v>
                </c:pt>
                <c:pt idx="1438">
                  <c:v>0.67800665470301225</c:v>
                </c:pt>
                <c:pt idx="1439">
                  <c:v>0.67805036834275367</c:v>
                </c:pt>
                <c:pt idx="1440">
                  <c:v>0.67812281639777305</c:v>
                </c:pt>
                <c:pt idx="1441">
                  <c:v>0.67821173076591923</c:v>
                </c:pt>
                <c:pt idx="1442">
                  <c:v>0.67828367515350851</c:v>
                </c:pt>
                <c:pt idx="1443">
                  <c:v>0.67835211146469332</c:v>
                </c:pt>
                <c:pt idx="1444">
                  <c:v>0.67845976705422717</c:v>
                </c:pt>
                <c:pt idx="1445">
                  <c:v>0.67849809309378262</c:v>
                </c:pt>
                <c:pt idx="1446">
                  <c:v>0.67849852101820585</c:v>
                </c:pt>
                <c:pt idx="1447">
                  <c:v>0.67851479778602675</c:v>
                </c:pt>
                <c:pt idx="1448">
                  <c:v>0.67852072468627722</c:v>
                </c:pt>
                <c:pt idx="1449">
                  <c:v>0.67852750104683834</c:v>
                </c:pt>
                <c:pt idx="1450">
                  <c:v>0.67856460862412205</c:v>
                </c:pt>
                <c:pt idx="1451">
                  <c:v>0.67865414500029875</c:v>
                </c:pt>
                <c:pt idx="1452">
                  <c:v>0.67870479411379869</c:v>
                </c:pt>
                <c:pt idx="1453">
                  <c:v>0.67872553664180524</c:v>
                </c:pt>
                <c:pt idx="1454">
                  <c:v>0.67876425932691931</c:v>
                </c:pt>
                <c:pt idx="1455">
                  <c:v>0.67879351718293535</c:v>
                </c:pt>
                <c:pt idx="1456">
                  <c:v>0.67880114059013086</c:v>
                </c:pt>
                <c:pt idx="1457">
                  <c:v>0.67887817023036556</c:v>
                </c:pt>
                <c:pt idx="1458">
                  <c:v>0.67899035108114503</c:v>
                </c:pt>
                <c:pt idx="1459">
                  <c:v>0.67924641148325293</c:v>
                </c:pt>
                <c:pt idx="1460">
                  <c:v>0.67936531401680422</c:v>
                </c:pt>
                <c:pt idx="1461">
                  <c:v>0.67945634453795178</c:v>
                </c:pt>
                <c:pt idx="1462">
                  <c:v>0.67957137919115118</c:v>
                </c:pt>
                <c:pt idx="1463">
                  <c:v>0.67971240950986955</c:v>
                </c:pt>
                <c:pt idx="1464">
                  <c:v>0.67978551193848613</c:v>
                </c:pt>
                <c:pt idx="1465">
                  <c:v>0.68001895217751485</c:v>
                </c:pt>
                <c:pt idx="1466">
                  <c:v>0.68010226180263789</c:v>
                </c:pt>
                <c:pt idx="1467">
                  <c:v>0.68011228422214687</c:v>
                </c:pt>
                <c:pt idx="1468">
                  <c:v>0.68023460634090116</c:v>
                </c:pt>
                <c:pt idx="1469">
                  <c:v>0.680337859510318</c:v>
                </c:pt>
                <c:pt idx="1470">
                  <c:v>0.68036637566586378</c:v>
                </c:pt>
                <c:pt idx="1471">
                  <c:v>0.68045872508380856</c:v>
                </c:pt>
                <c:pt idx="1472">
                  <c:v>0.68057896015839392</c:v>
                </c:pt>
                <c:pt idx="1473">
                  <c:v>0.68080929106168342</c:v>
                </c:pt>
                <c:pt idx="1474">
                  <c:v>0.68083045551535804</c:v>
                </c:pt>
                <c:pt idx="1475">
                  <c:v>0.68085973190848903</c:v>
                </c:pt>
                <c:pt idx="1476">
                  <c:v>0.68095250208807689</c:v>
                </c:pt>
                <c:pt idx="1477">
                  <c:v>0.68096502039133711</c:v>
                </c:pt>
                <c:pt idx="1478">
                  <c:v>0.68096514745308345</c:v>
                </c:pt>
                <c:pt idx="1479">
                  <c:v>0.6810583568811085</c:v>
                </c:pt>
                <c:pt idx="1480">
                  <c:v>0.68107087742140549</c:v>
                </c:pt>
                <c:pt idx="1481">
                  <c:v>0.68118262771441984</c:v>
                </c:pt>
                <c:pt idx="1482">
                  <c:v>0.68130055948398383</c:v>
                </c:pt>
                <c:pt idx="1483">
                  <c:v>0.68147773407857481</c:v>
                </c:pt>
                <c:pt idx="1484">
                  <c:v>0.68153477910502003</c:v>
                </c:pt>
                <c:pt idx="1485">
                  <c:v>0.68159628617642509</c:v>
                </c:pt>
                <c:pt idx="1486">
                  <c:v>0.68171432040308366</c:v>
                </c:pt>
                <c:pt idx="1487">
                  <c:v>0.68177591470994914</c:v>
                </c:pt>
                <c:pt idx="1488">
                  <c:v>0.68199230267734601</c:v>
                </c:pt>
                <c:pt idx="1489">
                  <c:v>0.68207181889149071</c:v>
                </c:pt>
                <c:pt idx="1490">
                  <c:v>0.68216632606176386</c:v>
                </c:pt>
                <c:pt idx="1491">
                  <c:v>0.6821758272581403</c:v>
                </c:pt>
                <c:pt idx="1492">
                  <c:v>0.68249168150220452</c:v>
                </c:pt>
                <c:pt idx="1493">
                  <c:v>0.68249468462083707</c:v>
                </c:pt>
                <c:pt idx="1494">
                  <c:v>0.682597333290063</c:v>
                </c:pt>
                <c:pt idx="1495">
                  <c:v>0.68262088958358014</c:v>
                </c:pt>
                <c:pt idx="1496">
                  <c:v>0.68270740012743836</c:v>
                </c:pt>
                <c:pt idx="1497">
                  <c:v>0.68271936178730053</c:v>
                </c:pt>
                <c:pt idx="1498">
                  <c:v>0.68283305809291006</c:v>
                </c:pt>
                <c:pt idx="1499">
                  <c:v>0.68296004564109158</c:v>
                </c:pt>
                <c:pt idx="1500">
                  <c:v>0.68330300126119004</c:v>
                </c:pt>
                <c:pt idx="1501">
                  <c:v>0.68342203740637575</c:v>
                </c:pt>
                <c:pt idx="1502">
                  <c:v>0.68355442283713619</c:v>
                </c:pt>
                <c:pt idx="1503">
                  <c:v>0.68356681504756889</c:v>
                </c:pt>
                <c:pt idx="1504">
                  <c:v>0.68360703449870686</c:v>
                </c:pt>
                <c:pt idx="1505">
                  <c:v>0.68372097515743846</c:v>
                </c:pt>
                <c:pt idx="1506">
                  <c:v>0.68374655647382898</c:v>
                </c:pt>
                <c:pt idx="1507">
                  <c:v>0.68376356327981547</c:v>
                </c:pt>
                <c:pt idx="1508">
                  <c:v>0.68381943143934854</c:v>
                </c:pt>
                <c:pt idx="1509">
                  <c:v>0.68395573162434453</c:v>
                </c:pt>
                <c:pt idx="1510">
                  <c:v>0.68396050161045696</c:v>
                </c:pt>
                <c:pt idx="1511">
                  <c:v>0.68408271795631426</c:v>
                </c:pt>
                <c:pt idx="1512">
                  <c:v>0.68409437580654364</c:v>
                </c:pt>
                <c:pt idx="1513">
                  <c:v>0.68409494043594177</c:v>
                </c:pt>
                <c:pt idx="1514">
                  <c:v>0.68444767305619358</c:v>
                </c:pt>
                <c:pt idx="1515">
                  <c:v>0.68445240622788406</c:v>
                </c:pt>
                <c:pt idx="1516">
                  <c:v>0.68462891688300709</c:v>
                </c:pt>
                <c:pt idx="1517">
                  <c:v>0.68475600135241765</c:v>
                </c:pt>
                <c:pt idx="1518">
                  <c:v>0.6848381336369681</c:v>
                </c:pt>
                <c:pt idx="1519">
                  <c:v>0.68486673438320667</c:v>
                </c:pt>
                <c:pt idx="1520">
                  <c:v>0.68489021408575124</c:v>
                </c:pt>
                <c:pt idx="1521">
                  <c:v>0.68491158409898878</c:v>
                </c:pt>
                <c:pt idx="1522">
                  <c:v>0.68491297905504411</c:v>
                </c:pt>
                <c:pt idx="1523">
                  <c:v>0.68493268158819931</c:v>
                </c:pt>
                <c:pt idx="1524">
                  <c:v>0.68517303301862265</c:v>
                </c:pt>
                <c:pt idx="1525">
                  <c:v>0.68519376439421142</c:v>
                </c:pt>
                <c:pt idx="1526">
                  <c:v>0.68539637901044947</c:v>
                </c:pt>
                <c:pt idx="1527">
                  <c:v>0.68542442528079073</c:v>
                </c:pt>
                <c:pt idx="1528">
                  <c:v>0.68545215268165027</c:v>
                </c:pt>
                <c:pt idx="1529">
                  <c:v>0.68547503016920441</c:v>
                </c:pt>
                <c:pt idx="1530">
                  <c:v>0.68555291439825317</c:v>
                </c:pt>
                <c:pt idx="1531">
                  <c:v>0.68560385119421829</c:v>
                </c:pt>
                <c:pt idx="1532">
                  <c:v>0.68568056142842682</c:v>
                </c:pt>
                <c:pt idx="1533">
                  <c:v>0.68575762629930515</c:v>
                </c:pt>
                <c:pt idx="1534">
                  <c:v>0.68600294562400599</c:v>
                </c:pt>
                <c:pt idx="1535">
                  <c:v>0.68611738011981083</c:v>
                </c:pt>
                <c:pt idx="1536">
                  <c:v>0.68625414211163427</c:v>
                </c:pt>
                <c:pt idx="1537">
                  <c:v>0.6865608878690781</c:v>
                </c:pt>
                <c:pt idx="1538">
                  <c:v>0.68673684210526331</c:v>
                </c:pt>
                <c:pt idx="1539">
                  <c:v>0.68680319810043189</c:v>
                </c:pt>
                <c:pt idx="1540">
                  <c:v>0.68695269262717507</c:v>
                </c:pt>
                <c:pt idx="1541">
                  <c:v>0.68704714110111564</c:v>
                </c:pt>
                <c:pt idx="1542">
                  <c:v>0.68713966070392662</c:v>
                </c:pt>
                <c:pt idx="1543">
                  <c:v>0.6872552493500762</c:v>
                </c:pt>
                <c:pt idx="1544">
                  <c:v>0.68730436877388612</c:v>
                </c:pt>
                <c:pt idx="1545">
                  <c:v>0.68741946497208084</c:v>
                </c:pt>
                <c:pt idx="1546">
                  <c:v>0.68757674250631973</c:v>
                </c:pt>
                <c:pt idx="1547">
                  <c:v>0.68783274938829686</c:v>
                </c:pt>
                <c:pt idx="1548">
                  <c:v>0.6878512760012413</c:v>
                </c:pt>
                <c:pt idx="1549">
                  <c:v>0.68793305770940039</c:v>
                </c:pt>
                <c:pt idx="1550">
                  <c:v>0.68816741278253535</c:v>
                </c:pt>
                <c:pt idx="1551">
                  <c:v>0.68821039099056591</c:v>
                </c:pt>
                <c:pt idx="1552">
                  <c:v>0.68833371886806904</c:v>
                </c:pt>
                <c:pt idx="1553">
                  <c:v>0.68850861300111632</c:v>
                </c:pt>
                <c:pt idx="1554">
                  <c:v>0.68858165057530785</c:v>
                </c:pt>
                <c:pt idx="1555">
                  <c:v>0.68871222934023779</c:v>
                </c:pt>
                <c:pt idx="1556">
                  <c:v>0.68880024906778747</c:v>
                </c:pt>
                <c:pt idx="1557">
                  <c:v>0.68896551724137989</c:v>
                </c:pt>
                <c:pt idx="1558">
                  <c:v>0.68897500206925588</c:v>
                </c:pt>
                <c:pt idx="1559">
                  <c:v>0.68906160328102839</c:v>
                </c:pt>
                <c:pt idx="1560">
                  <c:v>0.68920358078092314</c:v>
                </c:pt>
                <c:pt idx="1561">
                  <c:v>0.68922079433500194</c:v>
                </c:pt>
                <c:pt idx="1562">
                  <c:v>0.6892284346445261</c:v>
                </c:pt>
                <c:pt idx="1563">
                  <c:v>0.68960832415539774</c:v>
                </c:pt>
                <c:pt idx="1564">
                  <c:v>0.68989857956660772</c:v>
                </c:pt>
                <c:pt idx="1565">
                  <c:v>0.68990800264609453</c:v>
                </c:pt>
                <c:pt idx="1566">
                  <c:v>0.68995888885249135</c:v>
                </c:pt>
                <c:pt idx="1567">
                  <c:v>0.69016155482271169</c:v>
                </c:pt>
                <c:pt idx="1568">
                  <c:v>0.69023533012970617</c:v>
                </c:pt>
                <c:pt idx="1569">
                  <c:v>0.69041672829981393</c:v>
                </c:pt>
                <c:pt idx="1570">
                  <c:v>0.69043106475252003</c:v>
                </c:pt>
                <c:pt idx="1571">
                  <c:v>0.69046171660153433</c:v>
                </c:pt>
                <c:pt idx="1572">
                  <c:v>0.69046992168720789</c:v>
                </c:pt>
                <c:pt idx="1573">
                  <c:v>0.69064184596882461</c:v>
                </c:pt>
                <c:pt idx="1574">
                  <c:v>0.69071756463648648</c:v>
                </c:pt>
                <c:pt idx="1575">
                  <c:v>0.69080593239229315</c:v>
                </c:pt>
                <c:pt idx="1576">
                  <c:v>0.6908238025259299</c:v>
                </c:pt>
                <c:pt idx="1577">
                  <c:v>0.6908399103585966</c:v>
                </c:pt>
                <c:pt idx="1578">
                  <c:v>0.69090832622817266</c:v>
                </c:pt>
                <c:pt idx="1579">
                  <c:v>0.69095814952575219</c:v>
                </c:pt>
                <c:pt idx="1580">
                  <c:v>0.69112156280297976</c:v>
                </c:pt>
                <c:pt idx="1581">
                  <c:v>0.69124057214492618</c:v>
                </c:pt>
                <c:pt idx="1582">
                  <c:v>0.69133658330758951</c:v>
                </c:pt>
                <c:pt idx="1583">
                  <c:v>0.69153577812174583</c:v>
                </c:pt>
                <c:pt idx="1584">
                  <c:v>0.69156701956927669</c:v>
                </c:pt>
                <c:pt idx="1585">
                  <c:v>0.69174757642441065</c:v>
                </c:pt>
                <c:pt idx="1586">
                  <c:v>0.69187172068309222</c:v>
                </c:pt>
                <c:pt idx="1587">
                  <c:v>0.69192243956292065</c:v>
                </c:pt>
                <c:pt idx="1588">
                  <c:v>0.69192659033175397</c:v>
                </c:pt>
                <c:pt idx="1589">
                  <c:v>0.69232884629726232</c:v>
                </c:pt>
                <c:pt idx="1590">
                  <c:v>0.69255750565084351</c:v>
                </c:pt>
                <c:pt idx="1591">
                  <c:v>0.69256632519043859</c:v>
                </c:pt>
                <c:pt idx="1592">
                  <c:v>0.69279601009790093</c:v>
                </c:pt>
                <c:pt idx="1593">
                  <c:v>0.69280170159349974</c:v>
                </c:pt>
                <c:pt idx="1594">
                  <c:v>0.69290078624772378</c:v>
                </c:pt>
                <c:pt idx="1595">
                  <c:v>0.69290880909325703</c:v>
                </c:pt>
                <c:pt idx="1596">
                  <c:v>0.69299910950958588</c:v>
                </c:pt>
                <c:pt idx="1597">
                  <c:v>0.69326567700460917</c:v>
                </c:pt>
                <c:pt idx="1598">
                  <c:v>0.69336110446003352</c:v>
                </c:pt>
                <c:pt idx="1599">
                  <c:v>0.69338292197302753</c:v>
                </c:pt>
                <c:pt idx="1600">
                  <c:v>0.69342957383329951</c:v>
                </c:pt>
                <c:pt idx="1601">
                  <c:v>0.69352451433857587</c:v>
                </c:pt>
                <c:pt idx="1602">
                  <c:v>0.69360371267150911</c:v>
                </c:pt>
                <c:pt idx="1603">
                  <c:v>0.693818511397857</c:v>
                </c:pt>
                <c:pt idx="1604">
                  <c:v>0.69383662420469983</c:v>
                </c:pt>
                <c:pt idx="1605">
                  <c:v>0.69395675712027882</c:v>
                </c:pt>
                <c:pt idx="1606">
                  <c:v>0.69395789953486386</c:v>
                </c:pt>
                <c:pt idx="1607">
                  <c:v>0.69396872673119969</c:v>
                </c:pt>
                <c:pt idx="1608">
                  <c:v>0.69397110159203357</c:v>
                </c:pt>
                <c:pt idx="1609">
                  <c:v>0.69403990709252494</c:v>
                </c:pt>
                <c:pt idx="1610">
                  <c:v>0.69405196985328954</c:v>
                </c:pt>
                <c:pt idx="1611">
                  <c:v>0.69414740555091425</c:v>
                </c:pt>
                <c:pt idx="1612">
                  <c:v>0.6941940848311392</c:v>
                </c:pt>
                <c:pt idx="1613">
                  <c:v>0.69422162447764046</c:v>
                </c:pt>
                <c:pt idx="1614">
                  <c:v>0.69423573842178488</c:v>
                </c:pt>
                <c:pt idx="1615">
                  <c:v>0.69433342550470856</c:v>
                </c:pt>
                <c:pt idx="1616">
                  <c:v>0.69436461679522488</c:v>
                </c:pt>
                <c:pt idx="1617">
                  <c:v>0.69438740426339107</c:v>
                </c:pt>
                <c:pt idx="1618">
                  <c:v>0.69440492062247328</c:v>
                </c:pt>
                <c:pt idx="1619">
                  <c:v>0.69443558265988592</c:v>
                </c:pt>
                <c:pt idx="1620">
                  <c:v>0.69445477806409528</c:v>
                </c:pt>
                <c:pt idx="1621">
                  <c:v>0.69450765556960226</c:v>
                </c:pt>
                <c:pt idx="1622">
                  <c:v>0.69457594934658029</c:v>
                </c:pt>
                <c:pt idx="1623">
                  <c:v>0.69462328779730065</c:v>
                </c:pt>
                <c:pt idx="1624">
                  <c:v>0.69463317407743941</c:v>
                </c:pt>
                <c:pt idx="1625">
                  <c:v>0.6946401250642702</c:v>
                </c:pt>
                <c:pt idx="1626">
                  <c:v>0.69469337495154238</c:v>
                </c:pt>
                <c:pt idx="1627">
                  <c:v>0.69474493417134353</c:v>
                </c:pt>
                <c:pt idx="1628">
                  <c:v>0.69475522076560758</c:v>
                </c:pt>
                <c:pt idx="1629">
                  <c:v>0.69489284301807419</c:v>
                </c:pt>
                <c:pt idx="1630">
                  <c:v>0.694897902614803</c:v>
                </c:pt>
                <c:pt idx="1631">
                  <c:v>0.69510462053861555</c:v>
                </c:pt>
                <c:pt idx="1632">
                  <c:v>0.69521806457577362</c:v>
                </c:pt>
                <c:pt idx="1633">
                  <c:v>0.69529790660225521</c:v>
                </c:pt>
                <c:pt idx="1634">
                  <c:v>0.69538367799237333</c:v>
                </c:pt>
                <c:pt idx="1635">
                  <c:v>0.69574624837274524</c:v>
                </c:pt>
                <c:pt idx="1636">
                  <c:v>0.69594125822089492</c:v>
                </c:pt>
                <c:pt idx="1637">
                  <c:v>0.69598770849253533</c:v>
                </c:pt>
                <c:pt idx="1638">
                  <c:v>0.69608592290711435</c:v>
                </c:pt>
                <c:pt idx="1639">
                  <c:v>0.69636457548247188</c:v>
                </c:pt>
                <c:pt idx="1640">
                  <c:v>0.69640114026628863</c:v>
                </c:pt>
                <c:pt idx="1641">
                  <c:v>0.69644417036984374</c:v>
                </c:pt>
                <c:pt idx="1642">
                  <c:v>0.69651039787225943</c:v>
                </c:pt>
                <c:pt idx="1643">
                  <c:v>0.69664127019160205</c:v>
                </c:pt>
                <c:pt idx="1644">
                  <c:v>0.69668636522685745</c:v>
                </c:pt>
                <c:pt idx="1645">
                  <c:v>0.69674289674289691</c:v>
                </c:pt>
                <c:pt idx="1646">
                  <c:v>0.69674901867590433</c:v>
                </c:pt>
                <c:pt idx="1647">
                  <c:v>0.69675261658544818</c:v>
                </c:pt>
                <c:pt idx="1648">
                  <c:v>0.69678022874617485</c:v>
                </c:pt>
                <c:pt idx="1649">
                  <c:v>0.69678808280933846</c:v>
                </c:pt>
                <c:pt idx="1650">
                  <c:v>0.69715097584685559</c:v>
                </c:pt>
                <c:pt idx="1651">
                  <c:v>0.69722866931688621</c:v>
                </c:pt>
                <c:pt idx="1652">
                  <c:v>0.69728453364816956</c:v>
                </c:pt>
                <c:pt idx="1653">
                  <c:v>0.69760499522471708</c:v>
                </c:pt>
                <c:pt idx="1654">
                  <c:v>0.69764911782791694</c:v>
                </c:pt>
                <c:pt idx="1655">
                  <c:v>0.6977644014126182</c:v>
                </c:pt>
                <c:pt idx="1656">
                  <c:v>0.69792808020407748</c:v>
                </c:pt>
                <c:pt idx="1657">
                  <c:v>0.69798579396793736</c:v>
                </c:pt>
                <c:pt idx="1658">
                  <c:v>0.69806582965727815</c:v>
                </c:pt>
                <c:pt idx="1659">
                  <c:v>0.69812195646185804</c:v>
                </c:pt>
                <c:pt idx="1660">
                  <c:v>0.69813818265628214</c:v>
                </c:pt>
                <c:pt idx="1661">
                  <c:v>0.69820041887095263</c:v>
                </c:pt>
                <c:pt idx="1662">
                  <c:v>0.69836291078618873</c:v>
                </c:pt>
                <c:pt idx="1663">
                  <c:v>0.69837007925692285</c:v>
                </c:pt>
                <c:pt idx="1664">
                  <c:v>0.69840982286634457</c:v>
                </c:pt>
                <c:pt idx="1665">
                  <c:v>0.69843629856421896</c:v>
                </c:pt>
                <c:pt idx="1666">
                  <c:v>0.6984412091055443</c:v>
                </c:pt>
                <c:pt idx="1667">
                  <c:v>0.69848876129089676</c:v>
                </c:pt>
                <c:pt idx="1668">
                  <c:v>0.69851653513244649</c:v>
                </c:pt>
                <c:pt idx="1669">
                  <c:v>0.69854701147652443</c:v>
                </c:pt>
                <c:pt idx="1670">
                  <c:v>0.69857162153035657</c:v>
                </c:pt>
                <c:pt idx="1671">
                  <c:v>0.6987198238699347</c:v>
                </c:pt>
                <c:pt idx="1672">
                  <c:v>0.69872060791889246</c:v>
                </c:pt>
                <c:pt idx="1673">
                  <c:v>0.69885777994494469</c:v>
                </c:pt>
                <c:pt idx="1674">
                  <c:v>0.69896433596890939</c:v>
                </c:pt>
                <c:pt idx="1675">
                  <c:v>0.69920832701518587</c:v>
                </c:pt>
                <c:pt idx="1676">
                  <c:v>0.69922288904271324</c:v>
                </c:pt>
                <c:pt idx="1677">
                  <c:v>0.69971473328386546</c:v>
                </c:pt>
                <c:pt idx="1678">
                  <c:v>0.69975007372051812</c:v>
                </c:pt>
                <c:pt idx="1679">
                  <c:v>0.69982907548148854</c:v>
                </c:pt>
                <c:pt idx="1680">
                  <c:v>0.69986864593740639</c:v>
                </c:pt>
                <c:pt idx="1681">
                  <c:v>0.70000260009710913</c:v>
                </c:pt>
                <c:pt idx="1682">
                  <c:v>0.7002728469056626</c:v>
                </c:pt>
                <c:pt idx="1683">
                  <c:v>0.70050943888153194</c:v>
                </c:pt>
                <c:pt idx="1684">
                  <c:v>0.70056626952932244</c:v>
                </c:pt>
                <c:pt idx="1685">
                  <c:v>0.70057688293784048</c:v>
                </c:pt>
                <c:pt idx="1686">
                  <c:v>0.70066835693578033</c:v>
                </c:pt>
                <c:pt idx="1687">
                  <c:v>0.70075113767202124</c:v>
                </c:pt>
                <c:pt idx="1688">
                  <c:v>0.70102514506769753</c:v>
                </c:pt>
                <c:pt idx="1689">
                  <c:v>0.701062469437016</c:v>
                </c:pt>
                <c:pt idx="1690">
                  <c:v>0.70112415340766066</c:v>
                </c:pt>
                <c:pt idx="1691">
                  <c:v>0.70117699311570125</c:v>
                </c:pt>
                <c:pt idx="1692">
                  <c:v>0.70123254288124437</c:v>
                </c:pt>
                <c:pt idx="1693">
                  <c:v>0.70130058388375427</c:v>
                </c:pt>
                <c:pt idx="1694">
                  <c:v>0.70132165983692474</c:v>
                </c:pt>
                <c:pt idx="1695">
                  <c:v>0.70132400514839588</c:v>
                </c:pt>
                <c:pt idx="1696">
                  <c:v>0.70132747206401769</c:v>
                </c:pt>
                <c:pt idx="1697">
                  <c:v>0.70133404621666917</c:v>
                </c:pt>
                <c:pt idx="1698">
                  <c:v>0.70148964543600512</c:v>
                </c:pt>
                <c:pt idx="1699">
                  <c:v>0.701504543423209</c:v>
                </c:pt>
                <c:pt idx="1700">
                  <c:v>0.70165886507349851</c:v>
                </c:pt>
                <c:pt idx="1701">
                  <c:v>0.70206900788211757</c:v>
                </c:pt>
                <c:pt idx="1702">
                  <c:v>0.70213607594936767</c:v>
                </c:pt>
                <c:pt idx="1703">
                  <c:v>0.70218066635086562</c:v>
                </c:pt>
                <c:pt idx="1704">
                  <c:v>0.70252424844870154</c:v>
                </c:pt>
                <c:pt idx="1705">
                  <c:v>0.70265056216764243</c:v>
                </c:pt>
                <c:pt idx="1706">
                  <c:v>0.70265401540153971</c:v>
                </c:pt>
                <c:pt idx="1707">
                  <c:v>0.70287026406429365</c:v>
                </c:pt>
                <c:pt idx="1708">
                  <c:v>0.70303246455530755</c:v>
                </c:pt>
                <c:pt idx="1709">
                  <c:v>0.70322491392031372</c:v>
                </c:pt>
                <c:pt idx="1710">
                  <c:v>0.70344506903667992</c:v>
                </c:pt>
                <c:pt idx="1711">
                  <c:v>0.70348125394854322</c:v>
                </c:pt>
                <c:pt idx="1712">
                  <c:v>0.70361485923704747</c:v>
                </c:pt>
                <c:pt idx="1713">
                  <c:v>0.70362293227916139</c:v>
                </c:pt>
                <c:pt idx="1714">
                  <c:v>0.70365322601858327</c:v>
                </c:pt>
                <c:pt idx="1715">
                  <c:v>0.70366151657061926</c:v>
                </c:pt>
                <c:pt idx="1716">
                  <c:v>0.70366192138956063</c:v>
                </c:pt>
                <c:pt idx="1717">
                  <c:v>0.70369530756354703</c:v>
                </c:pt>
                <c:pt idx="1718">
                  <c:v>0.70377948083985675</c:v>
                </c:pt>
                <c:pt idx="1719">
                  <c:v>0.70399289802786114</c:v>
                </c:pt>
                <c:pt idx="1720">
                  <c:v>0.70404040404040413</c:v>
                </c:pt>
                <c:pt idx="1721">
                  <c:v>0.70413060454220044</c:v>
                </c:pt>
                <c:pt idx="1722">
                  <c:v>0.70418307878058051</c:v>
                </c:pt>
                <c:pt idx="1723">
                  <c:v>0.70427411478301427</c:v>
                </c:pt>
                <c:pt idx="1724">
                  <c:v>0.70428144028115724</c:v>
                </c:pt>
                <c:pt idx="1725">
                  <c:v>0.70429334564400103</c:v>
                </c:pt>
                <c:pt idx="1726">
                  <c:v>0.70430071632467839</c:v>
                </c:pt>
                <c:pt idx="1727">
                  <c:v>0.70431283521528476</c:v>
                </c:pt>
                <c:pt idx="1728">
                  <c:v>0.70446271494593315</c:v>
                </c:pt>
                <c:pt idx="1729">
                  <c:v>0.70459163790223811</c:v>
                </c:pt>
                <c:pt idx="1730">
                  <c:v>0.704652544597825</c:v>
                </c:pt>
                <c:pt idx="1731">
                  <c:v>0.7046586807706019</c:v>
                </c:pt>
                <c:pt idx="1732">
                  <c:v>0.70486712419861575</c:v>
                </c:pt>
                <c:pt idx="1733">
                  <c:v>0.70505462104835948</c:v>
                </c:pt>
                <c:pt idx="1734">
                  <c:v>0.70508091972171516</c:v>
                </c:pt>
                <c:pt idx="1735">
                  <c:v>0.70527923631869083</c:v>
                </c:pt>
                <c:pt idx="1736">
                  <c:v>0.70532674314148125</c:v>
                </c:pt>
                <c:pt idx="1737">
                  <c:v>0.70534796339411243</c:v>
                </c:pt>
                <c:pt idx="1738">
                  <c:v>0.70553248440236949</c:v>
                </c:pt>
                <c:pt idx="1739">
                  <c:v>0.7055398117743491</c:v>
                </c:pt>
                <c:pt idx="1740">
                  <c:v>0.70554553326598368</c:v>
                </c:pt>
                <c:pt idx="1741">
                  <c:v>0.70585238148857121</c:v>
                </c:pt>
                <c:pt idx="1742">
                  <c:v>0.70586225138579994</c:v>
                </c:pt>
                <c:pt idx="1743">
                  <c:v>0.70597944120777856</c:v>
                </c:pt>
                <c:pt idx="1744">
                  <c:v>0.70604440352678766</c:v>
                </c:pt>
                <c:pt idx="1745">
                  <c:v>0.70604914679079578</c:v>
                </c:pt>
                <c:pt idx="1746">
                  <c:v>0.70633202253327754</c:v>
                </c:pt>
                <c:pt idx="1747">
                  <c:v>0.70635954573394666</c:v>
                </c:pt>
                <c:pt idx="1748">
                  <c:v>0.70636064914163077</c:v>
                </c:pt>
                <c:pt idx="1749">
                  <c:v>0.70639499042860321</c:v>
                </c:pt>
                <c:pt idx="1750">
                  <c:v>0.70650544319454955</c:v>
                </c:pt>
                <c:pt idx="1751">
                  <c:v>0.70658319539815484</c:v>
                </c:pt>
                <c:pt idx="1752">
                  <c:v>0.70668344996301957</c:v>
                </c:pt>
                <c:pt idx="1753">
                  <c:v>0.70677831194880414</c:v>
                </c:pt>
                <c:pt idx="1754">
                  <c:v>0.70702054794520519</c:v>
                </c:pt>
                <c:pt idx="1755">
                  <c:v>0.70712229590851272</c:v>
                </c:pt>
                <c:pt idx="1756">
                  <c:v>0.70712798831180568</c:v>
                </c:pt>
                <c:pt idx="1757">
                  <c:v>0.70719160885232357</c:v>
                </c:pt>
                <c:pt idx="1758">
                  <c:v>0.70733554727515369</c:v>
                </c:pt>
                <c:pt idx="1759">
                  <c:v>0.70737300182424134</c:v>
                </c:pt>
                <c:pt idx="1760">
                  <c:v>0.70751828620238122</c:v>
                </c:pt>
                <c:pt idx="1761">
                  <c:v>0.70753233466522869</c:v>
                </c:pt>
                <c:pt idx="1762">
                  <c:v>0.7075574301023918</c:v>
                </c:pt>
                <c:pt idx="1763">
                  <c:v>0.70760880243638891</c:v>
                </c:pt>
                <c:pt idx="1764">
                  <c:v>0.70776269114586443</c:v>
                </c:pt>
                <c:pt idx="1765">
                  <c:v>0.7077773054414217</c:v>
                </c:pt>
                <c:pt idx="1766">
                  <c:v>0.70800196367206558</c:v>
                </c:pt>
                <c:pt idx="1767">
                  <c:v>0.70828499634587982</c:v>
                </c:pt>
                <c:pt idx="1768">
                  <c:v>0.70840629611964379</c:v>
                </c:pt>
                <c:pt idx="1769">
                  <c:v>0.70850756416794158</c:v>
                </c:pt>
                <c:pt idx="1770">
                  <c:v>0.70855040270472258</c:v>
                </c:pt>
                <c:pt idx="1771">
                  <c:v>0.70880904670922851</c:v>
                </c:pt>
                <c:pt idx="1772">
                  <c:v>0.70883725589294599</c:v>
                </c:pt>
                <c:pt idx="1773">
                  <c:v>0.70887775736823033</c:v>
                </c:pt>
                <c:pt idx="1774">
                  <c:v>0.70888177756309612</c:v>
                </c:pt>
                <c:pt idx="1775">
                  <c:v>0.70889613455718781</c:v>
                </c:pt>
                <c:pt idx="1776">
                  <c:v>0.70916160299061803</c:v>
                </c:pt>
                <c:pt idx="1777">
                  <c:v>0.70940411870644526</c:v>
                </c:pt>
                <c:pt idx="1778">
                  <c:v>0.70941339620308386</c:v>
                </c:pt>
                <c:pt idx="1779">
                  <c:v>0.70943863254249906</c:v>
                </c:pt>
                <c:pt idx="1780">
                  <c:v>0.70951932006369922</c:v>
                </c:pt>
                <c:pt idx="1781">
                  <c:v>0.70953584045808626</c:v>
                </c:pt>
                <c:pt idx="1782">
                  <c:v>0.70971021116032762</c:v>
                </c:pt>
                <c:pt idx="1783">
                  <c:v>0.70981026444558404</c:v>
                </c:pt>
                <c:pt idx="1784">
                  <c:v>0.70995366424398421</c:v>
                </c:pt>
                <c:pt idx="1785">
                  <c:v>0.70997306420266648</c:v>
                </c:pt>
                <c:pt idx="1786">
                  <c:v>0.71031816340994136</c:v>
                </c:pt>
                <c:pt idx="1787">
                  <c:v>0.7103744366083431</c:v>
                </c:pt>
                <c:pt idx="1788">
                  <c:v>0.71050823324395906</c:v>
                </c:pt>
                <c:pt idx="1789">
                  <c:v>0.71064168991630128</c:v>
                </c:pt>
                <c:pt idx="1790">
                  <c:v>0.71085210829685985</c:v>
                </c:pt>
                <c:pt idx="1791">
                  <c:v>0.71087322363500294</c:v>
                </c:pt>
                <c:pt idx="1792">
                  <c:v>0.71093470526857416</c:v>
                </c:pt>
                <c:pt idx="1793">
                  <c:v>0.71108343992005341</c:v>
                </c:pt>
                <c:pt idx="1794">
                  <c:v>0.71124741492761723</c:v>
                </c:pt>
                <c:pt idx="1795">
                  <c:v>0.71137285882766677</c:v>
                </c:pt>
                <c:pt idx="1796">
                  <c:v>0.71138133613920951</c:v>
                </c:pt>
                <c:pt idx="1797">
                  <c:v>0.71139527395326863</c:v>
                </c:pt>
                <c:pt idx="1798">
                  <c:v>0.71161334289616351</c:v>
                </c:pt>
                <c:pt idx="1799">
                  <c:v>0.71165488334188742</c:v>
                </c:pt>
                <c:pt idx="1800">
                  <c:v>0.71168867406285763</c:v>
                </c:pt>
                <c:pt idx="1801">
                  <c:v>0.71170913041095163</c:v>
                </c:pt>
                <c:pt idx="1802">
                  <c:v>0.71174082747853196</c:v>
                </c:pt>
                <c:pt idx="1803">
                  <c:v>0.71184137785604806</c:v>
                </c:pt>
                <c:pt idx="1804">
                  <c:v>0.71185120010737202</c:v>
                </c:pt>
                <c:pt idx="1805">
                  <c:v>0.71189234004691471</c:v>
                </c:pt>
                <c:pt idx="1806">
                  <c:v>0.71192163889004934</c:v>
                </c:pt>
                <c:pt idx="1807">
                  <c:v>0.71193450606703002</c:v>
                </c:pt>
                <c:pt idx="1808">
                  <c:v>0.71193906447012101</c:v>
                </c:pt>
                <c:pt idx="1809">
                  <c:v>0.7119741650378173</c:v>
                </c:pt>
                <c:pt idx="1810">
                  <c:v>0.7120784512558952</c:v>
                </c:pt>
                <c:pt idx="1811">
                  <c:v>0.71210219632451766</c:v>
                </c:pt>
                <c:pt idx="1812">
                  <c:v>0.7124179544022079</c:v>
                </c:pt>
                <c:pt idx="1813">
                  <c:v>0.71261878984722726</c:v>
                </c:pt>
                <c:pt idx="1814">
                  <c:v>0.71265141232864604</c:v>
                </c:pt>
                <c:pt idx="1815">
                  <c:v>0.71285944793407496</c:v>
                </c:pt>
                <c:pt idx="1816">
                  <c:v>0.712876047064958</c:v>
                </c:pt>
                <c:pt idx="1817">
                  <c:v>0.71308863824635105</c:v>
                </c:pt>
                <c:pt idx="1818">
                  <c:v>0.71309254949802803</c:v>
                </c:pt>
                <c:pt idx="1819">
                  <c:v>0.71309728449857057</c:v>
                </c:pt>
                <c:pt idx="1820">
                  <c:v>0.71317364075436607</c:v>
                </c:pt>
                <c:pt idx="1821">
                  <c:v>0.71332936822627435</c:v>
                </c:pt>
                <c:pt idx="1822">
                  <c:v>0.7134798869543314</c:v>
                </c:pt>
                <c:pt idx="1823">
                  <c:v>0.71353353878434167</c:v>
                </c:pt>
                <c:pt idx="1824">
                  <c:v>0.71360389116887146</c:v>
                </c:pt>
                <c:pt idx="1825">
                  <c:v>0.71374999999999966</c:v>
                </c:pt>
                <c:pt idx="1826">
                  <c:v>0.71388636089471458</c:v>
                </c:pt>
                <c:pt idx="1827">
                  <c:v>0.71390798489446494</c:v>
                </c:pt>
                <c:pt idx="1828">
                  <c:v>0.71394137105688005</c:v>
                </c:pt>
                <c:pt idx="1829">
                  <c:v>0.71422158189259122</c:v>
                </c:pt>
                <c:pt idx="1830">
                  <c:v>0.71435153408597829</c:v>
                </c:pt>
                <c:pt idx="1831">
                  <c:v>0.71447606828949806</c:v>
                </c:pt>
                <c:pt idx="1832">
                  <c:v>0.71455642147966325</c:v>
                </c:pt>
                <c:pt idx="1833">
                  <c:v>0.71459365748589909</c:v>
                </c:pt>
                <c:pt idx="1834">
                  <c:v>0.71473246108211408</c:v>
                </c:pt>
                <c:pt idx="1835">
                  <c:v>0.71477509995390398</c:v>
                </c:pt>
                <c:pt idx="1836">
                  <c:v>0.71478225833910158</c:v>
                </c:pt>
                <c:pt idx="1837">
                  <c:v>0.71479586491111657</c:v>
                </c:pt>
                <c:pt idx="1838">
                  <c:v>0.71488332722571257</c:v>
                </c:pt>
                <c:pt idx="1839">
                  <c:v>0.71505683092420247</c:v>
                </c:pt>
                <c:pt idx="1840">
                  <c:v>0.71511590995664776</c:v>
                </c:pt>
                <c:pt idx="1841">
                  <c:v>0.71515206607277271</c:v>
                </c:pt>
                <c:pt idx="1842">
                  <c:v>0.71517998518162762</c:v>
                </c:pt>
                <c:pt idx="1843">
                  <c:v>0.71521960877143909</c:v>
                </c:pt>
                <c:pt idx="1844">
                  <c:v>0.71534463774498946</c:v>
                </c:pt>
                <c:pt idx="1845">
                  <c:v>0.71536441700376019</c:v>
                </c:pt>
                <c:pt idx="1846">
                  <c:v>0.71536538675440076</c:v>
                </c:pt>
                <c:pt idx="1847">
                  <c:v>0.71553200244232673</c:v>
                </c:pt>
                <c:pt idx="1848">
                  <c:v>0.71554038491657679</c:v>
                </c:pt>
                <c:pt idx="1849">
                  <c:v>0.71556853682888366</c:v>
                </c:pt>
                <c:pt idx="1850">
                  <c:v>0.71562655416645293</c:v>
                </c:pt>
                <c:pt idx="1851">
                  <c:v>0.71569391792463011</c:v>
                </c:pt>
                <c:pt idx="1852">
                  <c:v>0.71573131724338457</c:v>
                </c:pt>
                <c:pt idx="1853">
                  <c:v>0.71577207024603795</c:v>
                </c:pt>
                <c:pt idx="1854">
                  <c:v>0.71603222602223049</c:v>
                </c:pt>
                <c:pt idx="1855">
                  <c:v>0.71655014276019224</c:v>
                </c:pt>
                <c:pt idx="1856">
                  <c:v>0.716636154115047</c:v>
                </c:pt>
                <c:pt idx="1857">
                  <c:v>0.71665465032444131</c:v>
                </c:pt>
                <c:pt idx="1858">
                  <c:v>0.71666666666666634</c:v>
                </c:pt>
                <c:pt idx="1859">
                  <c:v>0.71671906519923412</c:v>
                </c:pt>
                <c:pt idx="1860">
                  <c:v>0.71683815743028645</c:v>
                </c:pt>
                <c:pt idx="1861">
                  <c:v>0.71690846764392813</c:v>
                </c:pt>
                <c:pt idx="1862">
                  <c:v>0.71692755747314096</c:v>
                </c:pt>
                <c:pt idx="1863">
                  <c:v>0.717030868097013</c:v>
                </c:pt>
                <c:pt idx="1864">
                  <c:v>0.71716797416338296</c:v>
                </c:pt>
                <c:pt idx="1865">
                  <c:v>0.71730992574549257</c:v>
                </c:pt>
                <c:pt idx="1866">
                  <c:v>0.71732410239472844</c:v>
                </c:pt>
                <c:pt idx="1867">
                  <c:v>0.71734103361307</c:v>
                </c:pt>
                <c:pt idx="1868">
                  <c:v>0.71737636599018684</c:v>
                </c:pt>
                <c:pt idx="1869">
                  <c:v>0.71758897349740136</c:v>
                </c:pt>
                <c:pt idx="1870">
                  <c:v>0.71765932102441943</c:v>
                </c:pt>
                <c:pt idx="1871">
                  <c:v>0.71776492614011955</c:v>
                </c:pt>
                <c:pt idx="1872">
                  <c:v>0.71787303072222708</c:v>
                </c:pt>
                <c:pt idx="1873">
                  <c:v>0.71806747074403565</c:v>
                </c:pt>
                <c:pt idx="1874">
                  <c:v>0.71809246464752008</c:v>
                </c:pt>
                <c:pt idx="1875">
                  <c:v>0.71809802726658722</c:v>
                </c:pt>
                <c:pt idx="1876">
                  <c:v>0.7182266419981499</c:v>
                </c:pt>
                <c:pt idx="1877">
                  <c:v>0.7184731182795705</c:v>
                </c:pt>
                <c:pt idx="1878">
                  <c:v>0.71861104066375503</c:v>
                </c:pt>
                <c:pt idx="1879">
                  <c:v>0.71888762220469049</c:v>
                </c:pt>
                <c:pt idx="1880">
                  <c:v>0.71902733417775888</c:v>
                </c:pt>
                <c:pt idx="1881">
                  <c:v>0.71906381655024076</c:v>
                </c:pt>
                <c:pt idx="1882">
                  <c:v>0.71932194148139827</c:v>
                </c:pt>
                <c:pt idx="1883">
                  <c:v>0.7193923327449574</c:v>
                </c:pt>
                <c:pt idx="1884">
                  <c:v>0.71953599012360459</c:v>
                </c:pt>
                <c:pt idx="1885">
                  <c:v>0.72002575875476149</c:v>
                </c:pt>
                <c:pt idx="1886">
                  <c:v>0.72006708952258136</c:v>
                </c:pt>
                <c:pt idx="1887">
                  <c:v>0.72032289374831315</c:v>
                </c:pt>
                <c:pt idx="1888">
                  <c:v>0.72041366251547601</c:v>
                </c:pt>
                <c:pt idx="1889">
                  <c:v>0.72045275785372409</c:v>
                </c:pt>
                <c:pt idx="1890">
                  <c:v>0.72055477218976816</c:v>
                </c:pt>
                <c:pt idx="1891">
                  <c:v>0.7206277631432636</c:v>
                </c:pt>
                <c:pt idx="1892">
                  <c:v>0.72079734113137939</c:v>
                </c:pt>
                <c:pt idx="1893">
                  <c:v>0.72104257558264206</c:v>
                </c:pt>
                <c:pt idx="1894">
                  <c:v>0.72105636542554508</c:v>
                </c:pt>
                <c:pt idx="1895">
                  <c:v>0.72120866140696482</c:v>
                </c:pt>
                <c:pt idx="1896">
                  <c:v>0.72146708368426682</c:v>
                </c:pt>
                <c:pt idx="1897">
                  <c:v>0.72207534600551437</c:v>
                </c:pt>
                <c:pt idx="1898">
                  <c:v>0.72217946518444054</c:v>
                </c:pt>
                <c:pt idx="1899">
                  <c:v>0.72225414134559074</c:v>
                </c:pt>
                <c:pt idx="1900">
                  <c:v>0.72251582714010443</c:v>
                </c:pt>
                <c:pt idx="1901">
                  <c:v>0.72257792422731559</c:v>
                </c:pt>
                <c:pt idx="1902">
                  <c:v>0.72277350260452433</c:v>
                </c:pt>
                <c:pt idx="1903">
                  <c:v>0.72282913012417049</c:v>
                </c:pt>
                <c:pt idx="1904">
                  <c:v>0.72284302495937769</c:v>
                </c:pt>
                <c:pt idx="1905">
                  <c:v>0.72296422782335357</c:v>
                </c:pt>
                <c:pt idx="1906">
                  <c:v>0.72308102345415759</c:v>
                </c:pt>
                <c:pt idx="1907">
                  <c:v>0.72312113709942605</c:v>
                </c:pt>
                <c:pt idx="1908">
                  <c:v>0.72327005728841565</c:v>
                </c:pt>
                <c:pt idx="1909">
                  <c:v>0.72327738294272403</c:v>
                </c:pt>
                <c:pt idx="1910">
                  <c:v>0.72401865825033662</c:v>
                </c:pt>
                <c:pt idx="1911">
                  <c:v>0.72409879289745749</c:v>
                </c:pt>
                <c:pt idx="1912">
                  <c:v>0.72412398435769143</c:v>
                </c:pt>
                <c:pt idx="1913">
                  <c:v>0.72424768970261943</c:v>
                </c:pt>
                <c:pt idx="1914">
                  <c:v>0.72442721445879821</c:v>
                </c:pt>
                <c:pt idx="1915">
                  <c:v>0.72450157349554545</c:v>
                </c:pt>
                <c:pt idx="1916">
                  <c:v>0.7245603823085891</c:v>
                </c:pt>
                <c:pt idx="1917">
                  <c:v>0.72459316180652689</c:v>
                </c:pt>
                <c:pt idx="1918">
                  <c:v>0.72470075473584306</c:v>
                </c:pt>
                <c:pt idx="1919">
                  <c:v>0.72477038608637401</c:v>
                </c:pt>
                <c:pt idx="1920">
                  <c:v>0.72484415572899552</c:v>
                </c:pt>
                <c:pt idx="1921">
                  <c:v>0.72485108648630692</c:v>
                </c:pt>
                <c:pt idx="1922">
                  <c:v>0.72502016409400616</c:v>
                </c:pt>
                <c:pt idx="1923">
                  <c:v>0.72503723854606694</c:v>
                </c:pt>
                <c:pt idx="1924">
                  <c:v>0.72527400444889534</c:v>
                </c:pt>
                <c:pt idx="1925">
                  <c:v>0.72535465089413642</c:v>
                </c:pt>
                <c:pt idx="1926">
                  <c:v>0.7256205089880714</c:v>
                </c:pt>
                <c:pt idx="1927">
                  <c:v>0.72570787041087059</c:v>
                </c:pt>
                <c:pt idx="1928">
                  <c:v>0.72585150698358225</c:v>
                </c:pt>
                <c:pt idx="1929">
                  <c:v>0.7259377697222722</c:v>
                </c:pt>
                <c:pt idx="1930">
                  <c:v>0.72617302172397435</c:v>
                </c:pt>
                <c:pt idx="1931">
                  <c:v>0.72653724383906126</c:v>
                </c:pt>
                <c:pt idx="1932">
                  <c:v>0.72655780555418226</c:v>
                </c:pt>
                <c:pt idx="1933">
                  <c:v>0.72662160846860768</c:v>
                </c:pt>
                <c:pt idx="1934">
                  <c:v>0.72674781160430657</c:v>
                </c:pt>
                <c:pt idx="1935">
                  <c:v>0.7268494320970611</c:v>
                </c:pt>
                <c:pt idx="1936">
                  <c:v>0.72685637234388767</c:v>
                </c:pt>
                <c:pt idx="1937">
                  <c:v>0.72686076913980946</c:v>
                </c:pt>
                <c:pt idx="1938">
                  <c:v>0.72690073093318586</c:v>
                </c:pt>
                <c:pt idx="1939">
                  <c:v>0.72696698278890037</c:v>
                </c:pt>
                <c:pt idx="1940">
                  <c:v>0.72704507512520722</c:v>
                </c:pt>
                <c:pt idx="1941">
                  <c:v>0.72743591299530186</c:v>
                </c:pt>
                <c:pt idx="1942">
                  <c:v>0.72746815190004843</c:v>
                </c:pt>
                <c:pt idx="1943">
                  <c:v>0.72754001832751658</c:v>
                </c:pt>
                <c:pt idx="1944">
                  <c:v>0.72762410772225905</c:v>
                </c:pt>
                <c:pt idx="1945">
                  <c:v>0.72763846335766513</c:v>
                </c:pt>
                <c:pt idx="1946">
                  <c:v>0.72766804245283068</c:v>
                </c:pt>
                <c:pt idx="1947">
                  <c:v>0.72774407733869051</c:v>
                </c:pt>
                <c:pt idx="1948">
                  <c:v>0.72788232578727774</c:v>
                </c:pt>
                <c:pt idx="1949">
                  <c:v>0.72802277899550072</c:v>
                </c:pt>
                <c:pt idx="1950">
                  <c:v>0.72807158832321306</c:v>
                </c:pt>
                <c:pt idx="1951">
                  <c:v>0.72810595564069436</c:v>
                </c:pt>
                <c:pt idx="1952">
                  <c:v>0.72816062299730588</c:v>
                </c:pt>
                <c:pt idx="1953">
                  <c:v>0.72829038084325559</c:v>
                </c:pt>
                <c:pt idx="1954">
                  <c:v>0.72830549018468338</c:v>
                </c:pt>
                <c:pt idx="1955">
                  <c:v>0.72843161348407814</c:v>
                </c:pt>
                <c:pt idx="1956">
                  <c:v>0.72844209172314822</c:v>
                </c:pt>
                <c:pt idx="1957">
                  <c:v>0.72860097939885038</c:v>
                </c:pt>
                <c:pt idx="1958">
                  <c:v>0.72861960860043273</c:v>
                </c:pt>
                <c:pt idx="1959">
                  <c:v>0.72865573840473064</c:v>
                </c:pt>
                <c:pt idx="1960">
                  <c:v>0.72895561430599298</c:v>
                </c:pt>
                <c:pt idx="1961">
                  <c:v>0.72895688758805244</c:v>
                </c:pt>
                <c:pt idx="1962">
                  <c:v>0.72932682352332157</c:v>
                </c:pt>
                <c:pt idx="1963">
                  <c:v>0.72940778595414568</c:v>
                </c:pt>
                <c:pt idx="1964">
                  <c:v>0.72958280657395691</c:v>
                </c:pt>
                <c:pt idx="1965">
                  <c:v>0.72962401703800872</c:v>
                </c:pt>
                <c:pt idx="1966">
                  <c:v>0.7297734627831709</c:v>
                </c:pt>
                <c:pt idx="1967">
                  <c:v>0.72988833470905867</c:v>
                </c:pt>
                <c:pt idx="1968">
                  <c:v>0.73010591878386777</c:v>
                </c:pt>
                <c:pt idx="1969">
                  <c:v>0.73029201250860598</c:v>
                </c:pt>
                <c:pt idx="1970">
                  <c:v>0.73036478953778139</c:v>
                </c:pt>
                <c:pt idx="1971">
                  <c:v>0.73062975544707964</c:v>
                </c:pt>
                <c:pt idx="1972">
                  <c:v>0.73074316266427553</c:v>
                </c:pt>
                <c:pt idx="1973">
                  <c:v>0.73079934017390369</c:v>
                </c:pt>
                <c:pt idx="1974">
                  <c:v>0.73096103554334657</c:v>
                </c:pt>
                <c:pt idx="1975">
                  <c:v>0.73105961989065338</c:v>
                </c:pt>
                <c:pt idx="1976">
                  <c:v>0.73156628884465535</c:v>
                </c:pt>
                <c:pt idx="1977">
                  <c:v>0.73164984262077182</c:v>
                </c:pt>
                <c:pt idx="1978">
                  <c:v>0.73173002719577973</c:v>
                </c:pt>
                <c:pt idx="1979">
                  <c:v>0.73179381250334297</c:v>
                </c:pt>
                <c:pt idx="1980">
                  <c:v>0.73203576304693974</c:v>
                </c:pt>
                <c:pt idx="1981">
                  <c:v>0.73229308820222117</c:v>
                </c:pt>
                <c:pt idx="1982">
                  <c:v>0.73238002635636268</c:v>
                </c:pt>
                <c:pt idx="1983">
                  <c:v>0.73240094741286244</c:v>
                </c:pt>
                <c:pt idx="1984">
                  <c:v>0.73247279500669837</c:v>
                </c:pt>
                <c:pt idx="1985">
                  <c:v>0.73324675202343503</c:v>
                </c:pt>
                <c:pt idx="1986">
                  <c:v>0.73347107438016468</c:v>
                </c:pt>
                <c:pt idx="1987">
                  <c:v>0.73351630716323513</c:v>
                </c:pt>
                <c:pt idx="1988">
                  <c:v>0.73360471984798592</c:v>
                </c:pt>
                <c:pt idx="1989">
                  <c:v>0.73364672571511469</c:v>
                </c:pt>
                <c:pt idx="1990">
                  <c:v>0.73385731915143593</c:v>
                </c:pt>
                <c:pt idx="1991">
                  <c:v>0.73391529265890043</c:v>
                </c:pt>
                <c:pt idx="1992">
                  <c:v>0.73420809865993408</c:v>
                </c:pt>
                <c:pt idx="1993">
                  <c:v>0.73421745401485428</c:v>
                </c:pt>
                <c:pt idx="1994">
                  <c:v>0.73423256959842265</c:v>
                </c:pt>
                <c:pt idx="1995">
                  <c:v>0.73431202265102702</c:v>
                </c:pt>
                <c:pt idx="1996">
                  <c:v>0.73440612364979019</c:v>
                </c:pt>
                <c:pt idx="1997">
                  <c:v>0.73458146043592487</c:v>
                </c:pt>
                <c:pt idx="1998">
                  <c:v>0.73459884029409439</c:v>
                </c:pt>
                <c:pt idx="1999">
                  <c:v>0.73477212538044989</c:v>
                </c:pt>
                <c:pt idx="2000">
                  <c:v>0.73477493007495298</c:v>
                </c:pt>
                <c:pt idx="2001">
                  <c:v>0.73489722495663989</c:v>
                </c:pt>
                <c:pt idx="2002">
                  <c:v>0.73492334370097201</c:v>
                </c:pt>
                <c:pt idx="2003">
                  <c:v>0.73494268771997118</c:v>
                </c:pt>
                <c:pt idx="2004">
                  <c:v>0.7351684503020679</c:v>
                </c:pt>
                <c:pt idx="2005">
                  <c:v>0.73521841081120887</c:v>
                </c:pt>
                <c:pt idx="2006">
                  <c:v>0.73521862267496529</c:v>
                </c:pt>
                <c:pt idx="2007">
                  <c:v>0.73537927514808676</c:v>
                </c:pt>
                <c:pt idx="2008">
                  <c:v>0.73559108630764325</c:v>
                </c:pt>
                <c:pt idx="2009">
                  <c:v>0.7359627706055003</c:v>
                </c:pt>
                <c:pt idx="2010">
                  <c:v>0.73610142144417146</c:v>
                </c:pt>
                <c:pt idx="2011">
                  <c:v>0.7361661011728835</c:v>
                </c:pt>
                <c:pt idx="2012">
                  <c:v>0.73649178789599912</c:v>
                </c:pt>
                <c:pt idx="2013">
                  <c:v>0.73660812496770289</c:v>
                </c:pt>
                <c:pt idx="2014">
                  <c:v>0.73673873950412727</c:v>
                </c:pt>
                <c:pt idx="2015">
                  <c:v>0.73674377032585969</c:v>
                </c:pt>
                <c:pt idx="2016">
                  <c:v>0.7369804684710427</c:v>
                </c:pt>
                <c:pt idx="2017">
                  <c:v>0.73703718761858295</c:v>
                </c:pt>
                <c:pt idx="2018">
                  <c:v>0.73715018948069788</c:v>
                </c:pt>
                <c:pt idx="2019">
                  <c:v>0.73720488828210951</c:v>
                </c:pt>
                <c:pt idx="2020">
                  <c:v>0.73740225336999488</c:v>
                </c:pt>
                <c:pt idx="2021">
                  <c:v>0.73808977393301001</c:v>
                </c:pt>
                <c:pt idx="2022">
                  <c:v>0.7384991273996504</c:v>
                </c:pt>
                <c:pt idx="2023">
                  <c:v>0.73868767962628834</c:v>
                </c:pt>
                <c:pt idx="2024">
                  <c:v>0.73873806184465318</c:v>
                </c:pt>
                <c:pt idx="2025">
                  <c:v>0.73875636595756533</c:v>
                </c:pt>
                <c:pt idx="2026">
                  <c:v>0.73904007588151444</c:v>
                </c:pt>
                <c:pt idx="2027">
                  <c:v>0.73911792738118154</c:v>
                </c:pt>
                <c:pt idx="2028">
                  <c:v>0.7394603514886996</c:v>
                </c:pt>
                <c:pt idx="2029">
                  <c:v>0.73977449983729671</c:v>
                </c:pt>
                <c:pt idx="2030">
                  <c:v>0.74045630398859741</c:v>
                </c:pt>
                <c:pt idx="2031">
                  <c:v>0.74059303528330034</c:v>
                </c:pt>
                <c:pt idx="2032">
                  <c:v>0.74149480656329902</c:v>
                </c:pt>
                <c:pt idx="2033">
                  <c:v>0.74150758884148493</c:v>
                </c:pt>
                <c:pt idx="2034">
                  <c:v>0.7417006299524479</c:v>
                </c:pt>
                <c:pt idx="2035">
                  <c:v>0.74185537309132754</c:v>
                </c:pt>
                <c:pt idx="2036">
                  <c:v>0.74196387444890366</c:v>
                </c:pt>
                <c:pt idx="2037">
                  <c:v>0.74196766425868643</c:v>
                </c:pt>
                <c:pt idx="2038">
                  <c:v>0.74204088675726554</c:v>
                </c:pt>
                <c:pt idx="2039">
                  <c:v>0.74206310965489819</c:v>
                </c:pt>
                <c:pt idx="2040">
                  <c:v>0.74213507625272235</c:v>
                </c:pt>
                <c:pt idx="2041">
                  <c:v>0.74232083486646283</c:v>
                </c:pt>
                <c:pt idx="2042">
                  <c:v>0.74251850158818256</c:v>
                </c:pt>
                <c:pt idx="2043">
                  <c:v>0.74252584873813765</c:v>
                </c:pt>
                <c:pt idx="2044">
                  <c:v>0.742873448785344</c:v>
                </c:pt>
                <c:pt idx="2045">
                  <c:v>0.74302265391374445</c:v>
                </c:pt>
                <c:pt idx="2046">
                  <c:v>0.74345912852154794</c:v>
                </c:pt>
                <c:pt idx="2047">
                  <c:v>0.74349359180924157</c:v>
                </c:pt>
                <c:pt idx="2048">
                  <c:v>0.7436334198359088</c:v>
                </c:pt>
                <c:pt idx="2049">
                  <c:v>0.74389937510357118</c:v>
                </c:pt>
                <c:pt idx="2050">
                  <c:v>0.74391091949746058</c:v>
                </c:pt>
                <c:pt idx="2051">
                  <c:v>0.74398849142160139</c:v>
                </c:pt>
                <c:pt idx="2052">
                  <c:v>0.74434636303094803</c:v>
                </c:pt>
                <c:pt idx="2053">
                  <c:v>0.74441922340406419</c:v>
                </c:pt>
                <c:pt idx="2054">
                  <c:v>0.74447738227240923</c:v>
                </c:pt>
                <c:pt idx="2055">
                  <c:v>0.74447811735983715</c:v>
                </c:pt>
                <c:pt idx="2056">
                  <c:v>0.74453088798380607</c:v>
                </c:pt>
                <c:pt idx="2057">
                  <c:v>0.74488420158223156</c:v>
                </c:pt>
                <c:pt idx="2058">
                  <c:v>0.74526295603816117</c:v>
                </c:pt>
                <c:pt idx="2059">
                  <c:v>0.74542026888067925</c:v>
                </c:pt>
                <c:pt idx="2060">
                  <c:v>0.74543478855143464</c:v>
                </c:pt>
                <c:pt idx="2061">
                  <c:v>0.74566668613580134</c:v>
                </c:pt>
                <c:pt idx="2062">
                  <c:v>0.74587204343415836</c:v>
                </c:pt>
                <c:pt idx="2063">
                  <c:v>0.74640169785838295</c:v>
                </c:pt>
                <c:pt idx="2064">
                  <c:v>0.74646444741253215</c:v>
                </c:pt>
                <c:pt idx="2065">
                  <c:v>0.74655669658499857</c:v>
                </c:pt>
                <c:pt idx="2066">
                  <c:v>0.74665135080117528</c:v>
                </c:pt>
                <c:pt idx="2067">
                  <c:v>0.74673746112350237</c:v>
                </c:pt>
                <c:pt idx="2068">
                  <c:v>0.74691513314014912</c:v>
                </c:pt>
                <c:pt idx="2069">
                  <c:v>0.74704210577673602</c:v>
                </c:pt>
                <c:pt idx="2070">
                  <c:v>0.74716077229623989</c:v>
                </c:pt>
                <c:pt idx="2071">
                  <c:v>0.74717368961973207</c:v>
                </c:pt>
                <c:pt idx="2072">
                  <c:v>0.74726488005620817</c:v>
                </c:pt>
                <c:pt idx="2073">
                  <c:v>0.74733026892798571</c:v>
                </c:pt>
                <c:pt idx="2074">
                  <c:v>0.74734302823229748</c:v>
                </c:pt>
                <c:pt idx="2075">
                  <c:v>0.74758170017969472</c:v>
                </c:pt>
                <c:pt idx="2076">
                  <c:v>0.74759649122806915</c:v>
                </c:pt>
                <c:pt idx="2077">
                  <c:v>0.74785025873843403</c:v>
                </c:pt>
                <c:pt idx="2078">
                  <c:v>0.74790320880576966</c:v>
                </c:pt>
                <c:pt idx="2079">
                  <c:v>0.74799058835371801</c:v>
                </c:pt>
                <c:pt idx="2080">
                  <c:v>0.7481355948782652</c:v>
                </c:pt>
                <c:pt idx="2081">
                  <c:v>0.74831162769774084</c:v>
                </c:pt>
                <c:pt idx="2082">
                  <c:v>0.74852285332669288</c:v>
                </c:pt>
                <c:pt idx="2083">
                  <c:v>0.74858543867897231</c:v>
                </c:pt>
                <c:pt idx="2084">
                  <c:v>0.74884326200115614</c:v>
                </c:pt>
                <c:pt idx="2085">
                  <c:v>0.74978843096490144</c:v>
                </c:pt>
                <c:pt idx="2086">
                  <c:v>0.74992436376915106</c:v>
                </c:pt>
                <c:pt idx="2087">
                  <c:v>0.75015332556956427</c:v>
                </c:pt>
                <c:pt idx="2088">
                  <c:v>0.75016183718858398</c:v>
                </c:pt>
                <c:pt idx="2089">
                  <c:v>0.75042022364164429</c:v>
                </c:pt>
                <c:pt idx="2090">
                  <c:v>0.75094232974536712</c:v>
                </c:pt>
                <c:pt idx="2091">
                  <c:v>0.75102163086486018</c:v>
                </c:pt>
                <c:pt idx="2092">
                  <c:v>0.7513077331781538</c:v>
                </c:pt>
                <c:pt idx="2093">
                  <c:v>0.75209320812469316</c:v>
                </c:pt>
                <c:pt idx="2094">
                  <c:v>0.75221752565765188</c:v>
                </c:pt>
                <c:pt idx="2095">
                  <c:v>0.75223571684511459</c:v>
                </c:pt>
                <c:pt idx="2096">
                  <c:v>0.75234620758494275</c:v>
                </c:pt>
                <c:pt idx="2097">
                  <c:v>0.75283822987132909</c:v>
                </c:pt>
                <c:pt idx="2098">
                  <c:v>0.75286478227654763</c:v>
                </c:pt>
                <c:pt idx="2099">
                  <c:v>0.75289893243432993</c:v>
                </c:pt>
                <c:pt idx="2100">
                  <c:v>0.75319899447662841</c:v>
                </c:pt>
                <c:pt idx="2101">
                  <c:v>0.75320193173644645</c:v>
                </c:pt>
                <c:pt idx="2102">
                  <c:v>0.75323076923076815</c:v>
                </c:pt>
                <c:pt idx="2103">
                  <c:v>0.75327716779707421</c:v>
                </c:pt>
                <c:pt idx="2104">
                  <c:v>0.75328615672716859</c:v>
                </c:pt>
                <c:pt idx="2105">
                  <c:v>0.75342374847260341</c:v>
                </c:pt>
                <c:pt idx="2106">
                  <c:v>0.75355504412369867</c:v>
                </c:pt>
                <c:pt idx="2107">
                  <c:v>0.75363601857885376</c:v>
                </c:pt>
                <c:pt idx="2108">
                  <c:v>0.75369940662703294</c:v>
                </c:pt>
                <c:pt idx="2109">
                  <c:v>0.75369991141641657</c:v>
                </c:pt>
                <c:pt idx="2110">
                  <c:v>0.7538686562131176</c:v>
                </c:pt>
                <c:pt idx="2111">
                  <c:v>0.75398900987076378</c:v>
                </c:pt>
                <c:pt idx="2112">
                  <c:v>0.75411145209105102</c:v>
                </c:pt>
                <c:pt idx="2113">
                  <c:v>0.75432351415230336</c:v>
                </c:pt>
                <c:pt idx="2114">
                  <c:v>0.75437141513869388</c:v>
                </c:pt>
                <c:pt idx="2115">
                  <c:v>0.7545047691795439</c:v>
                </c:pt>
                <c:pt idx="2116">
                  <c:v>0.75484458198698301</c:v>
                </c:pt>
                <c:pt idx="2117">
                  <c:v>0.75486302393611437</c:v>
                </c:pt>
                <c:pt idx="2118">
                  <c:v>0.75488673969740661</c:v>
                </c:pt>
                <c:pt idx="2119">
                  <c:v>0.75510803136740534</c:v>
                </c:pt>
                <c:pt idx="2120">
                  <c:v>0.75633772525375498</c:v>
                </c:pt>
                <c:pt idx="2121">
                  <c:v>0.75635408317748754</c:v>
                </c:pt>
                <c:pt idx="2122">
                  <c:v>0.7564475298384683</c:v>
                </c:pt>
                <c:pt idx="2123">
                  <c:v>0.75679614777595228</c:v>
                </c:pt>
                <c:pt idx="2124">
                  <c:v>0.75704271722132221</c:v>
                </c:pt>
                <c:pt idx="2125">
                  <c:v>0.75722663909641696</c:v>
                </c:pt>
                <c:pt idx="2126">
                  <c:v>0.75726341016958199</c:v>
                </c:pt>
                <c:pt idx="2127">
                  <c:v>0.75727181751378658</c:v>
                </c:pt>
                <c:pt idx="2128">
                  <c:v>0.75764005755957198</c:v>
                </c:pt>
                <c:pt idx="2129">
                  <c:v>0.75794827085149608</c:v>
                </c:pt>
                <c:pt idx="2130">
                  <c:v>0.75824755588095927</c:v>
                </c:pt>
                <c:pt idx="2131">
                  <c:v>0.7582499409030018</c:v>
                </c:pt>
                <c:pt idx="2132">
                  <c:v>0.75876807808174995</c:v>
                </c:pt>
                <c:pt idx="2133">
                  <c:v>0.75887001023541367</c:v>
                </c:pt>
                <c:pt idx="2134">
                  <c:v>0.75914466446644568</c:v>
                </c:pt>
                <c:pt idx="2135">
                  <c:v>0.75977010294572955</c:v>
                </c:pt>
                <c:pt idx="2136">
                  <c:v>0.76014654403847159</c:v>
                </c:pt>
                <c:pt idx="2137">
                  <c:v>0.76020239999023476</c:v>
                </c:pt>
                <c:pt idx="2138">
                  <c:v>0.76034231593559098</c:v>
                </c:pt>
                <c:pt idx="2139">
                  <c:v>0.76084110620193024</c:v>
                </c:pt>
                <c:pt idx="2140">
                  <c:v>0.76092996052054351</c:v>
                </c:pt>
                <c:pt idx="2141">
                  <c:v>0.760938256572389</c:v>
                </c:pt>
                <c:pt idx="2142">
                  <c:v>0.76129355786723774</c:v>
                </c:pt>
                <c:pt idx="2143">
                  <c:v>0.76181178753334977</c:v>
                </c:pt>
                <c:pt idx="2144">
                  <c:v>0.76185265143055592</c:v>
                </c:pt>
                <c:pt idx="2145">
                  <c:v>0.76196756691945677</c:v>
                </c:pt>
                <c:pt idx="2146">
                  <c:v>0.76205115359361741</c:v>
                </c:pt>
                <c:pt idx="2147">
                  <c:v>0.7623406341941813</c:v>
                </c:pt>
                <c:pt idx="2148">
                  <c:v>0.76242871716195093</c:v>
                </c:pt>
                <c:pt idx="2149">
                  <c:v>0.76272984441301306</c:v>
                </c:pt>
                <c:pt idx="2150">
                  <c:v>0.76289183967009133</c:v>
                </c:pt>
                <c:pt idx="2151">
                  <c:v>0.76321353065539144</c:v>
                </c:pt>
                <c:pt idx="2152">
                  <c:v>0.76324406481091844</c:v>
                </c:pt>
                <c:pt idx="2153">
                  <c:v>0.76334370427197495</c:v>
                </c:pt>
                <c:pt idx="2154">
                  <c:v>0.76340584064415484</c:v>
                </c:pt>
                <c:pt idx="2155">
                  <c:v>0.76363846509477551</c:v>
                </c:pt>
                <c:pt idx="2156">
                  <c:v>0.76371578743825519</c:v>
                </c:pt>
                <c:pt idx="2157">
                  <c:v>0.7639595139014691</c:v>
                </c:pt>
                <c:pt idx="2158">
                  <c:v>0.76396393272733343</c:v>
                </c:pt>
                <c:pt idx="2159">
                  <c:v>0.76419916152727507</c:v>
                </c:pt>
                <c:pt idx="2160">
                  <c:v>0.76463446618780462</c:v>
                </c:pt>
                <c:pt idx="2161">
                  <c:v>0.76463599615625877</c:v>
                </c:pt>
                <c:pt idx="2162">
                  <c:v>0.76466237550533112</c:v>
                </c:pt>
                <c:pt idx="2163">
                  <c:v>0.76470543255513268</c:v>
                </c:pt>
                <c:pt idx="2164">
                  <c:v>0.76489854838613536</c:v>
                </c:pt>
                <c:pt idx="2165">
                  <c:v>0.76545604969295844</c:v>
                </c:pt>
                <c:pt idx="2166">
                  <c:v>0.76562965982599673</c:v>
                </c:pt>
                <c:pt idx="2167">
                  <c:v>0.76584501396612636</c:v>
                </c:pt>
                <c:pt idx="2168">
                  <c:v>0.76598740324809655</c:v>
                </c:pt>
                <c:pt idx="2169">
                  <c:v>0.76653707459995468</c:v>
                </c:pt>
                <c:pt idx="2170">
                  <c:v>0.76664544260661982</c:v>
                </c:pt>
                <c:pt idx="2171">
                  <c:v>0.76680782853382967</c:v>
                </c:pt>
                <c:pt idx="2172">
                  <c:v>0.76711686611652075</c:v>
                </c:pt>
                <c:pt idx="2173">
                  <c:v>0.76719565398285705</c:v>
                </c:pt>
                <c:pt idx="2174">
                  <c:v>0.76724975350667035</c:v>
                </c:pt>
                <c:pt idx="2175">
                  <c:v>0.76726080867673829</c:v>
                </c:pt>
                <c:pt idx="2176">
                  <c:v>0.76729423422307452</c:v>
                </c:pt>
                <c:pt idx="2177">
                  <c:v>0.76738801488518604</c:v>
                </c:pt>
                <c:pt idx="2178">
                  <c:v>0.76739943998489657</c:v>
                </c:pt>
                <c:pt idx="2179">
                  <c:v>0.76742804447675927</c:v>
                </c:pt>
                <c:pt idx="2180">
                  <c:v>0.76754385964912297</c:v>
                </c:pt>
                <c:pt idx="2181">
                  <c:v>0.7675587413494307</c:v>
                </c:pt>
                <c:pt idx="2182">
                  <c:v>0.76762566417738876</c:v>
                </c:pt>
                <c:pt idx="2183">
                  <c:v>0.76783857390443044</c:v>
                </c:pt>
                <c:pt idx="2184">
                  <c:v>0.76826358826358798</c:v>
                </c:pt>
                <c:pt idx="2185">
                  <c:v>0.76838462689769993</c:v>
                </c:pt>
                <c:pt idx="2186">
                  <c:v>0.76850409037787271</c:v>
                </c:pt>
                <c:pt idx="2187">
                  <c:v>0.76862909128934431</c:v>
                </c:pt>
                <c:pt idx="2188">
                  <c:v>0.76890903817679435</c:v>
                </c:pt>
                <c:pt idx="2189">
                  <c:v>0.76918634699969424</c:v>
                </c:pt>
                <c:pt idx="2190">
                  <c:v>0.76934004331762074</c:v>
                </c:pt>
                <c:pt idx="2191">
                  <c:v>0.76942291227655468</c:v>
                </c:pt>
                <c:pt idx="2192">
                  <c:v>0.76943400898261638</c:v>
                </c:pt>
                <c:pt idx="2193">
                  <c:v>0.76974191121784807</c:v>
                </c:pt>
                <c:pt idx="2194">
                  <c:v>0.76974496415727434</c:v>
                </c:pt>
                <c:pt idx="2195">
                  <c:v>0.76990076859467016</c:v>
                </c:pt>
                <c:pt idx="2196">
                  <c:v>0.76999999999999991</c:v>
                </c:pt>
                <c:pt idx="2197">
                  <c:v>0.77005498450996035</c:v>
                </c:pt>
                <c:pt idx="2198">
                  <c:v>0.7701319751954423</c:v>
                </c:pt>
                <c:pt idx="2199">
                  <c:v>0.77088100686498817</c:v>
                </c:pt>
                <c:pt idx="2200">
                  <c:v>0.77139639639639623</c:v>
                </c:pt>
                <c:pt idx="2201">
                  <c:v>0.77149976061455272</c:v>
                </c:pt>
                <c:pt idx="2202">
                  <c:v>0.77152777777777737</c:v>
                </c:pt>
                <c:pt idx="2203">
                  <c:v>0.77156848862456262</c:v>
                </c:pt>
                <c:pt idx="2204">
                  <c:v>0.77172124621835314</c:v>
                </c:pt>
                <c:pt idx="2205">
                  <c:v>0.77216108704093911</c:v>
                </c:pt>
                <c:pt idx="2206">
                  <c:v>0.77230414746543818</c:v>
                </c:pt>
                <c:pt idx="2207">
                  <c:v>0.7723948628558831</c:v>
                </c:pt>
                <c:pt idx="2208">
                  <c:v>0.77247106838708124</c:v>
                </c:pt>
                <c:pt idx="2209">
                  <c:v>0.7726273588166177</c:v>
                </c:pt>
                <c:pt idx="2210">
                  <c:v>0.77311731320866239</c:v>
                </c:pt>
                <c:pt idx="2211">
                  <c:v>0.77315883673642261</c:v>
                </c:pt>
                <c:pt idx="2212">
                  <c:v>0.77447409376805232</c:v>
                </c:pt>
                <c:pt idx="2213">
                  <c:v>0.7744844995937854</c:v>
                </c:pt>
                <c:pt idx="2214">
                  <c:v>0.77458265617601907</c:v>
                </c:pt>
                <c:pt idx="2215">
                  <c:v>0.77462756416047895</c:v>
                </c:pt>
                <c:pt idx="2216">
                  <c:v>0.77509293680297442</c:v>
                </c:pt>
                <c:pt idx="2217">
                  <c:v>0.77515451174289218</c:v>
                </c:pt>
                <c:pt idx="2218">
                  <c:v>0.77517988586551945</c:v>
                </c:pt>
                <c:pt idx="2219">
                  <c:v>0.77561581569315463</c:v>
                </c:pt>
                <c:pt idx="2220">
                  <c:v>0.7756585949346817</c:v>
                </c:pt>
                <c:pt idx="2221">
                  <c:v>0.77584409335151161</c:v>
                </c:pt>
                <c:pt idx="2222">
                  <c:v>0.7761791548431618</c:v>
                </c:pt>
                <c:pt idx="2223">
                  <c:v>0.77638103219498578</c:v>
                </c:pt>
                <c:pt idx="2224">
                  <c:v>0.77640434682688231</c:v>
                </c:pt>
                <c:pt idx="2225">
                  <c:v>0.77739827272784412</c:v>
                </c:pt>
                <c:pt idx="2226">
                  <c:v>0.77775595238095263</c:v>
                </c:pt>
                <c:pt idx="2227">
                  <c:v>0.7778305768709004</c:v>
                </c:pt>
                <c:pt idx="2228">
                  <c:v>0.77808819177271449</c:v>
                </c:pt>
                <c:pt idx="2229">
                  <c:v>0.77816202427951287</c:v>
                </c:pt>
                <c:pt idx="2230">
                  <c:v>0.77826342968009654</c:v>
                </c:pt>
                <c:pt idx="2231">
                  <c:v>0.77858327168839114</c:v>
                </c:pt>
                <c:pt idx="2232">
                  <c:v>0.77894969666329672</c:v>
                </c:pt>
                <c:pt idx="2233">
                  <c:v>0.77931609674728897</c:v>
                </c:pt>
                <c:pt idx="2234">
                  <c:v>0.77967079585949373</c:v>
                </c:pt>
                <c:pt idx="2235">
                  <c:v>0.77968472573717174</c:v>
                </c:pt>
                <c:pt idx="2236">
                  <c:v>0.7798635002282418</c:v>
                </c:pt>
                <c:pt idx="2237">
                  <c:v>0.78129606802344553</c:v>
                </c:pt>
                <c:pt idx="2238">
                  <c:v>0.78147811438808479</c:v>
                </c:pt>
                <c:pt idx="2239">
                  <c:v>0.78200281950055384</c:v>
                </c:pt>
                <c:pt idx="2240">
                  <c:v>0.78240347515769337</c:v>
                </c:pt>
                <c:pt idx="2241">
                  <c:v>0.78249345244628699</c:v>
                </c:pt>
                <c:pt idx="2242">
                  <c:v>0.782617880045266</c:v>
                </c:pt>
                <c:pt idx="2243">
                  <c:v>0.78291917133501965</c:v>
                </c:pt>
                <c:pt idx="2244">
                  <c:v>0.78299170612043001</c:v>
                </c:pt>
                <c:pt idx="2245">
                  <c:v>0.78328987343329171</c:v>
                </c:pt>
                <c:pt idx="2246">
                  <c:v>0.78359746320277746</c:v>
                </c:pt>
                <c:pt idx="2247">
                  <c:v>0.78460510597892685</c:v>
                </c:pt>
                <c:pt idx="2248">
                  <c:v>0.7846564464450615</c:v>
                </c:pt>
                <c:pt idx="2249">
                  <c:v>0.78523376280954449</c:v>
                </c:pt>
                <c:pt idx="2250">
                  <c:v>0.78634166907396041</c:v>
                </c:pt>
                <c:pt idx="2251">
                  <c:v>0.78636293534369428</c:v>
                </c:pt>
                <c:pt idx="2252">
                  <c:v>0.78723906779406294</c:v>
                </c:pt>
                <c:pt idx="2253">
                  <c:v>0.78801046524855001</c:v>
                </c:pt>
                <c:pt idx="2254">
                  <c:v>0.78827471614511313</c:v>
                </c:pt>
                <c:pt idx="2255">
                  <c:v>0.78843144336102078</c:v>
                </c:pt>
                <c:pt idx="2256">
                  <c:v>0.78845920116281065</c:v>
                </c:pt>
                <c:pt idx="2257">
                  <c:v>0.78846926981255405</c:v>
                </c:pt>
                <c:pt idx="2258">
                  <c:v>0.78862761792469671</c:v>
                </c:pt>
                <c:pt idx="2259">
                  <c:v>0.7894809592922799</c:v>
                </c:pt>
                <c:pt idx="2260">
                  <c:v>0.78952771569010771</c:v>
                </c:pt>
                <c:pt idx="2261">
                  <c:v>0.79023835506289175</c:v>
                </c:pt>
                <c:pt idx="2262">
                  <c:v>0.79030100744849296</c:v>
                </c:pt>
                <c:pt idx="2263">
                  <c:v>0.79040557441486525</c:v>
                </c:pt>
                <c:pt idx="2264">
                  <c:v>0.7906955911019371</c:v>
                </c:pt>
                <c:pt idx="2265">
                  <c:v>0.79138247102017456</c:v>
                </c:pt>
                <c:pt idx="2266">
                  <c:v>0.79158527954706348</c:v>
                </c:pt>
                <c:pt idx="2267">
                  <c:v>0.79160515533003517</c:v>
                </c:pt>
                <c:pt idx="2268">
                  <c:v>0.79216240625122636</c:v>
                </c:pt>
                <c:pt idx="2269">
                  <c:v>0.7921994134897361</c:v>
                </c:pt>
                <c:pt idx="2270">
                  <c:v>0.79222972972972916</c:v>
                </c:pt>
                <c:pt idx="2271">
                  <c:v>0.79240119829473377</c:v>
                </c:pt>
                <c:pt idx="2272">
                  <c:v>0.79328507438131457</c:v>
                </c:pt>
                <c:pt idx="2273">
                  <c:v>0.79334217897685433</c:v>
                </c:pt>
                <c:pt idx="2274">
                  <c:v>0.79414208558371457</c:v>
                </c:pt>
                <c:pt idx="2275">
                  <c:v>0.79534736794602778</c:v>
                </c:pt>
                <c:pt idx="2276">
                  <c:v>0.79577942747107699</c:v>
                </c:pt>
                <c:pt idx="2277">
                  <c:v>0.79613095238095311</c:v>
                </c:pt>
                <c:pt idx="2278">
                  <c:v>0.79736376155813438</c:v>
                </c:pt>
                <c:pt idx="2279">
                  <c:v>0.79773224833739487</c:v>
                </c:pt>
                <c:pt idx="2280">
                  <c:v>0.7982812001576195</c:v>
                </c:pt>
                <c:pt idx="2281">
                  <c:v>0.79883336774726277</c:v>
                </c:pt>
                <c:pt idx="2282">
                  <c:v>0.79987706357569366</c:v>
                </c:pt>
                <c:pt idx="2283">
                  <c:v>0.80141889712995729</c:v>
                </c:pt>
                <c:pt idx="2284">
                  <c:v>0.80297211867638263</c:v>
                </c:pt>
                <c:pt idx="2285">
                  <c:v>0.80412929660823984</c:v>
                </c:pt>
                <c:pt idx="2286">
                  <c:v>0.80460947366167934</c:v>
                </c:pt>
                <c:pt idx="2287">
                  <c:v>0.80466908237889456</c:v>
                </c:pt>
                <c:pt idx="2288">
                  <c:v>0.80524347214081748</c:v>
                </c:pt>
                <c:pt idx="2289">
                  <c:v>0.80544552040276396</c:v>
                </c:pt>
                <c:pt idx="2290">
                  <c:v>0.80617464377055126</c:v>
                </c:pt>
                <c:pt idx="2291">
                  <c:v>0.80880457102866576</c:v>
                </c:pt>
                <c:pt idx="2292">
                  <c:v>0.80919397278888017</c:v>
                </c:pt>
                <c:pt idx="2293">
                  <c:v>0.81039272271919349</c:v>
                </c:pt>
                <c:pt idx="2294">
                  <c:v>0.81093600843141533</c:v>
                </c:pt>
                <c:pt idx="2295">
                  <c:v>0.81141627730833232</c:v>
                </c:pt>
                <c:pt idx="2296">
                  <c:v>0.81359947093431606</c:v>
                </c:pt>
                <c:pt idx="2297">
                  <c:v>0.81724709819492691</c:v>
                </c:pt>
                <c:pt idx="2298">
                  <c:v>0.8182125080471685</c:v>
                </c:pt>
                <c:pt idx="2299">
                  <c:v>0.81847661473366196</c:v>
                </c:pt>
                <c:pt idx="2300">
                  <c:v>0.82033158813263596</c:v>
                </c:pt>
                <c:pt idx="2301">
                  <c:v>0.8227480399878373</c:v>
                </c:pt>
                <c:pt idx="2302">
                  <c:v>0.82331999343525497</c:v>
                </c:pt>
                <c:pt idx="2303">
                  <c:v>0.82554600835591085</c:v>
                </c:pt>
                <c:pt idx="2304">
                  <c:v>0.82585651717969266</c:v>
                </c:pt>
                <c:pt idx="2305">
                  <c:v>0.82616451509655375</c:v>
                </c:pt>
                <c:pt idx="2306">
                  <c:v>0.8284169124877091</c:v>
                </c:pt>
                <c:pt idx="2307">
                  <c:v>0.83135940970522926</c:v>
                </c:pt>
                <c:pt idx="2308">
                  <c:v>0.83416258717181391</c:v>
                </c:pt>
                <c:pt idx="2309">
                  <c:v>0.83664954624873877</c:v>
                </c:pt>
                <c:pt idx="2310">
                  <c:v>0.84309504004175317</c:v>
                </c:pt>
                <c:pt idx="2311">
                  <c:v>0.86489100318887613</c:v>
                </c:pt>
                <c:pt idx="2312">
                  <c:v>0.87137607186606891</c:v>
                </c:pt>
              </c:numCache>
            </c:numRef>
          </c:yVal>
          <c:smooth val="0"/>
          <c:extLst>
            <c:ext xmlns:c16="http://schemas.microsoft.com/office/drawing/2014/chart" uri="{C3380CC4-5D6E-409C-BE32-E72D297353CC}">
              <c16:uniqueId val="{0000000A-538E-45C0-9566-83155F10FEF1}"/>
            </c:ext>
          </c:extLst>
        </c:ser>
        <c:dLbls>
          <c:showLegendKey val="0"/>
          <c:showVal val="0"/>
          <c:showCatName val="0"/>
          <c:showSerName val="0"/>
          <c:showPercent val="0"/>
          <c:showBubbleSize val="0"/>
        </c:dLbls>
        <c:axId val="2101062096"/>
        <c:axId val="2101055856"/>
      </c:scatterChart>
      <c:valAx>
        <c:axId val="2101062096"/>
        <c:scaling>
          <c:orientation val="minMax"/>
          <c:max val="200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Persons per sq km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1055856"/>
        <c:crosses val="autoZero"/>
        <c:crossBetween val="midCat"/>
        <c:majorUnit val="5000"/>
      </c:valAx>
      <c:valAx>
        <c:axId val="21010558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Index of Dissimilarity*</a:t>
                </a:r>
              </a:p>
            </c:rich>
          </c:tx>
          <c:layout>
            <c:manualLayout>
              <c:xMode val="edge"/>
              <c:yMode val="edge"/>
              <c:x val="9.9272798656400638E-3"/>
              <c:y val="0.141686032782613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1062096"/>
        <c:crosses val="autoZero"/>
        <c:crossBetween val="midCat"/>
      </c:valAx>
      <c:spPr>
        <a:noFill/>
        <a:ln>
          <a:noFill/>
        </a:ln>
        <a:effectLst/>
      </c:spPr>
    </c:plotArea>
    <c:legend>
      <c:legendPos val="b"/>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867956141645458E-2"/>
          <c:y val="2.8828828828828829E-2"/>
          <c:w val="0.89890701369054316"/>
          <c:h val="0.69960190111371212"/>
        </c:manualLayout>
      </c:layout>
      <c:barChart>
        <c:barDir val="col"/>
        <c:grouping val="clustered"/>
        <c:varyColors val="0"/>
        <c:ser>
          <c:idx val="0"/>
          <c:order val="0"/>
          <c:tx>
            <c:strRef>
              <c:f>'ABS Ed attainment by region'!$B$98</c:f>
              <c:strCache>
                <c:ptCount val="1"/>
                <c:pt idx="0">
                  <c:v>Major Cities of Australia</c:v>
                </c:pt>
              </c:strCache>
            </c:strRef>
          </c:tx>
          <c:spPr>
            <a:solidFill>
              <a:schemeClr val="accent1"/>
            </a:solidFill>
            <a:ln>
              <a:noFill/>
            </a:ln>
            <a:effectLst/>
          </c:spPr>
          <c:invertIfNegative val="0"/>
          <c:cat>
            <c:strRef>
              <c:f>'ABS Ed attainment by region'!$C$97:$F$97</c:f>
              <c:strCache>
                <c:ptCount val="4"/>
                <c:pt idx="0">
                  <c:v>Bachelor Degree or Higher</c:v>
                </c:pt>
                <c:pt idx="1">
                  <c:v>Advanced Diploma and Diploma Level</c:v>
                </c:pt>
                <c:pt idx="2">
                  <c:v>Certificate III &amp; IV Level</c:v>
                </c:pt>
                <c:pt idx="3">
                  <c:v>Secondary Education  including Certificate I &amp; II Level</c:v>
                </c:pt>
              </c:strCache>
            </c:strRef>
          </c:cat>
          <c:val>
            <c:numRef>
              <c:f>'ABS Ed attainment by region'!$C$98:$F$98</c:f>
              <c:numCache>
                <c:formatCode>0.0%</c:formatCode>
                <c:ptCount val="4"/>
                <c:pt idx="0">
                  <c:v>0.42491031043738936</c:v>
                </c:pt>
                <c:pt idx="1">
                  <c:v>0.12614887549002893</c:v>
                </c:pt>
                <c:pt idx="2">
                  <c:v>0.17845904446148006</c:v>
                </c:pt>
                <c:pt idx="3">
                  <c:v>0.27048176961110165</c:v>
                </c:pt>
              </c:numCache>
            </c:numRef>
          </c:val>
          <c:extLst>
            <c:ext xmlns:c16="http://schemas.microsoft.com/office/drawing/2014/chart" uri="{C3380CC4-5D6E-409C-BE32-E72D297353CC}">
              <c16:uniqueId val="{00000000-2EFA-455B-BA14-DB8B460BA18C}"/>
            </c:ext>
          </c:extLst>
        </c:ser>
        <c:ser>
          <c:idx val="1"/>
          <c:order val="1"/>
          <c:tx>
            <c:strRef>
              <c:f>'ABS Ed attainment by region'!$B$99</c:f>
              <c:strCache>
                <c:ptCount val="1"/>
                <c:pt idx="0">
                  <c:v>Inner Regional Australia</c:v>
                </c:pt>
              </c:strCache>
            </c:strRef>
          </c:tx>
          <c:spPr>
            <a:solidFill>
              <a:schemeClr val="accent2"/>
            </a:solidFill>
            <a:ln>
              <a:noFill/>
            </a:ln>
            <a:effectLst/>
          </c:spPr>
          <c:invertIfNegative val="0"/>
          <c:cat>
            <c:strRef>
              <c:f>'ABS Ed attainment by region'!$C$97:$F$97</c:f>
              <c:strCache>
                <c:ptCount val="4"/>
                <c:pt idx="0">
                  <c:v>Bachelor Degree or Higher</c:v>
                </c:pt>
                <c:pt idx="1">
                  <c:v>Advanced Diploma and Diploma Level</c:v>
                </c:pt>
                <c:pt idx="2">
                  <c:v>Certificate III &amp; IV Level</c:v>
                </c:pt>
                <c:pt idx="3">
                  <c:v>Secondary Education  including Certificate I &amp; II Level</c:v>
                </c:pt>
              </c:strCache>
            </c:strRef>
          </c:cat>
          <c:val>
            <c:numRef>
              <c:f>'ABS Ed attainment by region'!$C$99:$F$99</c:f>
              <c:numCache>
                <c:formatCode>0.0%</c:formatCode>
                <c:ptCount val="4"/>
                <c:pt idx="0">
                  <c:v>0.25051017964071859</c:v>
                </c:pt>
                <c:pt idx="1">
                  <c:v>0.11762697762369997</c:v>
                </c:pt>
                <c:pt idx="2">
                  <c:v>0.28588717302237632</c:v>
                </c:pt>
                <c:pt idx="3">
                  <c:v>0.34597566971320515</c:v>
                </c:pt>
              </c:numCache>
            </c:numRef>
          </c:val>
          <c:extLst>
            <c:ext xmlns:c16="http://schemas.microsoft.com/office/drawing/2014/chart" uri="{C3380CC4-5D6E-409C-BE32-E72D297353CC}">
              <c16:uniqueId val="{00000001-2EFA-455B-BA14-DB8B460BA18C}"/>
            </c:ext>
          </c:extLst>
        </c:ser>
        <c:ser>
          <c:idx val="2"/>
          <c:order val="2"/>
          <c:tx>
            <c:strRef>
              <c:f>'ABS Ed attainment by region'!$B$100</c:f>
              <c:strCache>
                <c:ptCount val="1"/>
                <c:pt idx="0">
                  <c:v>Outer Regional Australia</c:v>
                </c:pt>
              </c:strCache>
            </c:strRef>
          </c:tx>
          <c:spPr>
            <a:solidFill>
              <a:schemeClr val="accent3"/>
            </a:solidFill>
            <a:ln>
              <a:noFill/>
            </a:ln>
            <a:effectLst/>
          </c:spPr>
          <c:invertIfNegative val="0"/>
          <c:cat>
            <c:strRef>
              <c:f>'ABS Ed attainment by region'!$C$97:$F$97</c:f>
              <c:strCache>
                <c:ptCount val="4"/>
                <c:pt idx="0">
                  <c:v>Bachelor Degree or Higher</c:v>
                </c:pt>
                <c:pt idx="1">
                  <c:v>Advanced Diploma and Diploma Level</c:v>
                </c:pt>
                <c:pt idx="2">
                  <c:v>Certificate III &amp; IV Level</c:v>
                </c:pt>
                <c:pt idx="3">
                  <c:v>Secondary Education  including Certificate I &amp; II Level</c:v>
                </c:pt>
              </c:strCache>
            </c:strRef>
          </c:cat>
          <c:val>
            <c:numRef>
              <c:f>'ABS Ed attainment by region'!$C$100:$F$100</c:f>
              <c:numCache>
                <c:formatCode>0.0%</c:formatCode>
                <c:ptCount val="4"/>
                <c:pt idx="0">
                  <c:v>0.21247258924496587</c:v>
                </c:pt>
                <c:pt idx="1">
                  <c:v>0.10804345648229571</c:v>
                </c:pt>
                <c:pt idx="2">
                  <c:v>0.28489486514465084</c:v>
                </c:pt>
                <c:pt idx="3">
                  <c:v>0.39458908912808754</c:v>
                </c:pt>
              </c:numCache>
            </c:numRef>
          </c:val>
          <c:extLst>
            <c:ext xmlns:c16="http://schemas.microsoft.com/office/drawing/2014/chart" uri="{C3380CC4-5D6E-409C-BE32-E72D297353CC}">
              <c16:uniqueId val="{00000002-2EFA-455B-BA14-DB8B460BA18C}"/>
            </c:ext>
          </c:extLst>
        </c:ser>
        <c:ser>
          <c:idx val="3"/>
          <c:order val="3"/>
          <c:tx>
            <c:strRef>
              <c:f>'ABS Ed attainment by region'!$B$101</c:f>
              <c:strCache>
                <c:ptCount val="1"/>
                <c:pt idx="0">
                  <c:v>Remote Australia</c:v>
                </c:pt>
              </c:strCache>
            </c:strRef>
          </c:tx>
          <c:spPr>
            <a:solidFill>
              <a:schemeClr val="accent4"/>
            </a:solidFill>
            <a:ln>
              <a:noFill/>
            </a:ln>
            <a:effectLst/>
          </c:spPr>
          <c:invertIfNegative val="0"/>
          <c:cat>
            <c:strRef>
              <c:f>'ABS Ed attainment by region'!$C$97:$F$97</c:f>
              <c:strCache>
                <c:ptCount val="4"/>
                <c:pt idx="0">
                  <c:v>Bachelor Degree or Higher</c:v>
                </c:pt>
                <c:pt idx="1">
                  <c:v>Advanced Diploma and Diploma Level</c:v>
                </c:pt>
                <c:pt idx="2">
                  <c:v>Certificate III &amp; IV Level</c:v>
                </c:pt>
                <c:pt idx="3">
                  <c:v>Secondary Education  including Certificate I &amp; II Level</c:v>
                </c:pt>
              </c:strCache>
            </c:strRef>
          </c:cat>
          <c:val>
            <c:numRef>
              <c:f>'ABS Ed attainment by region'!$C$101:$F$101</c:f>
              <c:numCache>
                <c:formatCode>0.0%</c:formatCode>
                <c:ptCount val="4"/>
                <c:pt idx="0">
                  <c:v>0.20832011881463833</c:v>
                </c:pt>
                <c:pt idx="1">
                  <c:v>9.8509402291204154E-2</c:v>
                </c:pt>
                <c:pt idx="2">
                  <c:v>0.27239957610402471</c:v>
                </c:pt>
                <c:pt idx="3">
                  <c:v>0.42077090279013279</c:v>
                </c:pt>
              </c:numCache>
            </c:numRef>
          </c:val>
          <c:extLst>
            <c:ext xmlns:c16="http://schemas.microsoft.com/office/drawing/2014/chart" uri="{C3380CC4-5D6E-409C-BE32-E72D297353CC}">
              <c16:uniqueId val="{00000003-2EFA-455B-BA14-DB8B460BA18C}"/>
            </c:ext>
          </c:extLst>
        </c:ser>
        <c:ser>
          <c:idx val="4"/>
          <c:order val="4"/>
          <c:tx>
            <c:strRef>
              <c:f>'ABS Ed attainment by region'!$B$102</c:f>
              <c:strCache>
                <c:ptCount val="1"/>
                <c:pt idx="0">
                  <c:v>Very Remote Australia</c:v>
                </c:pt>
              </c:strCache>
            </c:strRef>
          </c:tx>
          <c:spPr>
            <a:solidFill>
              <a:schemeClr val="accent5"/>
            </a:solidFill>
            <a:ln>
              <a:noFill/>
            </a:ln>
            <a:effectLst/>
          </c:spPr>
          <c:invertIfNegative val="0"/>
          <c:cat>
            <c:strRef>
              <c:f>'ABS Ed attainment by region'!$C$97:$F$97</c:f>
              <c:strCache>
                <c:ptCount val="4"/>
                <c:pt idx="0">
                  <c:v>Bachelor Degree or Higher</c:v>
                </c:pt>
                <c:pt idx="1">
                  <c:v>Advanced Diploma and Diploma Level</c:v>
                </c:pt>
                <c:pt idx="2">
                  <c:v>Certificate III &amp; IV Level</c:v>
                </c:pt>
                <c:pt idx="3">
                  <c:v>Secondary Education  including Certificate I &amp; II Level</c:v>
                </c:pt>
              </c:strCache>
            </c:strRef>
          </c:cat>
          <c:val>
            <c:numRef>
              <c:f>'ABS Ed attainment by region'!$C$102:$F$102</c:f>
              <c:numCache>
                <c:formatCode>0.0%</c:formatCode>
                <c:ptCount val="4"/>
                <c:pt idx="0">
                  <c:v>0.15473246832700299</c:v>
                </c:pt>
                <c:pt idx="1">
                  <c:v>7.935455912717633E-2</c:v>
                </c:pt>
                <c:pt idx="2">
                  <c:v>0.23803818603584084</c:v>
                </c:pt>
                <c:pt idx="3">
                  <c:v>0.52787478650997988</c:v>
                </c:pt>
              </c:numCache>
            </c:numRef>
          </c:val>
          <c:extLst>
            <c:ext xmlns:c16="http://schemas.microsoft.com/office/drawing/2014/chart" uri="{C3380CC4-5D6E-409C-BE32-E72D297353CC}">
              <c16:uniqueId val="{00000004-2EFA-455B-BA14-DB8B460BA18C}"/>
            </c:ext>
          </c:extLst>
        </c:ser>
        <c:dLbls>
          <c:showLegendKey val="0"/>
          <c:showVal val="0"/>
          <c:showCatName val="0"/>
          <c:showSerName val="0"/>
          <c:showPercent val="0"/>
          <c:showBubbleSize val="0"/>
        </c:dLbls>
        <c:gapWidth val="219"/>
        <c:overlap val="-27"/>
        <c:axId val="206274079"/>
        <c:axId val="811028591"/>
      </c:barChart>
      <c:catAx>
        <c:axId val="20627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11028591"/>
        <c:crosses val="autoZero"/>
        <c:auto val="1"/>
        <c:lblAlgn val="ctr"/>
        <c:lblOffset val="100"/>
        <c:noMultiLvlLbl val="0"/>
      </c:catAx>
      <c:valAx>
        <c:axId val="81102859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6274079"/>
        <c:crosses val="autoZero"/>
        <c:crossBetween val="between"/>
      </c:valAx>
      <c:spPr>
        <a:noFill/>
        <a:ln>
          <a:noFill/>
        </a:ln>
        <a:effectLst/>
      </c:spPr>
    </c:plotArea>
    <c:legend>
      <c:legendPos val="r"/>
      <c:layout>
        <c:manualLayout>
          <c:xMode val="edge"/>
          <c:yMode val="edge"/>
          <c:x val="2.2953580637039995E-2"/>
          <c:y val="0.90045456480102148"/>
          <c:w val="0.96381598937398538"/>
          <c:h val="8.918067673973185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'Remoteness (2)'!$B$22</c:f>
              <c:strCache>
                <c:ptCount val="1"/>
                <c:pt idx="0">
                  <c:v>Capital City</c:v>
                </c:pt>
              </c:strCache>
            </c:strRef>
          </c:tx>
          <c:spPr>
            <a:solidFill>
              <a:srgbClr val="6929C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'Remoteness (2)'!$C$22</c:f>
              <c:numCache>
                <c:formatCode>0\%</c:formatCode>
                <c:ptCount val="1"/>
                <c:pt idx="0">
                  <c:v>69.192807438953182</c:v>
                </c:pt>
              </c:numCache>
            </c:numRef>
          </c:val>
          <c:extLst>
            <c:ext xmlns:c16="http://schemas.microsoft.com/office/drawing/2014/chart" uri="{C3380CC4-5D6E-409C-BE32-E72D297353CC}">
              <c16:uniqueId val="{00000000-2069-4AB0-96C8-4B6EE363AADC}"/>
            </c:ext>
          </c:extLst>
        </c:ser>
        <c:ser>
          <c:idx val="1"/>
          <c:order val="1"/>
          <c:tx>
            <c:strRef>
              <c:f>'Remoteness (2)'!$B$23</c:f>
              <c:strCache>
                <c:ptCount val="1"/>
                <c:pt idx="0">
                  <c:v>Regional City</c:v>
                </c:pt>
              </c:strCache>
            </c:strRef>
          </c:tx>
          <c:spPr>
            <a:solidFill>
              <a:srgbClr val="009D9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'Remoteness (2)'!$C$23</c:f>
              <c:numCache>
                <c:formatCode>0\%</c:formatCode>
                <c:ptCount val="1"/>
                <c:pt idx="0">
                  <c:v>9.0611119481794713</c:v>
                </c:pt>
              </c:numCache>
            </c:numRef>
          </c:val>
          <c:extLst>
            <c:ext xmlns:c16="http://schemas.microsoft.com/office/drawing/2014/chart" uri="{C3380CC4-5D6E-409C-BE32-E72D297353CC}">
              <c16:uniqueId val="{00000001-2069-4AB0-96C8-4B6EE363AADC}"/>
            </c:ext>
          </c:extLst>
        </c:ser>
        <c:ser>
          <c:idx val="2"/>
          <c:order val="2"/>
          <c:tx>
            <c:strRef>
              <c:f>'Remoteness (2)'!$B$24</c:f>
              <c:strCache>
                <c:ptCount val="1"/>
                <c:pt idx="0">
                  <c:v>Regional</c:v>
                </c:pt>
              </c:strCache>
            </c:strRef>
          </c:tx>
          <c:spPr>
            <a:solidFill>
              <a:srgbClr val="01274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'Remoteness (2)'!$C$24</c:f>
              <c:numCache>
                <c:formatCode>0\%</c:formatCode>
                <c:ptCount val="1"/>
                <c:pt idx="0">
                  <c:v>16.751991744407377</c:v>
                </c:pt>
              </c:numCache>
            </c:numRef>
          </c:val>
          <c:extLst>
            <c:ext xmlns:c16="http://schemas.microsoft.com/office/drawing/2014/chart" uri="{C3380CC4-5D6E-409C-BE32-E72D297353CC}">
              <c16:uniqueId val="{00000002-2069-4AB0-96C8-4B6EE363AADC}"/>
            </c:ext>
          </c:extLst>
        </c:ser>
        <c:ser>
          <c:idx val="3"/>
          <c:order val="3"/>
          <c:tx>
            <c:strRef>
              <c:f>'Remoteness (2)'!$B$25</c:f>
              <c:strCache>
                <c:ptCount val="1"/>
                <c:pt idx="0">
                  <c:v>Remote</c:v>
                </c:pt>
              </c:strCache>
            </c:strRef>
          </c:tx>
          <c:spPr>
            <a:solidFill>
              <a:srgbClr val="EE538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'Remoteness (2)'!$C$25</c:f>
              <c:numCache>
                <c:formatCode>0\%</c:formatCode>
                <c:ptCount val="1"/>
                <c:pt idx="0">
                  <c:v>4.9940888684599543</c:v>
                </c:pt>
              </c:numCache>
            </c:numRef>
          </c:val>
          <c:extLst>
            <c:ext xmlns:c16="http://schemas.microsoft.com/office/drawing/2014/chart" uri="{C3380CC4-5D6E-409C-BE32-E72D297353CC}">
              <c16:uniqueId val="{00000003-2069-4AB0-96C8-4B6EE363AADC}"/>
            </c:ext>
          </c:extLst>
        </c:ser>
        <c:dLbls>
          <c:dLblPos val="ctr"/>
          <c:showLegendKey val="0"/>
          <c:showVal val="1"/>
          <c:showCatName val="0"/>
          <c:showSerName val="0"/>
          <c:showPercent val="0"/>
          <c:showBubbleSize val="0"/>
        </c:dLbls>
        <c:gapWidth val="150"/>
        <c:overlap val="100"/>
        <c:axId val="1965329104"/>
        <c:axId val="1965327184"/>
      </c:barChart>
      <c:catAx>
        <c:axId val="1965329104"/>
        <c:scaling>
          <c:orientation val="minMax"/>
        </c:scaling>
        <c:delete val="1"/>
        <c:axPos val="l"/>
        <c:numFmt formatCode="General" sourceLinked="1"/>
        <c:majorTickMark val="none"/>
        <c:minorTickMark val="none"/>
        <c:tickLblPos val="nextTo"/>
        <c:crossAx val="1965327184"/>
        <c:crosses val="autoZero"/>
        <c:auto val="1"/>
        <c:lblAlgn val="ctr"/>
        <c:lblOffset val="100"/>
        <c:noMultiLvlLbl val="0"/>
      </c:catAx>
      <c:valAx>
        <c:axId val="1965327184"/>
        <c:scaling>
          <c:orientation val="minMax"/>
          <c:max val="100"/>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 of working age population</a:t>
                </a:r>
                <a:r>
                  <a:rPr lang="en-AU" baseline="0"/>
                  <a:t> by remoteness</a:t>
                </a:r>
                <a:endParaRPr lang="en-AU"/>
              </a:p>
            </c:rich>
          </c:tx>
          <c:layout>
            <c:manualLayout>
              <c:xMode val="edge"/>
              <c:yMode val="edge"/>
              <c:x val="0.27168770226537214"/>
              <c:y val="0.6256740810359231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196532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81960588723579"/>
          <c:y val="6.7018429147969405E-2"/>
          <c:w val="0.68728175091883981"/>
          <c:h val="0.76736849829255216"/>
        </c:manualLayout>
      </c:layout>
      <c:lineChart>
        <c:grouping val="standard"/>
        <c:varyColors val="0"/>
        <c:ser>
          <c:idx val="0"/>
          <c:order val="0"/>
          <c:tx>
            <c:strRef>
              <c:f>'Attainment by regionality'!$P$51</c:f>
              <c:strCache>
                <c:ptCount val="1"/>
                <c:pt idx="0">
                  <c:v>Major Cities</c:v>
                </c:pt>
              </c:strCache>
            </c:strRef>
          </c:tx>
          <c:spPr>
            <a:ln w="28575" cap="rnd">
              <a:solidFill>
                <a:schemeClr val="accent1"/>
              </a:solidFill>
              <a:round/>
            </a:ln>
            <a:effectLst/>
          </c:spPr>
          <c:marker>
            <c:symbol val="none"/>
          </c:marker>
          <c:cat>
            <c:numRef>
              <c:f>'Attainment by regionality'!$Q$47:$W$47</c:f>
              <c:numCache>
                <c:formatCode>0</c:formatCode>
                <c:ptCount val="7"/>
                <c:pt idx="0">
                  <c:v>2017</c:v>
                </c:pt>
                <c:pt idx="1">
                  <c:v>2018</c:v>
                </c:pt>
                <c:pt idx="2">
                  <c:v>2019</c:v>
                </c:pt>
                <c:pt idx="3">
                  <c:v>2020</c:v>
                </c:pt>
                <c:pt idx="4">
                  <c:v>2021</c:v>
                </c:pt>
                <c:pt idx="5">
                  <c:v>2022</c:v>
                </c:pt>
                <c:pt idx="6">
                  <c:v>2023</c:v>
                </c:pt>
              </c:numCache>
            </c:numRef>
          </c:cat>
          <c:val>
            <c:numRef>
              <c:f>'Attainment by regionality'!$Q$51:$W$51</c:f>
              <c:numCache>
                <c:formatCode>_-* #,##0_-;\-* #,##0_-;_-* "-"??_-;_-@_-</c:formatCode>
                <c:ptCount val="7"/>
                <c:pt idx="0">
                  <c:v>3509000</c:v>
                </c:pt>
                <c:pt idx="1">
                  <c:v>3644400</c:v>
                </c:pt>
                <c:pt idx="2">
                  <c:v>3796600</c:v>
                </c:pt>
                <c:pt idx="3">
                  <c:v>4116399.9999999995</c:v>
                </c:pt>
                <c:pt idx="4">
                  <c:v>4304100</c:v>
                </c:pt>
                <c:pt idx="5">
                  <c:v>4344800</c:v>
                </c:pt>
                <c:pt idx="6">
                  <c:v>4393600</c:v>
                </c:pt>
              </c:numCache>
            </c:numRef>
          </c:val>
          <c:smooth val="0"/>
          <c:extLst>
            <c:ext xmlns:c16="http://schemas.microsoft.com/office/drawing/2014/chart" uri="{C3380CC4-5D6E-409C-BE32-E72D297353CC}">
              <c16:uniqueId val="{00000000-BED4-40B9-8ACE-F21CE05F917C}"/>
            </c:ext>
          </c:extLst>
        </c:ser>
        <c:dLbls>
          <c:showLegendKey val="0"/>
          <c:showVal val="0"/>
          <c:showCatName val="0"/>
          <c:showSerName val="0"/>
          <c:showPercent val="0"/>
          <c:showBubbleSize val="0"/>
        </c:dLbls>
        <c:marker val="1"/>
        <c:smooth val="0"/>
        <c:axId val="1106064768"/>
        <c:axId val="1106055168"/>
      </c:lineChart>
      <c:lineChart>
        <c:grouping val="standard"/>
        <c:varyColors val="0"/>
        <c:ser>
          <c:idx val="1"/>
          <c:order val="1"/>
          <c:tx>
            <c:strRef>
              <c:f>'Attainment by regionality'!$P$50</c:f>
              <c:strCache>
                <c:ptCount val="1"/>
                <c:pt idx="0">
                  <c:v>Inner Regional</c:v>
                </c:pt>
              </c:strCache>
            </c:strRef>
          </c:tx>
          <c:spPr>
            <a:ln w="28575" cap="rnd">
              <a:solidFill>
                <a:schemeClr val="accent2"/>
              </a:solidFill>
              <a:round/>
            </a:ln>
            <a:effectLst/>
          </c:spPr>
          <c:marker>
            <c:symbol val="none"/>
          </c:marker>
          <c:cat>
            <c:numRef>
              <c:f>'Attainment by regionality'!$Q$47:$W$47</c:f>
              <c:numCache>
                <c:formatCode>0</c:formatCode>
                <c:ptCount val="7"/>
                <c:pt idx="0">
                  <c:v>2017</c:v>
                </c:pt>
                <c:pt idx="1">
                  <c:v>2018</c:v>
                </c:pt>
                <c:pt idx="2">
                  <c:v>2019</c:v>
                </c:pt>
                <c:pt idx="3">
                  <c:v>2020</c:v>
                </c:pt>
                <c:pt idx="4">
                  <c:v>2021</c:v>
                </c:pt>
                <c:pt idx="5">
                  <c:v>2022</c:v>
                </c:pt>
                <c:pt idx="6">
                  <c:v>2023</c:v>
                </c:pt>
              </c:numCache>
            </c:numRef>
          </c:cat>
          <c:val>
            <c:numRef>
              <c:f>'Attainment by regionality'!$Q$50:$W$50</c:f>
              <c:numCache>
                <c:formatCode>_-* #,##0_-;\-* #,##0_-;_-* "-"??_-;_-@_-</c:formatCode>
                <c:ptCount val="7"/>
                <c:pt idx="0">
                  <c:v>410900</c:v>
                </c:pt>
                <c:pt idx="1">
                  <c:v>436600</c:v>
                </c:pt>
                <c:pt idx="2">
                  <c:v>477900</c:v>
                </c:pt>
                <c:pt idx="3">
                  <c:v>510500</c:v>
                </c:pt>
                <c:pt idx="4">
                  <c:v>515500</c:v>
                </c:pt>
                <c:pt idx="5">
                  <c:v>570000</c:v>
                </c:pt>
                <c:pt idx="6">
                  <c:v>652300</c:v>
                </c:pt>
              </c:numCache>
            </c:numRef>
          </c:val>
          <c:smooth val="0"/>
          <c:extLst>
            <c:ext xmlns:c16="http://schemas.microsoft.com/office/drawing/2014/chart" uri="{C3380CC4-5D6E-409C-BE32-E72D297353CC}">
              <c16:uniqueId val="{00000001-BED4-40B9-8ACE-F21CE05F917C}"/>
            </c:ext>
          </c:extLst>
        </c:ser>
        <c:ser>
          <c:idx val="2"/>
          <c:order val="2"/>
          <c:tx>
            <c:strRef>
              <c:f>'Attainment by regionality'!$P$49</c:f>
              <c:strCache>
                <c:ptCount val="1"/>
                <c:pt idx="0">
                  <c:v>Outer Regional</c:v>
                </c:pt>
              </c:strCache>
            </c:strRef>
          </c:tx>
          <c:spPr>
            <a:ln w="28575" cap="rnd">
              <a:solidFill>
                <a:schemeClr val="accent3"/>
              </a:solidFill>
              <a:round/>
            </a:ln>
            <a:effectLst/>
          </c:spPr>
          <c:marker>
            <c:symbol val="none"/>
          </c:marker>
          <c:cat>
            <c:numRef>
              <c:f>'Attainment by regionality'!$Q$47:$W$47</c:f>
              <c:numCache>
                <c:formatCode>0</c:formatCode>
                <c:ptCount val="7"/>
                <c:pt idx="0">
                  <c:v>2017</c:v>
                </c:pt>
                <c:pt idx="1">
                  <c:v>2018</c:v>
                </c:pt>
                <c:pt idx="2">
                  <c:v>2019</c:v>
                </c:pt>
                <c:pt idx="3">
                  <c:v>2020</c:v>
                </c:pt>
                <c:pt idx="4">
                  <c:v>2021</c:v>
                </c:pt>
                <c:pt idx="5">
                  <c:v>2022</c:v>
                </c:pt>
                <c:pt idx="6">
                  <c:v>2023</c:v>
                </c:pt>
              </c:numCache>
            </c:numRef>
          </c:cat>
          <c:val>
            <c:numRef>
              <c:f>'Attainment by regionality'!$Q$49:$W$49</c:f>
              <c:numCache>
                <c:formatCode>_-* #,##0_-;\-* #,##0_-;_-* "-"??_-;_-@_-</c:formatCode>
                <c:ptCount val="7"/>
                <c:pt idx="0">
                  <c:v>222200</c:v>
                </c:pt>
                <c:pt idx="1">
                  <c:v>205200</c:v>
                </c:pt>
                <c:pt idx="2">
                  <c:v>188500</c:v>
                </c:pt>
                <c:pt idx="3">
                  <c:v>206000</c:v>
                </c:pt>
                <c:pt idx="4">
                  <c:v>200900</c:v>
                </c:pt>
                <c:pt idx="5">
                  <c:v>242200</c:v>
                </c:pt>
                <c:pt idx="6">
                  <c:v>259899.99999999997</c:v>
                </c:pt>
              </c:numCache>
            </c:numRef>
          </c:val>
          <c:smooth val="0"/>
          <c:extLst>
            <c:ext xmlns:c16="http://schemas.microsoft.com/office/drawing/2014/chart" uri="{C3380CC4-5D6E-409C-BE32-E72D297353CC}">
              <c16:uniqueId val="{00000002-BED4-40B9-8ACE-F21CE05F917C}"/>
            </c:ext>
          </c:extLst>
        </c:ser>
        <c:ser>
          <c:idx val="3"/>
          <c:order val="3"/>
          <c:tx>
            <c:strRef>
              <c:f>'Attainment by regionality'!$P$48</c:f>
              <c:strCache>
                <c:ptCount val="1"/>
                <c:pt idx="0">
                  <c:v>Remote &amp; Very Remote</c:v>
                </c:pt>
              </c:strCache>
            </c:strRef>
          </c:tx>
          <c:spPr>
            <a:ln w="28575" cap="rnd">
              <a:solidFill>
                <a:schemeClr val="accent4"/>
              </a:solidFill>
              <a:round/>
            </a:ln>
            <a:effectLst/>
          </c:spPr>
          <c:marker>
            <c:symbol val="none"/>
          </c:marker>
          <c:cat>
            <c:numRef>
              <c:f>'Attainment by regionality'!$Q$47:$W$47</c:f>
              <c:numCache>
                <c:formatCode>0</c:formatCode>
                <c:ptCount val="7"/>
                <c:pt idx="0">
                  <c:v>2017</c:v>
                </c:pt>
                <c:pt idx="1">
                  <c:v>2018</c:v>
                </c:pt>
                <c:pt idx="2">
                  <c:v>2019</c:v>
                </c:pt>
                <c:pt idx="3">
                  <c:v>2020</c:v>
                </c:pt>
                <c:pt idx="4">
                  <c:v>2021</c:v>
                </c:pt>
                <c:pt idx="5">
                  <c:v>2022</c:v>
                </c:pt>
                <c:pt idx="6">
                  <c:v>2023</c:v>
                </c:pt>
              </c:numCache>
            </c:numRef>
          </c:cat>
          <c:val>
            <c:numRef>
              <c:f>'Attainment by regionality'!$Q$48:$W$48</c:f>
              <c:numCache>
                <c:formatCode>_-* #,##0_-;\-* #,##0_-;_-* "-"??_-;_-@_-</c:formatCode>
                <c:ptCount val="7"/>
                <c:pt idx="0">
                  <c:v>47900</c:v>
                </c:pt>
                <c:pt idx="1">
                  <c:v>38100</c:v>
                </c:pt>
                <c:pt idx="2">
                  <c:v>46500</c:v>
                </c:pt>
                <c:pt idx="3">
                  <c:v>38200</c:v>
                </c:pt>
                <c:pt idx="4">
                  <c:v>38700</c:v>
                </c:pt>
                <c:pt idx="5">
                  <c:v>42100</c:v>
                </c:pt>
                <c:pt idx="6">
                  <c:v>42700</c:v>
                </c:pt>
              </c:numCache>
            </c:numRef>
          </c:val>
          <c:smooth val="0"/>
          <c:extLst>
            <c:ext xmlns:c16="http://schemas.microsoft.com/office/drawing/2014/chart" uri="{C3380CC4-5D6E-409C-BE32-E72D297353CC}">
              <c16:uniqueId val="{00000003-BED4-40B9-8ACE-F21CE05F917C}"/>
            </c:ext>
          </c:extLst>
        </c:ser>
        <c:dLbls>
          <c:showLegendKey val="0"/>
          <c:showVal val="0"/>
          <c:showCatName val="0"/>
          <c:showSerName val="0"/>
          <c:showPercent val="0"/>
          <c:showBubbleSize val="0"/>
        </c:dLbls>
        <c:marker val="1"/>
        <c:smooth val="0"/>
        <c:axId val="214078512"/>
        <c:axId val="287189696"/>
      </c:lineChart>
      <c:catAx>
        <c:axId val="11060647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06055168"/>
        <c:crosses val="autoZero"/>
        <c:auto val="1"/>
        <c:lblAlgn val="ctr"/>
        <c:lblOffset val="100"/>
        <c:noMultiLvlLbl val="0"/>
      </c:catAx>
      <c:valAx>
        <c:axId val="110605516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06064768"/>
        <c:crosses val="autoZero"/>
        <c:crossBetween val="between"/>
        <c:dispUnits>
          <c:builtInUnit val="thousands"/>
          <c:dispUnitsLbl>
            <c:layout>
              <c:manualLayout>
                <c:xMode val="edge"/>
                <c:yMode val="edge"/>
                <c:x val="2.4060145103480684E-2"/>
                <c:y val="0.28734366268732536"/>
              </c:manualLayout>
            </c:layout>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Thousands (Major Cities)</a:t>
                  </a:r>
                </a:p>
              </c:rich>
            </c:tx>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dispUnitsLbl>
        </c:dispUnits>
      </c:valAx>
      <c:valAx>
        <c:axId val="287189696"/>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Regional and Remote Areas</a:t>
                </a:r>
              </a:p>
            </c:rich>
          </c:tx>
          <c:layout>
            <c:manualLayout>
              <c:xMode val="edge"/>
              <c:yMode val="edge"/>
              <c:x val="0.95554370136722599"/>
              <c:y val="0.27715383964101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4078512"/>
        <c:crosses val="max"/>
        <c:crossBetween val="between"/>
      </c:valAx>
      <c:catAx>
        <c:axId val="214078512"/>
        <c:scaling>
          <c:orientation val="minMax"/>
        </c:scaling>
        <c:delete val="1"/>
        <c:axPos val="b"/>
        <c:numFmt formatCode="0" sourceLinked="1"/>
        <c:majorTickMark val="out"/>
        <c:minorTickMark val="none"/>
        <c:tickLblPos val="nextTo"/>
        <c:crossAx val="287189696"/>
        <c:crosses val="autoZero"/>
        <c:auto val="1"/>
        <c:lblAlgn val="ctr"/>
        <c:lblOffset val="100"/>
        <c:noMultiLvlLbl val="0"/>
      </c:catAx>
      <c:spPr>
        <a:noFill/>
        <a:ln>
          <a:noFill/>
        </a:ln>
        <a:effectLst/>
      </c:spPr>
    </c:plotArea>
    <c:legend>
      <c:legendPos val="r"/>
      <c:layout>
        <c:manualLayout>
          <c:xMode val="edge"/>
          <c:yMode val="edge"/>
          <c:x val="0"/>
          <c:y val="0.91742477351621377"/>
          <c:w val="1"/>
          <c:h val="4.52992408207038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'Attri Success and rent'!$AD$57</c:f>
              <c:strCache>
                <c:ptCount val="1"/>
                <c:pt idx="0">
                  <c:v>2018</c:v>
                </c:pt>
              </c:strCache>
            </c:strRef>
          </c:tx>
          <c:spPr>
            <a:solidFill>
              <a:schemeClr val="accent1"/>
            </a:solidFill>
            <a:ln>
              <a:noFill/>
            </a:ln>
            <a:effectLst/>
          </c:spPr>
          <c:invertIfNegative val="0"/>
          <c:cat>
            <c:strRef>
              <c:f>'Attri Success and rent'!$AB$58:$AB$68</c:f>
              <c:strCache>
                <c:ptCount val="11"/>
                <c:pt idx="0">
                  <c:v>Charles Sturt University</c:v>
                </c:pt>
                <c:pt idx="1">
                  <c:v>Southern Cross University</c:v>
                </c:pt>
                <c:pt idx="2">
                  <c:v>The University of New England</c:v>
                </c:pt>
                <c:pt idx="3">
                  <c:v>Federation University Australia</c:v>
                </c:pt>
                <c:pt idx="4">
                  <c:v>CQUniversity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rent'!$AD$58:$AD$68</c:f>
              <c:numCache>
                <c:formatCode>General</c:formatCode>
                <c:ptCount val="11"/>
                <c:pt idx="0">
                  <c:v>0.80790000000000006</c:v>
                </c:pt>
                <c:pt idx="1">
                  <c:v>0.74450000000000005</c:v>
                </c:pt>
                <c:pt idx="2">
                  <c:v>0.70459999999999989</c:v>
                </c:pt>
                <c:pt idx="3">
                  <c:v>0.78610000000000002</c:v>
                </c:pt>
                <c:pt idx="4">
                  <c:v>0.77029999999999998</c:v>
                </c:pt>
                <c:pt idx="5">
                  <c:v>0.72270000000000001</c:v>
                </c:pt>
                <c:pt idx="6">
                  <c:v>0.80879999999999996</c:v>
                </c:pt>
                <c:pt idx="7">
                  <c:v>0.84439999999999993</c:v>
                </c:pt>
                <c:pt idx="8">
                  <c:v>0.75790000000000002</c:v>
                </c:pt>
                <c:pt idx="9">
                  <c:v>0.84870000000000001</c:v>
                </c:pt>
                <c:pt idx="10">
                  <c:v>0.84420000000000006</c:v>
                </c:pt>
              </c:numCache>
            </c:numRef>
          </c:val>
          <c:extLst xmlns:c15="http://schemas.microsoft.com/office/drawing/2012/chart">
            <c:ext xmlns:c16="http://schemas.microsoft.com/office/drawing/2014/chart" uri="{C3380CC4-5D6E-409C-BE32-E72D297353CC}">
              <c16:uniqueId val="{00000005-0072-446A-BD15-CD8F2E9EA68C}"/>
            </c:ext>
          </c:extLst>
        </c:ser>
        <c:ser>
          <c:idx val="1"/>
          <c:order val="1"/>
          <c:tx>
            <c:strRef>
              <c:f>'Attri Success and rent'!$AE$57</c:f>
              <c:strCache>
                <c:ptCount val="1"/>
                <c:pt idx="0">
                  <c:v>2019</c:v>
                </c:pt>
              </c:strCache>
            </c:strRef>
          </c:tx>
          <c:spPr>
            <a:solidFill>
              <a:schemeClr val="accent2"/>
            </a:solidFill>
            <a:ln>
              <a:noFill/>
            </a:ln>
            <a:effectLst/>
          </c:spPr>
          <c:invertIfNegative val="0"/>
          <c:cat>
            <c:strRef>
              <c:f>'Attri Success and rent'!$AB$58:$AB$68</c:f>
              <c:strCache>
                <c:ptCount val="11"/>
                <c:pt idx="0">
                  <c:v>Charles Sturt University</c:v>
                </c:pt>
                <c:pt idx="1">
                  <c:v>Southern Cross University</c:v>
                </c:pt>
                <c:pt idx="2">
                  <c:v>The University of New England</c:v>
                </c:pt>
                <c:pt idx="3">
                  <c:v>Federation University Australia</c:v>
                </c:pt>
                <c:pt idx="4">
                  <c:v>CQUniversity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rent'!$AE$58:$AE$68</c:f>
              <c:numCache>
                <c:formatCode>General</c:formatCode>
                <c:ptCount val="11"/>
                <c:pt idx="0">
                  <c:v>0.80859999999999999</c:v>
                </c:pt>
                <c:pt idx="1">
                  <c:v>0.75829999999999997</c:v>
                </c:pt>
                <c:pt idx="2">
                  <c:v>0.69400000000000006</c:v>
                </c:pt>
                <c:pt idx="3">
                  <c:v>0.80879999999999996</c:v>
                </c:pt>
                <c:pt idx="4">
                  <c:v>0.79079999999999995</c:v>
                </c:pt>
                <c:pt idx="5">
                  <c:v>0.72530000000000006</c:v>
                </c:pt>
                <c:pt idx="6">
                  <c:v>0.81840000000000002</c:v>
                </c:pt>
                <c:pt idx="7">
                  <c:v>0.84230000000000005</c:v>
                </c:pt>
                <c:pt idx="8">
                  <c:v>0.77349999999999997</c:v>
                </c:pt>
                <c:pt idx="9">
                  <c:v>0.85329999999999995</c:v>
                </c:pt>
                <c:pt idx="10">
                  <c:v>0.8488</c:v>
                </c:pt>
              </c:numCache>
            </c:numRef>
          </c:val>
          <c:extLst>
            <c:ext xmlns:c16="http://schemas.microsoft.com/office/drawing/2014/chart" uri="{C3380CC4-5D6E-409C-BE32-E72D297353CC}">
              <c16:uniqueId val="{00000000-0072-446A-BD15-CD8F2E9EA68C}"/>
            </c:ext>
          </c:extLst>
        </c:ser>
        <c:ser>
          <c:idx val="2"/>
          <c:order val="2"/>
          <c:tx>
            <c:strRef>
              <c:f>'Attri Success and rent'!$AF$57</c:f>
              <c:strCache>
                <c:ptCount val="1"/>
                <c:pt idx="0">
                  <c:v>2020</c:v>
                </c:pt>
              </c:strCache>
            </c:strRef>
          </c:tx>
          <c:spPr>
            <a:solidFill>
              <a:schemeClr val="accent3"/>
            </a:solidFill>
            <a:ln>
              <a:noFill/>
            </a:ln>
            <a:effectLst/>
          </c:spPr>
          <c:invertIfNegative val="0"/>
          <c:cat>
            <c:strRef>
              <c:f>'Attri Success and rent'!$AB$58:$AB$68</c:f>
              <c:strCache>
                <c:ptCount val="11"/>
                <c:pt idx="0">
                  <c:v>Charles Sturt University</c:v>
                </c:pt>
                <c:pt idx="1">
                  <c:v>Southern Cross University</c:v>
                </c:pt>
                <c:pt idx="2">
                  <c:v>The University of New England</c:v>
                </c:pt>
                <c:pt idx="3">
                  <c:v>Federation University Australia</c:v>
                </c:pt>
                <c:pt idx="4">
                  <c:v>CQUniversity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rent'!$AF$58:$AF$68</c:f>
              <c:numCache>
                <c:formatCode>General</c:formatCode>
                <c:ptCount val="11"/>
                <c:pt idx="0">
                  <c:v>0.82669999999999999</c:v>
                </c:pt>
                <c:pt idx="1">
                  <c:v>0.78129999999999999</c:v>
                </c:pt>
                <c:pt idx="2">
                  <c:v>0.73860000000000003</c:v>
                </c:pt>
                <c:pt idx="4">
                  <c:v>0.80720000000000003</c:v>
                </c:pt>
                <c:pt idx="5">
                  <c:v>0.73670000000000002</c:v>
                </c:pt>
                <c:pt idx="6">
                  <c:v>0.80420000000000003</c:v>
                </c:pt>
                <c:pt idx="7">
                  <c:v>0.84450000000000003</c:v>
                </c:pt>
                <c:pt idx="8">
                  <c:v>0.8145</c:v>
                </c:pt>
                <c:pt idx="9">
                  <c:v>0.84950000000000003</c:v>
                </c:pt>
                <c:pt idx="10">
                  <c:v>0.85849999999999993</c:v>
                </c:pt>
              </c:numCache>
            </c:numRef>
          </c:val>
          <c:extLst>
            <c:ext xmlns:c16="http://schemas.microsoft.com/office/drawing/2014/chart" uri="{C3380CC4-5D6E-409C-BE32-E72D297353CC}">
              <c16:uniqueId val="{00000001-0072-446A-BD15-CD8F2E9EA68C}"/>
            </c:ext>
          </c:extLst>
        </c:ser>
        <c:ser>
          <c:idx val="3"/>
          <c:order val="3"/>
          <c:tx>
            <c:strRef>
              <c:f>'Attri Success and rent'!$AG$57</c:f>
              <c:strCache>
                <c:ptCount val="1"/>
                <c:pt idx="0">
                  <c:v>2021</c:v>
                </c:pt>
              </c:strCache>
            </c:strRef>
          </c:tx>
          <c:spPr>
            <a:solidFill>
              <a:schemeClr val="accent4"/>
            </a:solidFill>
            <a:ln>
              <a:noFill/>
            </a:ln>
            <a:effectLst/>
          </c:spPr>
          <c:invertIfNegative val="0"/>
          <c:cat>
            <c:strRef>
              <c:f>'Attri Success and rent'!$AB$58:$AB$68</c:f>
              <c:strCache>
                <c:ptCount val="11"/>
                <c:pt idx="0">
                  <c:v>Charles Sturt University</c:v>
                </c:pt>
                <c:pt idx="1">
                  <c:v>Southern Cross University</c:v>
                </c:pt>
                <c:pt idx="2">
                  <c:v>The University of New England</c:v>
                </c:pt>
                <c:pt idx="3">
                  <c:v>Federation University Australia</c:v>
                </c:pt>
                <c:pt idx="4">
                  <c:v>CQUniversity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rent'!$AG$58:$AG$68</c:f>
              <c:numCache>
                <c:formatCode>General</c:formatCode>
                <c:ptCount val="11"/>
                <c:pt idx="0">
                  <c:v>0.84109999999999996</c:v>
                </c:pt>
                <c:pt idx="1">
                  <c:v>0.79189999999999994</c:v>
                </c:pt>
                <c:pt idx="2">
                  <c:v>0.73170000000000002</c:v>
                </c:pt>
                <c:pt idx="3">
                  <c:v>0.82220000000000004</c:v>
                </c:pt>
                <c:pt idx="4">
                  <c:v>0.79</c:v>
                </c:pt>
                <c:pt idx="5">
                  <c:v>0.74010000000000009</c:v>
                </c:pt>
                <c:pt idx="6">
                  <c:v>0.82469999999999999</c:v>
                </c:pt>
                <c:pt idx="7">
                  <c:v>0.85470000000000002</c:v>
                </c:pt>
                <c:pt idx="8">
                  <c:v>0.80379999999999996</c:v>
                </c:pt>
                <c:pt idx="9">
                  <c:v>0.87659999999999993</c:v>
                </c:pt>
                <c:pt idx="10">
                  <c:v>0.84930000000000005</c:v>
                </c:pt>
              </c:numCache>
            </c:numRef>
          </c:val>
          <c:extLst>
            <c:ext xmlns:c16="http://schemas.microsoft.com/office/drawing/2014/chart" uri="{C3380CC4-5D6E-409C-BE32-E72D297353CC}">
              <c16:uniqueId val="{00000002-0072-446A-BD15-CD8F2E9EA68C}"/>
            </c:ext>
          </c:extLst>
        </c:ser>
        <c:ser>
          <c:idx val="4"/>
          <c:order val="4"/>
          <c:tx>
            <c:strRef>
              <c:f>'Attri Success and rent'!$AH$57</c:f>
              <c:strCache>
                <c:ptCount val="1"/>
                <c:pt idx="0">
                  <c:v>2022</c:v>
                </c:pt>
              </c:strCache>
            </c:strRef>
          </c:tx>
          <c:spPr>
            <a:solidFill>
              <a:schemeClr val="accent5"/>
            </a:solidFill>
            <a:ln>
              <a:noFill/>
            </a:ln>
            <a:effectLst/>
          </c:spPr>
          <c:invertIfNegative val="0"/>
          <c:cat>
            <c:strRef>
              <c:f>'Attri Success and rent'!$AB$58:$AB$68</c:f>
              <c:strCache>
                <c:ptCount val="11"/>
                <c:pt idx="0">
                  <c:v>Charles Sturt University</c:v>
                </c:pt>
                <c:pt idx="1">
                  <c:v>Southern Cross University</c:v>
                </c:pt>
                <c:pt idx="2">
                  <c:v>The University of New England</c:v>
                </c:pt>
                <c:pt idx="3">
                  <c:v>Federation University Australia</c:v>
                </c:pt>
                <c:pt idx="4">
                  <c:v>CQUniversity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rent'!$AH$58:$AH$68</c:f>
              <c:numCache>
                <c:formatCode>General</c:formatCode>
                <c:ptCount val="11"/>
                <c:pt idx="0">
                  <c:v>0.81700000000000006</c:v>
                </c:pt>
                <c:pt idx="1">
                  <c:v>0.81420000000000003</c:v>
                </c:pt>
                <c:pt idx="2">
                  <c:v>0.71790000000000009</c:v>
                </c:pt>
                <c:pt idx="3">
                  <c:v>0.81120000000000003</c:v>
                </c:pt>
                <c:pt idx="4">
                  <c:v>0.79159999999999997</c:v>
                </c:pt>
                <c:pt idx="5">
                  <c:v>0.77139999999999997</c:v>
                </c:pt>
                <c:pt idx="6">
                  <c:v>0.82340000000000002</c:v>
                </c:pt>
                <c:pt idx="7">
                  <c:v>0.87170000000000003</c:v>
                </c:pt>
                <c:pt idx="8">
                  <c:v>0.77579999999999993</c:v>
                </c:pt>
                <c:pt idx="9">
                  <c:v>0.84310000000000007</c:v>
                </c:pt>
                <c:pt idx="10">
                  <c:v>0.83950000000000002</c:v>
                </c:pt>
              </c:numCache>
            </c:numRef>
          </c:val>
          <c:extLst>
            <c:ext xmlns:c16="http://schemas.microsoft.com/office/drawing/2014/chart" uri="{C3380CC4-5D6E-409C-BE32-E72D297353CC}">
              <c16:uniqueId val="{00000003-0072-446A-BD15-CD8F2E9EA68C}"/>
            </c:ext>
          </c:extLst>
        </c:ser>
        <c:dLbls>
          <c:showLegendKey val="0"/>
          <c:showVal val="0"/>
          <c:showCatName val="0"/>
          <c:showSerName val="0"/>
          <c:showPercent val="0"/>
          <c:showBubbleSize val="0"/>
        </c:dLbls>
        <c:gapWidth val="182"/>
        <c:axId val="1752341615"/>
        <c:axId val="1752350735"/>
        <c:extLst/>
      </c:barChart>
      <c:catAx>
        <c:axId val="17523416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52350735"/>
        <c:crosses val="autoZero"/>
        <c:auto val="1"/>
        <c:lblAlgn val="ctr"/>
        <c:lblOffset val="100"/>
        <c:noMultiLvlLbl val="0"/>
      </c:catAx>
      <c:valAx>
        <c:axId val="1752350735"/>
        <c:scaling>
          <c:orientation val="minMax"/>
          <c:max val="0.9"/>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52341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'Attri Success and rent'!$AC$2</c:f>
              <c:strCache>
                <c:ptCount val="1"/>
                <c:pt idx="0">
                  <c:v>2018</c:v>
                </c:pt>
              </c:strCache>
            </c:strRef>
          </c:tx>
          <c:spPr>
            <a:solidFill>
              <a:schemeClr val="accent1"/>
            </a:solidFill>
            <a:ln>
              <a:noFill/>
            </a:ln>
            <a:effectLst/>
          </c:spPr>
          <c:invertIfNegative val="0"/>
          <c:cat>
            <c:strRef>
              <c:f>'Attri Success and rent'!$V$3:$V$13</c:f>
              <c:strCache>
                <c:ptCount val="11"/>
                <c:pt idx="0">
                  <c:v>Charles Sturt University</c:v>
                </c:pt>
                <c:pt idx="1">
                  <c:v>Southern Cross University</c:v>
                </c:pt>
                <c:pt idx="2">
                  <c:v>The University of New England</c:v>
                </c:pt>
                <c:pt idx="3">
                  <c:v>Federation University Australia</c:v>
                </c:pt>
                <c:pt idx="4">
                  <c:v>CQ 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rent'!$AC$3:$AC$13</c:f>
              <c:numCache>
                <c:formatCode>0%</c:formatCode>
                <c:ptCount val="11"/>
                <c:pt idx="0">
                  <c:v>0.23089999999999999</c:v>
                </c:pt>
                <c:pt idx="1">
                  <c:v>0.23960000000000001</c:v>
                </c:pt>
                <c:pt idx="2">
                  <c:v>0.25269999999999998</c:v>
                </c:pt>
                <c:pt idx="3">
                  <c:v>0.23780000000000001</c:v>
                </c:pt>
                <c:pt idx="4">
                  <c:v>0.249</c:v>
                </c:pt>
                <c:pt idx="5">
                  <c:v>0.2329</c:v>
                </c:pt>
                <c:pt idx="6">
                  <c:v>0.21640000000000001</c:v>
                </c:pt>
                <c:pt idx="7">
                  <c:v>0.16039999999999999</c:v>
                </c:pt>
                <c:pt idx="8">
                  <c:v>0.21879999999999999</c:v>
                </c:pt>
                <c:pt idx="9">
                  <c:v>0.23780000000000001</c:v>
                </c:pt>
                <c:pt idx="10">
                  <c:v>0.14550000000000002</c:v>
                </c:pt>
              </c:numCache>
            </c:numRef>
          </c:val>
          <c:extLst>
            <c:ext xmlns:c16="http://schemas.microsoft.com/office/drawing/2014/chart" uri="{C3380CC4-5D6E-409C-BE32-E72D297353CC}">
              <c16:uniqueId val="{00000000-9612-47AD-B696-0C256925DABC}"/>
            </c:ext>
          </c:extLst>
        </c:ser>
        <c:ser>
          <c:idx val="1"/>
          <c:order val="1"/>
          <c:tx>
            <c:strRef>
              <c:f>'Attri Success and rent'!$AD$2</c:f>
              <c:strCache>
                <c:ptCount val="1"/>
                <c:pt idx="0">
                  <c:v>2019</c:v>
                </c:pt>
              </c:strCache>
            </c:strRef>
          </c:tx>
          <c:spPr>
            <a:solidFill>
              <a:schemeClr val="accent2"/>
            </a:solidFill>
            <a:ln>
              <a:noFill/>
            </a:ln>
            <a:effectLst/>
          </c:spPr>
          <c:invertIfNegative val="0"/>
          <c:cat>
            <c:strRef>
              <c:f>'Attri Success and rent'!$V$3:$V$13</c:f>
              <c:strCache>
                <c:ptCount val="11"/>
                <c:pt idx="0">
                  <c:v>Charles Sturt University</c:v>
                </c:pt>
                <c:pt idx="1">
                  <c:v>Southern Cross University</c:v>
                </c:pt>
                <c:pt idx="2">
                  <c:v>The University of New England</c:v>
                </c:pt>
                <c:pt idx="3">
                  <c:v>Federation University Australia</c:v>
                </c:pt>
                <c:pt idx="4">
                  <c:v>CQ 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rent'!$AD$3:$AD$13</c:f>
              <c:numCache>
                <c:formatCode>0%</c:formatCode>
                <c:ptCount val="11"/>
                <c:pt idx="0">
                  <c:v>0.21010000000000001</c:v>
                </c:pt>
                <c:pt idx="1">
                  <c:v>0.21850000000000003</c:v>
                </c:pt>
                <c:pt idx="2">
                  <c:v>0.249</c:v>
                </c:pt>
                <c:pt idx="3">
                  <c:v>0.23329999999999998</c:v>
                </c:pt>
                <c:pt idx="4">
                  <c:v>0.2225</c:v>
                </c:pt>
                <c:pt idx="5">
                  <c:v>0.22399999999999998</c:v>
                </c:pt>
                <c:pt idx="6">
                  <c:v>0.2021</c:v>
                </c:pt>
                <c:pt idx="7">
                  <c:v>0.17</c:v>
                </c:pt>
                <c:pt idx="8">
                  <c:v>0.2109</c:v>
                </c:pt>
                <c:pt idx="9">
                  <c:v>0.21510000000000001</c:v>
                </c:pt>
                <c:pt idx="10">
                  <c:v>0.1323</c:v>
                </c:pt>
              </c:numCache>
            </c:numRef>
          </c:val>
          <c:extLst>
            <c:ext xmlns:c16="http://schemas.microsoft.com/office/drawing/2014/chart" uri="{C3380CC4-5D6E-409C-BE32-E72D297353CC}">
              <c16:uniqueId val="{00000001-9612-47AD-B696-0C256925DABC}"/>
            </c:ext>
          </c:extLst>
        </c:ser>
        <c:ser>
          <c:idx val="2"/>
          <c:order val="2"/>
          <c:tx>
            <c:strRef>
              <c:f>'Attri Success and rent'!$AE$2</c:f>
              <c:strCache>
                <c:ptCount val="1"/>
                <c:pt idx="0">
                  <c:v>2020</c:v>
                </c:pt>
              </c:strCache>
            </c:strRef>
          </c:tx>
          <c:spPr>
            <a:solidFill>
              <a:schemeClr val="accent3"/>
            </a:solidFill>
            <a:ln>
              <a:noFill/>
            </a:ln>
            <a:effectLst/>
          </c:spPr>
          <c:invertIfNegative val="0"/>
          <c:cat>
            <c:strRef>
              <c:f>'Attri Success and rent'!$V$3:$V$13</c:f>
              <c:strCache>
                <c:ptCount val="11"/>
                <c:pt idx="0">
                  <c:v>Charles Sturt University</c:v>
                </c:pt>
                <c:pt idx="1">
                  <c:v>Southern Cross University</c:v>
                </c:pt>
                <c:pt idx="2">
                  <c:v>The University of New England</c:v>
                </c:pt>
                <c:pt idx="3">
                  <c:v>Federation University Australia</c:v>
                </c:pt>
                <c:pt idx="4">
                  <c:v>CQ 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rent'!$AE$3:$AE$13</c:f>
              <c:numCache>
                <c:formatCode>0%</c:formatCode>
                <c:ptCount val="11"/>
                <c:pt idx="0">
                  <c:v>0.22420000000000001</c:v>
                </c:pt>
                <c:pt idx="1">
                  <c:v>0.2351</c:v>
                </c:pt>
                <c:pt idx="2">
                  <c:v>0.2339</c:v>
                </c:pt>
                <c:pt idx="3">
                  <c:v>0.16879999999999998</c:v>
                </c:pt>
                <c:pt idx="4">
                  <c:v>0.22329999999999997</c:v>
                </c:pt>
                <c:pt idx="5">
                  <c:v>0.2127</c:v>
                </c:pt>
                <c:pt idx="6">
                  <c:v>0.19850000000000001</c:v>
                </c:pt>
                <c:pt idx="7">
                  <c:v>0.1429</c:v>
                </c:pt>
                <c:pt idx="8">
                  <c:v>0.1865</c:v>
                </c:pt>
                <c:pt idx="9">
                  <c:v>0.1852</c:v>
                </c:pt>
                <c:pt idx="10">
                  <c:v>0.12740000000000001</c:v>
                </c:pt>
              </c:numCache>
            </c:numRef>
          </c:val>
          <c:extLst>
            <c:ext xmlns:c16="http://schemas.microsoft.com/office/drawing/2014/chart" uri="{C3380CC4-5D6E-409C-BE32-E72D297353CC}">
              <c16:uniqueId val="{00000002-9612-47AD-B696-0C256925DABC}"/>
            </c:ext>
          </c:extLst>
        </c:ser>
        <c:ser>
          <c:idx val="3"/>
          <c:order val="3"/>
          <c:tx>
            <c:strRef>
              <c:f>'Attri Success and rent'!$AF$2</c:f>
              <c:strCache>
                <c:ptCount val="1"/>
                <c:pt idx="0">
                  <c:v>2021</c:v>
                </c:pt>
              </c:strCache>
            </c:strRef>
          </c:tx>
          <c:spPr>
            <a:solidFill>
              <a:schemeClr val="accent4"/>
            </a:solidFill>
            <a:ln>
              <a:noFill/>
            </a:ln>
            <a:effectLst/>
          </c:spPr>
          <c:invertIfNegative val="0"/>
          <c:cat>
            <c:strRef>
              <c:f>'Attri Success and rent'!$V$3:$V$13</c:f>
              <c:strCache>
                <c:ptCount val="11"/>
                <c:pt idx="0">
                  <c:v>Charles Sturt University</c:v>
                </c:pt>
                <c:pt idx="1">
                  <c:v>Southern Cross University</c:v>
                </c:pt>
                <c:pt idx="2">
                  <c:v>The University of New England</c:v>
                </c:pt>
                <c:pt idx="3">
                  <c:v>Federation University Australia</c:v>
                </c:pt>
                <c:pt idx="4">
                  <c:v>CQ University</c:v>
                </c:pt>
                <c:pt idx="5">
                  <c:v>University of Southern Queensland</c:v>
                </c:pt>
                <c:pt idx="6">
                  <c:v>University of the Sunshine Coast</c:v>
                </c:pt>
                <c:pt idx="7">
                  <c:v>James Cook University</c:v>
                </c:pt>
                <c:pt idx="8">
                  <c:v>Charles Darwin University</c:v>
                </c:pt>
                <c:pt idx="9">
                  <c:v>University of Tasmania</c:v>
                </c:pt>
                <c:pt idx="10">
                  <c:v>All Universities</c:v>
                </c:pt>
              </c:strCache>
            </c:strRef>
          </c:cat>
          <c:val>
            <c:numRef>
              <c:f>'Attri Success and rent'!$AF$3:$AF$13</c:f>
              <c:numCache>
                <c:formatCode>0%</c:formatCode>
                <c:ptCount val="11"/>
                <c:pt idx="0">
                  <c:v>0.21</c:v>
                </c:pt>
                <c:pt idx="1">
                  <c:v>0.24760000000000001</c:v>
                </c:pt>
                <c:pt idx="2">
                  <c:v>0.24879999999999999</c:v>
                </c:pt>
                <c:pt idx="3">
                  <c:v>0.2361</c:v>
                </c:pt>
                <c:pt idx="4">
                  <c:v>0.25040000000000001</c:v>
                </c:pt>
                <c:pt idx="5">
                  <c:v>0.23870000000000002</c:v>
                </c:pt>
                <c:pt idx="6">
                  <c:v>0.21739999999999998</c:v>
                </c:pt>
                <c:pt idx="7">
                  <c:v>0.16699999999999998</c:v>
                </c:pt>
                <c:pt idx="8">
                  <c:v>0.19500000000000001</c:v>
                </c:pt>
                <c:pt idx="9">
                  <c:v>0.1804</c:v>
                </c:pt>
                <c:pt idx="10">
                  <c:v>0.14730000000000001</c:v>
                </c:pt>
              </c:numCache>
            </c:numRef>
          </c:val>
          <c:extLst>
            <c:ext xmlns:c16="http://schemas.microsoft.com/office/drawing/2014/chart" uri="{C3380CC4-5D6E-409C-BE32-E72D297353CC}">
              <c16:uniqueId val="{00000003-9612-47AD-B696-0C256925DABC}"/>
            </c:ext>
          </c:extLst>
        </c:ser>
        <c:dLbls>
          <c:showLegendKey val="0"/>
          <c:showVal val="0"/>
          <c:showCatName val="0"/>
          <c:showSerName val="0"/>
          <c:showPercent val="0"/>
          <c:showBubbleSize val="0"/>
        </c:dLbls>
        <c:gapWidth val="219"/>
        <c:axId val="570015808"/>
        <c:axId val="570014848"/>
      </c:barChart>
      <c:catAx>
        <c:axId val="57001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0014848"/>
        <c:crosses val="autoZero"/>
        <c:auto val="1"/>
        <c:lblAlgn val="ctr"/>
        <c:lblOffset val="100"/>
        <c:noMultiLvlLbl val="0"/>
      </c:catAx>
      <c:valAx>
        <c:axId val="57001484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001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333344598019649E-2"/>
          <c:y val="4.3923991456830409E-2"/>
          <c:w val="0.87505536000455331"/>
          <c:h val="0.74444067599815444"/>
        </c:manualLayout>
      </c:layout>
      <c:lineChart>
        <c:grouping val="standard"/>
        <c:varyColors val="0"/>
        <c:ser>
          <c:idx val="0"/>
          <c:order val="0"/>
          <c:tx>
            <c:strRef>
              <c:f>'Completion Rates'!$B$63</c:f>
              <c:strCache>
                <c:ptCount val="1"/>
                <c:pt idx="0">
                  <c:v>Major Cities</c:v>
                </c:pt>
              </c:strCache>
            </c:strRef>
          </c:tx>
          <c:spPr>
            <a:ln w="28575" cap="rnd">
              <a:solidFill>
                <a:schemeClr val="accent1"/>
              </a:solidFill>
              <a:round/>
            </a:ln>
            <a:effectLst/>
          </c:spPr>
          <c:marker>
            <c:symbol val="none"/>
          </c:marker>
          <c:cat>
            <c:strRef>
              <c:f>'Completion Rates'!$C$62:$L$62</c:f>
              <c:strCache>
                <c:ptCount val="10"/>
                <c:pt idx="0">
                  <c:v>2005 to 2013</c:v>
                </c:pt>
                <c:pt idx="1">
                  <c:v>2006 to 2014</c:v>
                </c:pt>
                <c:pt idx="2">
                  <c:v>2007 to 2015</c:v>
                </c:pt>
                <c:pt idx="3">
                  <c:v>2008 to 2016</c:v>
                </c:pt>
                <c:pt idx="4">
                  <c:v>2009 to 2017</c:v>
                </c:pt>
                <c:pt idx="5">
                  <c:v>2010 to 2018</c:v>
                </c:pt>
                <c:pt idx="6">
                  <c:v>2011 to 2019</c:v>
                </c:pt>
                <c:pt idx="7">
                  <c:v>2012 to 2020</c:v>
                </c:pt>
                <c:pt idx="8">
                  <c:v>2013 to 2021</c:v>
                </c:pt>
                <c:pt idx="9">
                  <c:v>2014 to 2022</c:v>
                </c:pt>
              </c:strCache>
            </c:strRef>
          </c:cat>
          <c:val>
            <c:numRef>
              <c:f>'Completion Rates'!$C$63:$L$63</c:f>
              <c:numCache>
                <c:formatCode>0.0%</c:formatCode>
                <c:ptCount val="10"/>
                <c:pt idx="0">
                  <c:v>7.51E-2</c:v>
                </c:pt>
                <c:pt idx="1">
                  <c:v>7.1199999999999999E-2</c:v>
                </c:pt>
                <c:pt idx="2">
                  <c:v>7.1800000000000003E-2</c:v>
                </c:pt>
                <c:pt idx="3">
                  <c:v>6.6199999999999995E-2</c:v>
                </c:pt>
                <c:pt idx="4">
                  <c:v>6.1100000000000002E-2</c:v>
                </c:pt>
                <c:pt idx="5">
                  <c:v>6.6900000000000001E-2</c:v>
                </c:pt>
                <c:pt idx="6">
                  <c:v>6.3500000000000001E-2</c:v>
                </c:pt>
                <c:pt idx="7">
                  <c:v>6.83E-2</c:v>
                </c:pt>
                <c:pt idx="8">
                  <c:v>7.6600000000000001E-2</c:v>
                </c:pt>
                <c:pt idx="9">
                  <c:v>7.8600000000000003E-2</c:v>
                </c:pt>
              </c:numCache>
            </c:numRef>
          </c:val>
          <c:smooth val="0"/>
          <c:extLst>
            <c:ext xmlns:c16="http://schemas.microsoft.com/office/drawing/2014/chart" uri="{C3380CC4-5D6E-409C-BE32-E72D297353CC}">
              <c16:uniqueId val="{00000000-1770-48B2-B33F-C7066F9B055E}"/>
            </c:ext>
          </c:extLst>
        </c:ser>
        <c:ser>
          <c:idx val="1"/>
          <c:order val="1"/>
          <c:tx>
            <c:strRef>
              <c:f>'Completion Rates'!$B$64</c:f>
              <c:strCache>
                <c:ptCount val="1"/>
                <c:pt idx="0">
                  <c:v>Regional</c:v>
                </c:pt>
              </c:strCache>
            </c:strRef>
          </c:tx>
          <c:spPr>
            <a:ln w="28575" cap="rnd">
              <a:solidFill>
                <a:schemeClr val="accent2"/>
              </a:solidFill>
              <a:round/>
            </a:ln>
            <a:effectLst/>
          </c:spPr>
          <c:marker>
            <c:symbol val="none"/>
          </c:marker>
          <c:cat>
            <c:strRef>
              <c:f>'Completion Rates'!$C$62:$L$62</c:f>
              <c:strCache>
                <c:ptCount val="10"/>
                <c:pt idx="0">
                  <c:v>2005 to 2013</c:v>
                </c:pt>
                <c:pt idx="1">
                  <c:v>2006 to 2014</c:v>
                </c:pt>
                <c:pt idx="2">
                  <c:v>2007 to 2015</c:v>
                </c:pt>
                <c:pt idx="3">
                  <c:v>2008 to 2016</c:v>
                </c:pt>
                <c:pt idx="4">
                  <c:v>2009 to 2017</c:v>
                </c:pt>
                <c:pt idx="5">
                  <c:v>2010 to 2018</c:v>
                </c:pt>
                <c:pt idx="6">
                  <c:v>2011 to 2019</c:v>
                </c:pt>
                <c:pt idx="7">
                  <c:v>2012 to 2020</c:v>
                </c:pt>
                <c:pt idx="8">
                  <c:v>2013 to 2021</c:v>
                </c:pt>
                <c:pt idx="9">
                  <c:v>2014 to 2022</c:v>
                </c:pt>
              </c:strCache>
            </c:strRef>
          </c:cat>
          <c:val>
            <c:numRef>
              <c:f>'Completion Rates'!$C$64:$L$64</c:f>
              <c:numCache>
                <c:formatCode>0.0%</c:formatCode>
                <c:ptCount val="10"/>
                <c:pt idx="0">
                  <c:v>0.1002</c:v>
                </c:pt>
                <c:pt idx="1">
                  <c:v>0.1011</c:v>
                </c:pt>
                <c:pt idx="2">
                  <c:v>9.7299999999999998E-2</c:v>
                </c:pt>
                <c:pt idx="3">
                  <c:v>9.01E-2</c:v>
                </c:pt>
                <c:pt idx="4">
                  <c:v>8.5900000000000004E-2</c:v>
                </c:pt>
                <c:pt idx="5">
                  <c:v>8.6400000000000005E-2</c:v>
                </c:pt>
                <c:pt idx="6">
                  <c:v>0.09</c:v>
                </c:pt>
                <c:pt idx="7">
                  <c:v>9.4800000000000009E-2</c:v>
                </c:pt>
                <c:pt idx="8">
                  <c:v>0.11070000000000001</c:v>
                </c:pt>
                <c:pt idx="9">
                  <c:v>0.11720000000000001</c:v>
                </c:pt>
              </c:numCache>
            </c:numRef>
          </c:val>
          <c:smooth val="0"/>
          <c:extLst>
            <c:ext xmlns:c16="http://schemas.microsoft.com/office/drawing/2014/chart" uri="{C3380CC4-5D6E-409C-BE32-E72D297353CC}">
              <c16:uniqueId val="{00000001-1770-48B2-B33F-C7066F9B055E}"/>
            </c:ext>
          </c:extLst>
        </c:ser>
        <c:ser>
          <c:idx val="2"/>
          <c:order val="2"/>
          <c:tx>
            <c:strRef>
              <c:f>'Completion Rates'!$B$65</c:f>
              <c:strCache>
                <c:ptCount val="1"/>
                <c:pt idx="0">
                  <c:v>Remote</c:v>
                </c:pt>
              </c:strCache>
            </c:strRef>
          </c:tx>
          <c:spPr>
            <a:ln w="28575" cap="rnd">
              <a:solidFill>
                <a:schemeClr val="accent3"/>
              </a:solidFill>
              <a:round/>
            </a:ln>
            <a:effectLst/>
          </c:spPr>
          <c:marker>
            <c:symbol val="none"/>
          </c:marker>
          <c:cat>
            <c:strRef>
              <c:f>'Completion Rates'!$C$62:$L$62</c:f>
              <c:strCache>
                <c:ptCount val="10"/>
                <c:pt idx="0">
                  <c:v>2005 to 2013</c:v>
                </c:pt>
                <c:pt idx="1">
                  <c:v>2006 to 2014</c:v>
                </c:pt>
                <c:pt idx="2">
                  <c:v>2007 to 2015</c:v>
                </c:pt>
                <c:pt idx="3">
                  <c:v>2008 to 2016</c:v>
                </c:pt>
                <c:pt idx="4">
                  <c:v>2009 to 2017</c:v>
                </c:pt>
                <c:pt idx="5">
                  <c:v>2010 to 2018</c:v>
                </c:pt>
                <c:pt idx="6">
                  <c:v>2011 to 2019</c:v>
                </c:pt>
                <c:pt idx="7">
                  <c:v>2012 to 2020</c:v>
                </c:pt>
                <c:pt idx="8">
                  <c:v>2013 to 2021</c:v>
                </c:pt>
                <c:pt idx="9">
                  <c:v>2014 to 2022</c:v>
                </c:pt>
              </c:strCache>
            </c:strRef>
          </c:cat>
          <c:val>
            <c:numRef>
              <c:f>'Completion Rates'!$C$65:$L$65</c:f>
              <c:numCache>
                <c:formatCode>0.0%</c:formatCode>
                <c:ptCount val="10"/>
                <c:pt idx="0">
                  <c:v>0.1497</c:v>
                </c:pt>
                <c:pt idx="1">
                  <c:v>0.15060000000000001</c:v>
                </c:pt>
                <c:pt idx="2">
                  <c:v>0.1336</c:v>
                </c:pt>
                <c:pt idx="3">
                  <c:v>0.1527</c:v>
                </c:pt>
                <c:pt idx="4">
                  <c:v>0.11840000000000001</c:v>
                </c:pt>
                <c:pt idx="5">
                  <c:v>0.12920000000000001</c:v>
                </c:pt>
                <c:pt idx="6">
                  <c:v>0.12710000000000002</c:v>
                </c:pt>
                <c:pt idx="7">
                  <c:v>0.13739999999999999</c:v>
                </c:pt>
                <c:pt idx="8">
                  <c:v>0.12369999999999999</c:v>
                </c:pt>
                <c:pt idx="9">
                  <c:v>0.13919999999999999</c:v>
                </c:pt>
              </c:numCache>
            </c:numRef>
          </c:val>
          <c:smooth val="0"/>
          <c:extLst>
            <c:ext xmlns:c16="http://schemas.microsoft.com/office/drawing/2014/chart" uri="{C3380CC4-5D6E-409C-BE32-E72D297353CC}">
              <c16:uniqueId val="{00000002-1770-48B2-B33F-C7066F9B055E}"/>
            </c:ext>
          </c:extLst>
        </c:ser>
        <c:dLbls>
          <c:showLegendKey val="0"/>
          <c:showVal val="0"/>
          <c:showCatName val="0"/>
          <c:showSerName val="0"/>
          <c:showPercent val="0"/>
          <c:showBubbleSize val="0"/>
        </c:dLbls>
        <c:smooth val="0"/>
        <c:axId val="216134303"/>
        <c:axId val="216128063"/>
      </c:lineChart>
      <c:catAx>
        <c:axId val="21613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6128063"/>
        <c:crosses val="autoZero"/>
        <c:auto val="1"/>
        <c:lblAlgn val="ctr"/>
        <c:lblOffset val="100"/>
        <c:noMultiLvlLbl val="0"/>
      </c:catAx>
      <c:valAx>
        <c:axId val="216128063"/>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6134303"/>
        <c:crosses val="autoZero"/>
        <c:crossBetween val="between"/>
      </c:valAx>
      <c:spPr>
        <a:noFill/>
        <a:ln>
          <a:noFill/>
        </a:ln>
        <a:effectLst/>
      </c:spPr>
    </c:plotArea>
    <c:legend>
      <c:legendPos val="r"/>
      <c:layout>
        <c:manualLayout>
          <c:xMode val="edge"/>
          <c:yMode val="edge"/>
          <c:x val="4.3105151819414857E-2"/>
          <c:y val="0.93490752538354127"/>
          <c:w val="0.93452348352734127"/>
          <c:h val="4.209772090479376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180495192366408E-2"/>
          <c:y val="3.5633300939423386E-2"/>
          <c:w val="0.87848315714357983"/>
          <c:h val="0.80458335565197203"/>
        </c:manualLayout>
      </c:layout>
      <c:barChart>
        <c:barDir val="col"/>
        <c:grouping val="clustered"/>
        <c:varyColors val="0"/>
        <c:ser>
          <c:idx val="0"/>
          <c:order val="0"/>
          <c:tx>
            <c:strRef>
              <c:f>'Nathans work'!$B$40</c:f>
              <c:strCache>
                <c:ptCount val="1"/>
                <c:pt idx="0">
                  <c:v>Metropolitan</c:v>
                </c:pt>
              </c:strCache>
            </c:strRef>
          </c:tx>
          <c:spPr>
            <a:solidFill>
              <a:schemeClr val="accent1"/>
            </a:solidFill>
            <a:ln>
              <a:noFill/>
            </a:ln>
            <a:effectLst/>
          </c:spPr>
          <c:invertIfNegative val="0"/>
          <c:cat>
            <c:strRef>
              <c:f>'Nathans work'!$C$39:$K$39</c:f>
              <c:strCache>
                <c:ptCount val="9"/>
                <c:pt idx="0">
                  <c:v>FT ER 2021</c:v>
                </c:pt>
                <c:pt idx="1">
                  <c:v>FT ER 2022</c:v>
                </c:pt>
                <c:pt idx="2">
                  <c:v>FT ER 2023</c:v>
                </c:pt>
                <c:pt idx="3">
                  <c:v>OV ER 2021</c:v>
                </c:pt>
                <c:pt idx="4">
                  <c:v>OV ER 2022</c:v>
                </c:pt>
                <c:pt idx="5">
                  <c:v>OV ER 2023</c:v>
                </c:pt>
                <c:pt idx="6">
                  <c:v>LF PR 2021</c:v>
                </c:pt>
                <c:pt idx="7">
                  <c:v>LF PR 2022</c:v>
                </c:pt>
                <c:pt idx="8">
                  <c:v>LF PR 2023</c:v>
                </c:pt>
              </c:strCache>
            </c:strRef>
          </c:cat>
          <c:val>
            <c:numRef>
              <c:f>'Nathans work'!$C$40:$K$40</c:f>
              <c:numCache>
                <c:formatCode>0.0%</c:formatCode>
                <c:ptCount val="9"/>
                <c:pt idx="0">
                  <c:v>0.67500000000000004</c:v>
                </c:pt>
                <c:pt idx="1">
                  <c:v>0.77599999999999991</c:v>
                </c:pt>
                <c:pt idx="2">
                  <c:v>0.77599999999999991</c:v>
                </c:pt>
                <c:pt idx="3">
                  <c:v>0.84200000000000008</c:v>
                </c:pt>
                <c:pt idx="4">
                  <c:v>0.879</c:v>
                </c:pt>
                <c:pt idx="5">
                  <c:v>0.88400000000000001</c:v>
                </c:pt>
                <c:pt idx="6">
                  <c:v>0.92200000000000004</c:v>
                </c:pt>
                <c:pt idx="7">
                  <c:v>0.92400000000000004</c:v>
                </c:pt>
                <c:pt idx="8">
                  <c:v>0.92700000000000005</c:v>
                </c:pt>
              </c:numCache>
            </c:numRef>
          </c:val>
          <c:extLst>
            <c:ext xmlns:c16="http://schemas.microsoft.com/office/drawing/2014/chart" uri="{C3380CC4-5D6E-409C-BE32-E72D297353CC}">
              <c16:uniqueId val="{00000000-B343-4004-A5E7-F96A4A95C547}"/>
            </c:ext>
          </c:extLst>
        </c:ser>
        <c:ser>
          <c:idx val="1"/>
          <c:order val="1"/>
          <c:tx>
            <c:strRef>
              <c:f>'Nathans work'!$B$41</c:f>
              <c:strCache>
                <c:ptCount val="1"/>
                <c:pt idx="0">
                  <c:v>Regional /Remote</c:v>
                </c:pt>
              </c:strCache>
            </c:strRef>
          </c:tx>
          <c:spPr>
            <a:solidFill>
              <a:schemeClr val="accent2"/>
            </a:solidFill>
            <a:ln>
              <a:noFill/>
            </a:ln>
            <a:effectLst/>
          </c:spPr>
          <c:invertIfNegative val="0"/>
          <c:cat>
            <c:strRef>
              <c:f>'Nathans work'!$C$39:$K$39</c:f>
              <c:strCache>
                <c:ptCount val="9"/>
                <c:pt idx="0">
                  <c:v>FT ER 2021</c:v>
                </c:pt>
                <c:pt idx="1">
                  <c:v>FT ER 2022</c:v>
                </c:pt>
                <c:pt idx="2">
                  <c:v>FT ER 2023</c:v>
                </c:pt>
                <c:pt idx="3">
                  <c:v>OV ER 2021</c:v>
                </c:pt>
                <c:pt idx="4">
                  <c:v>OV ER 2022</c:v>
                </c:pt>
                <c:pt idx="5">
                  <c:v>OV ER 2023</c:v>
                </c:pt>
                <c:pt idx="6">
                  <c:v>LF PR 2021</c:v>
                </c:pt>
                <c:pt idx="7">
                  <c:v>LF PR 2022</c:v>
                </c:pt>
                <c:pt idx="8">
                  <c:v>LF PR 2023</c:v>
                </c:pt>
              </c:strCache>
            </c:strRef>
          </c:cat>
          <c:val>
            <c:numRef>
              <c:f>'Nathans work'!$C$41:$K$41</c:f>
              <c:numCache>
                <c:formatCode>0.0%</c:formatCode>
                <c:ptCount val="9"/>
                <c:pt idx="0">
                  <c:v>0.74299999999999999</c:v>
                </c:pt>
                <c:pt idx="1">
                  <c:v>0.83</c:v>
                </c:pt>
                <c:pt idx="2">
                  <c:v>0.83699999999999997</c:v>
                </c:pt>
                <c:pt idx="3">
                  <c:v>0.87400000000000011</c:v>
                </c:pt>
                <c:pt idx="4">
                  <c:v>0.90900000000000003</c:v>
                </c:pt>
                <c:pt idx="5">
                  <c:v>0.91599999999999993</c:v>
                </c:pt>
                <c:pt idx="6">
                  <c:v>0.91500000000000004</c:v>
                </c:pt>
                <c:pt idx="7">
                  <c:v>0.92500000000000004</c:v>
                </c:pt>
                <c:pt idx="8">
                  <c:v>0.92299999999999993</c:v>
                </c:pt>
              </c:numCache>
            </c:numRef>
          </c:val>
          <c:extLst>
            <c:ext xmlns:c16="http://schemas.microsoft.com/office/drawing/2014/chart" uri="{C3380CC4-5D6E-409C-BE32-E72D297353CC}">
              <c16:uniqueId val="{00000001-B343-4004-A5E7-F96A4A95C547}"/>
            </c:ext>
          </c:extLst>
        </c:ser>
        <c:dLbls>
          <c:showLegendKey val="0"/>
          <c:showVal val="0"/>
          <c:showCatName val="0"/>
          <c:showSerName val="0"/>
          <c:showPercent val="0"/>
          <c:showBubbleSize val="0"/>
        </c:dLbls>
        <c:gapWidth val="182"/>
        <c:axId val="1173384383"/>
        <c:axId val="1173382943"/>
      </c:barChart>
      <c:catAx>
        <c:axId val="1173384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73382943"/>
        <c:crosses val="autoZero"/>
        <c:auto val="1"/>
        <c:lblAlgn val="ctr"/>
        <c:lblOffset val="100"/>
        <c:noMultiLvlLbl val="0"/>
      </c:catAx>
      <c:valAx>
        <c:axId val="1173382943"/>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73384383"/>
        <c:crosses val="autoZero"/>
        <c:crossBetween val="between"/>
      </c:valAx>
      <c:spPr>
        <a:noFill/>
        <a:ln>
          <a:noFill/>
        </a:ln>
        <a:effectLst/>
      </c:spPr>
    </c:plotArea>
    <c:legend>
      <c:legendPos val="r"/>
      <c:layout>
        <c:manualLayout>
          <c:xMode val="edge"/>
          <c:yMode val="edge"/>
          <c:x val="7.1392879014430727E-2"/>
          <c:y val="0.93100250223824066"/>
          <c:w val="0.90644891136890626"/>
          <c:h val="6.770021094301988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750252531383816"/>
          <c:y val="1.9341470383131186E-2"/>
          <c:w val="0.6815743037736538"/>
          <c:h val="0.83479899851694772"/>
        </c:manualLayout>
      </c:layout>
      <c:barChart>
        <c:barDir val="bar"/>
        <c:grouping val="clustered"/>
        <c:varyColors val="0"/>
        <c:ser>
          <c:idx val="0"/>
          <c:order val="0"/>
          <c:tx>
            <c:strRef>
              <c:f>'Nathans work'!$C$110</c:f>
              <c:strCache>
                <c:ptCount val="1"/>
                <c:pt idx="0">
                  <c:v>Domestic undergraduate</c:v>
                </c:pt>
              </c:strCache>
            </c:strRef>
          </c:tx>
          <c:spPr>
            <a:solidFill>
              <a:schemeClr val="accent1"/>
            </a:solidFill>
            <a:ln>
              <a:noFill/>
            </a:ln>
            <a:effectLst/>
          </c:spPr>
          <c:invertIfNegative val="0"/>
          <c:cat>
            <c:strRef>
              <c:f>'Nathans work'!$B$111:$B$121</c:f>
              <c:strCache>
                <c:ptCount val="11"/>
                <c:pt idx="0">
                  <c:v>University of the Sunshine Coast</c:v>
                </c:pt>
                <c:pt idx="1">
                  <c:v>University of Tasmania</c:v>
                </c:pt>
                <c:pt idx="2">
                  <c:v>University of Southern Queensland</c:v>
                </c:pt>
                <c:pt idx="3">
                  <c:v>University of  New  England</c:v>
                </c:pt>
                <c:pt idx="4">
                  <c:v>Southern Cross University</c:v>
                </c:pt>
                <c:pt idx="5">
                  <c:v>James Cook University</c:v>
                </c:pt>
                <c:pt idx="6">
                  <c:v>Federation University Australia</c:v>
                </c:pt>
                <c:pt idx="7">
                  <c:v>Charles Sturt University</c:v>
                </c:pt>
                <c:pt idx="8">
                  <c:v>Charles Darwin University</c:v>
                </c:pt>
                <c:pt idx="9">
                  <c:v>Central Queensland University</c:v>
                </c:pt>
                <c:pt idx="10">
                  <c:v>All Universities</c:v>
                </c:pt>
              </c:strCache>
            </c:strRef>
          </c:cat>
          <c:val>
            <c:numRef>
              <c:f>'Nathans work'!$C$111:$C$121</c:f>
              <c:numCache>
                <c:formatCode>0.0%</c:formatCode>
                <c:ptCount val="11"/>
                <c:pt idx="0">
                  <c:v>0.94899999999999995</c:v>
                </c:pt>
                <c:pt idx="1">
                  <c:v>0.89600000000000002</c:v>
                </c:pt>
                <c:pt idx="2">
                  <c:v>0.90300000000000002</c:v>
                </c:pt>
                <c:pt idx="3">
                  <c:v>0.91</c:v>
                </c:pt>
                <c:pt idx="4">
                  <c:v>0.92500000000000004</c:v>
                </c:pt>
                <c:pt idx="5">
                  <c:v>0.88200000000000001</c:v>
                </c:pt>
                <c:pt idx="6">
                  <c:v>0.88900000000000001</c:v>
                </c:pt>
                <c:pt idx="7">
                  <c:v>0.95599999999999996</c:v>
                </c:pt>
                <c:pt idx="8">
                  <c:v>0.91500000000000004</c:v>
                </c:pt>
                <c:pt idx="9">
                  <c:v>0.873</c:v>
                </c:pt>
                <c:pt idx="10">
                  <c:v>0.91799999999999993</c:v>
                </c:pt>
              </c:numCache>
            </c:numRef>
          </c:val>
          <c:extLst>
            <c:ext xmlns:c16="http://schemas.microsoft.com/office/drawing/2014/chart" uri="{C3380CC4-5D6E-409C-BE32-E72D297353CC}">
              <c16:uniqueId val="{00000000-9759-49D0-9E3B-387A6C77A185}"/>
            </c:ext>
          </c:extLst>
        </c:ser>
        <c:ser>
          <c:idx val="1"/>
          <c:order val="1"/>
          <c:tx>
            <c:strRef>
              <c:f>'Nathans work'!$D$110</c:f>
              <c:strCache>
                <c:ptCount val="1"/>
                <c:pt idx="0">
                  <c:v>Domestic Postgraduate coursework</c:v>
                </c:pt>
              </c:strCache>
            </c:strRef>
          </c:tx>
          <c:spPr>
            <a:solidFill>
              <a:schemeClr val="accent2"/>
            </a:solidFill>
            <a:ln>
              <a:noFill/>
            </a:ln>
            <a:effectLst/>
          </c:spPr>
          <c:invertIfNegative val="0"/>
          <c:cat>
            <c:strRef>
              <c:f>'Nathans work'!$B$111:$B$121</c:f>
              <c:strCache>
                <c:ptCount val="11"/>
                <c:pt idx="0">
                  <c:v>University of the Sunshine Coast</c:v>
                </c:pt>
                <c:pt idx="1">
                  <c:v>University of Tasmania</c:v>
                </c:pt>
                <c:pt idx="2">
                  <c:v>University of Southern Queensland</c:v>
                </c:pt>
                <c:pt idx="3">
                  <c:v>University of  New  England</c:v>
                </c:pt>
                <c:pt idx="4">
                  <c:v>Southern Cross University</c:v>
                </c:pt>
                <c:pt idx="5">
                  <c:v>James Cook University</c:v>
                </c:pt>
                <c:pt idx="6">
                  <c:v>Federation University Australia</c:v>
                </c:pt>
                <c:pt idx="7">
                  <c:v>Charles Sturt University</c:v>
                </c:pt>
                <c:pt idx="8">
                  <c:v>Charles Darwin University</c:v>
                </c:pt>
                <c:pt idx="9">
                  <c:v>Central Queensland University</c:v>
                </c:pt>
                <c:pt idx="10">
                  <c:v>All Universities</c:v>
                </c:pt>
              </c:strCache>
            </c:strRef>
          </c:cat>
          <c:val>
            <c:numRef>
              <c:f>'Nathans work'!$D$111:$D$121</c:f>
              <c:numCache>
                <c:formatCode>0.0%</c:formatCode>
                <c:ptCount val="11"/>
                <c:pt idx="0">
                  <c:v>0.97</c:v>
                </c:pt>
                <c:pt idx="1">
                  <c:v>0.95900000000000007</c:v>
                </c:pt>
                <c:pt idx="2">
                  <c:v>0.89500000000000002</c:v>
                </c:pt>
                <c:pt idx="3">
                  <c:v>0.95200000000000007</c:v>
                </c:pt>
                <c:pt idx="4">
                  <c:v>0.94400000000000006</c:v>
                </c:pt>
                <c:pt idx="5">
                  <c:v>0.96200000000000008</c:v>
                </c:pt>
                <c:pt idx="6">
                  <c:v>0.97199999999999998</c:v>
                </c:pt>
                <c:pt idx="7">
                  <c:v>0.94199999999999995</c:v>
                </c:pt>
                <c:pt idx="8">
                  <c:v>0.95700000000000007</c:v>
                </c:pt>
                <c:pt idx="9">
                  <c:v>1</c:v>
                </c:pt>
                <c:pt idx="10">
                  <c:v>0.94799999999999995</c:v>
                </c:pt>
              </c:numCache>
            </c:numRef>
          </c:val>
          <c:extLst>
            <c:ext xmlns:c16="http://schemas.microsoft.com/office/drawing/2014/chart" uri="{C3380CC4-5D6E-409C-BE32-E72D297353CC}">
              <c16:uniqueId val="{00000001-9759-49D0-9E3B-387A6C77A185}"/>
            </c:ext>
          </c:extLst>
        </c:ser>
        <c:dLbls>
          <c:showLegendKey val="0"/>
          <c:showVal val="0"/>
          <c:showCatName val="0"/>
          <c:showSerName val="0"/>
          <c:showPercent val="0"/>
          <c:showBubbleSize val="0"/>
        </c:dLbls>
        <c:gapWidth val="182"/>
        <c:axId val="1545891391"/>
        <c:axId val="1545893311"/>
      </c:barChart>
      <c:catAx>
        <c:axId val="15458913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45893311"/>
        <c:crosses val="autoZero"/>
        <c:auto val="1"/>
        <c:lblAlgn val="ctr"/>
        <c:lblOffset val="100"/>
        <c:noMultiLvlLbl val="0"/>
      </c:catAx>
      <c:valAx>
        <c:axId val="1545893311"/>
        <c:scaling>
          <c:orientation val="minMax"/>
          <c:max val="1"/>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45891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889446267053767"/>
          <c:y val="2.4152961146697224E-2"/>
          <c:w val="0.69067532656120523"/>
          <c:h val="0.85131623072649698"/>
        </c:manualLayout>
      </c:layout>
      <c:barChart>
        <c:barDir val="bar"/>
        <c:grouping val="clustered"/>
        <c:varyColors val="0"/>
        <c:ser>
          <c:idx val="0"/>
          <c:order val="0"/>
          <c:tx>
            <c:strRef>
              <c:f>'GOS 2020-3regional uni median $'!$G$2</c:f>
              <c:strCache>
                <c:ptCount val="1"/>
                <c:pt idx="0">
                  <c:v>2022</c:v>
                </c:pt>
              </c:strCache>
            </c:strRef>
          </c:tx>
          <c:spPr>
            <a:solidFill>
              <a:schemeClr val="accent1"/>
            </a:solidFill>
            <a:ln>
              <a:noFill/>
            </a:ln>
            <a:effectLst/>
          </c:spPr>
          <c:invertIfNegative val="0"/>
          <c:cat>
            <c:strRef>
              <c:f>'GOS 2020-3regional uni median $'!$F$3:$F$13</c:f>
              <c:strCache>
                <c:ptCount val="11"/>
                <c:pt idx="0">
                  <c:v>University of the Sunshine Coast</c:v>
                </c:pt>
                <c:pt idx="1">
                  <c:v>University of Tasmania</c:v>
                </c:pt>
                <c:pt idx="2">
                  <c:v>University of Southern Queensland</c:v>
                </c:pt>
                <c:pt idx="3">
                  <c:v>University of  New  England</c:v>
                </c:pt>
                <c:pt idx="4">
                  <c:v>Southern Cross University</c:v>
                </c:pt>
                <c:pt idx="5">
                  <c:v>James Cook University</c:v>
                </c:pt>
                <c:pt idx="6">
                  <c:v>Federation University Australia</c:v>
                </c:pt>
                <c:pt idx="7">
                  <c:v>Charles Sturt University</c:v>
                </c:pt>
                <c:pt idx="8">
                  <c:v>Charles Darwin University</c:v>
                </c:pt>
                <c:pt idx="9">
                  <c:v>Central Queensland University</c:v>
                </c:pt>
                <c:pt idx="10">
                  <c:v>All Universities</c:v>
                </c:pt>
              </c:strCache>
            </c:strRef>
          </c:cat>
          <c:val>
            <c:numRef>
              <c:f>'GOS 2020-3regional uni median $'!$G$3:$G$13</c:f>
              <c:numCache>
                <c:formatCode>_-"$"* #,##0_-;\-"$"* #,##0_-;_-"$"* "-"??_-;_-@_-</c:formatCode>
                <c:ptCount val="11"/>
                <c:pt idx="0">
                  <c:v>65200</c:v>
                </c:pt>
                <c:pt idx="1">
                  <c:v>78300</c:v>
                </c:pt>
                <c:pt idx="2">
                  <c:v>75000</c:v>
                </c:pt>
                <c:pt idx="3">
                  <c:v>74000</c:v>
                </c:pt>
                <c:pt idx="4">
                  <c:v>71000</c:v>
                </c:pt>
                <c:pt idx="5">
                  <c:v>69500</c:v>
                </c:pt>
                <c:pt idx="6">
                  <c:v>68200</c:v>
                </c:pt>
                <c:pt idx="7">
                  <c:v>72800</c:v>
                </c:pt>
                <c:pt idx="8">
                  <c:v>72800</c:v>
                </c:pt>
                <c:pt idx="9">
                  <c:v>73100</c:v>
                </c:pt>
                <c:pt idx="10">
                  <c:v>68000</c:v>
                </c:pt>
              </c:numCache>
            </c:numRef>
          </c:val>
          <c:extLst>
            <c:ext xmlns:c16="http://schemas.microsoft.com/office/drawing/2014/chart" uri="{C3380CC4-5D6E-409C-BE32-E72D297353CC}">
              <c16:uniqueId val="{00000000-A267-4366-AB72-F393A8D37913}"/>
            </c:ext>
          </c:extLst>
        </c:ser>
        <c:ser>
          <c:idx val="1"/>
          <c:order val="1"/>
          <c:tx>
            <c:strRef>
              <c:f>'GOS 2020-3regional uni median $'!$H$2</c:f>
              <c:strCache>
                <c:ptCount val="1"/>
                <c:pt idx="0">
                  <c:v>2023</c:v>
                </c:pt>
              </c:strCache>
            </c:strRef>
          </c:tx>
          <c:spPr>
            <a:solidFill>
              <a:schemeClr val="accent2"/>
            </a:solidFill>
            <a:ln>
              <a:noFill/>
            </a:ln>
            <a:effectLst/>
          </c:spPr>
          <c:invertIfNegative val="0"/>
          <c:cat>
            <c:strRef>
              <c:f>'GOS 2020-3regional uni median $'!$F$3:$F$13</c:f>
              <c:strCache>
                <c:ptCount val="11"/>
                <c:pt idx="0">
                  <c:v>University of the Sunshine Coast</c:v>
                </c:pt>
                <c:pt idx="1">
                  <c:v>University of Tasmania</c:v>
                </c:pt>
                <c:pt idx="2">
                  <c:v>University of Southern Queensland</c:v>
                </c:pt>
                <c:pt idx="3">
                  <c:v>University of  New  England</c:v>
                </c:pt>
                <c:pt idx="4">
                  <c:v>Southern Cross University</c:v>
                </c:pt>
                <c:pt idx="5">
                  <c:v>James Cook University</c:v>
                </c:pt>
                <c:pt idx="6">
                  <c:v>Federation University Australia</c:v>
                </c:pt>
                <c:pt idx="7">
                  <c:v>Charles Sturt University</c:v>
                </c:pt>
                <c:pt idx="8">
                  <c:v>Charles Darwin University</c:v>
                </c:pt>
                <c:pt idx="9">
                  <c:v>Central Queensland University</c:v>
                </c:pt>
                <c:pt idx="10">
                  <c:v>All Universities</c:v>
                </c:pt>
              </c:strCache>
            </c:strRef>
          </c:cat>
          <c:val>
            <c:numRef>
              <c:f>'GOS 2020-3regional uni median $'!$H$3:$H$13</c:f>
              <c:numCache>
                <c:formatCode>_-"$"* #,##0_-;\-"$"* #,##0_-;_-"$"* "-"??_-;_-@_-</c:formatCode>
                <c:ptCount val="11"/>
                <c:pt idx="0">
                  <c:v>70000</c:v>
                </c:pt>
                <c:pt idx="1">
                  <c:v>78000</c:v>
                </c:pt>
                <c:pt idx="2">
                  <c:v>80000</c:v>
                </c:pt>
                <c:pt idx="3">
                  <c:v>75300</c:v>
                </c:pt>
                <c:pt idx="4">
                  <c:v>72500</c:v>
                </c:pt>
                <c:pt idx="5">
                  <c:v>73100</c:v>
                </c:pt>
                <c:pt idx="6">
                  <c:v>71400</c:v>
                </c:pt>
                <c:pt idx="7">
                  <c:v>75700</c:v>
                </c:pt>
                <c:pt idx="8">
                  <c:v>75000</c:v>
                </c:pt>
                <c:pt idx="9">
                  <c:v>78300</c:v>
                </c:pt>
                <c:pt idx="10">
                  <c:v>71000</c:v>
                </c:pt>
              </c:numCache>
            </c:numRef>
          </c:val>
          <c:extLst>
            <c:ext xmlns:c16="http://schemas.microsoft.com/office/drawing/2014/chart" uri="{C3380CC4-5D6E-409C-BE32-E72D297353CC}">
              <c16:uniqueId val="{00000001-A267-4366-AB72-F393A8D37913}"/>
            </c:ext>
          </c:extLst>
        </c:ser>
        <c:dLbls>
          <c:showLegendKey val="0"/>
          <c:showVal val="0"/>
          <c:showCatName val="0"/>
          <c:showSerName val="0"/>
          <c:showPercent val="0"/>
          <c:showBubbleSize val="0"/>
        </c:dLbls>
        <c:gapWidth val="182"/>
        <c:axId val="1630446767"/>
        <c:axId val="1630464047"/>
      </c:barChart>
      <c:catAx>
        <c:axId val="16304467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30464047"/>
        <c:crosses val="autoZero"/>
        <c:auto val="1"/>
        <c:lblAlgn val="ctr"/>
        <c:lblOffset val="100"/>
        <c:noMultiLvlLbl val="0"/>
      </c:catAx>
      <c:valAx>
        <c:axId val="1630464047"/>
        <c:scaling>
          <c:orientation val="minMax"/>
          <c:max val="800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Thousands $</a:t>
                </a:r>
              </a:p>
            </c:rich>
          </c:tx>
          <c:layout>
            <c:manualLayout>
              <c:xMode val="edge"/>
              <c:yMode val="edge"/>
              <c:x val="0.48547308492053448"/>
              <c:y val="0.9313448246204977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quot;$&quot;* #,##0_);_(&quot;$&quot;* \(#,##0\);_(&quot;$&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30446767"/>
        <c:crosses val="autoZero"/>
        <c:crossBetween val="between"/>
        <c:dispUnits>
          <c:builtInUnit val="thousands"/>
        </c:dispUnits>
      </c:valAx>
      <c:spPr>
        <a:noFill/>
        <a:ln>
          <a:noFill/>
        </a:ln>
        <a:effectLst/>
      </c:spPr>
    </c:plotArea>
    <c:legend>
      <c:legendPos val="r"/>
      <c:layout>
        <c:manualLayout>
          <c:xMode val="edge"/>
          <c:yMode val="edge"/>
          <c:x val="4.6872354377445725E-2"/>
          <c:y val="0.90825171231393187"/>
          <c:w val="0.16327268582781498"/>
          <c:h val="6.105395239013940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29942843047703"/>
          <c:y val="6.5547077933087824E-2"/>
          <c:w val="0.71511741649033955"/>
          <c:h val="0.77290307703785088"/>
        </c:manualLayout>
      </c:layout>
      <c:barChart>
        <c:barDir val="col"/>
        <c:grouping val="stacked"/>
        <c:varyColors val="0"/>
        <c:ser>
          <c:idx val="0"/>
          <c:order val="0"/>
          <c:tx>
            <c:strRef>
              <c:f>'Leanne NCVER'!$C$71</c:f>
              <c:strCache>
                <c:ptCount val="1"/>
                <c:pt idx="0">
                  <c:v>Major cities</c:v>
                </c:pt>
              </c:strCache>
            </c:strRef>
          </c:tx>
          <c:spPr>
            <a:solidFill>
              <a:schemeClr val="accent1"/>
            </a:solidFill>
            <a:ln>
              <a:noFill/>
            </a:ln>
            <a:effectLst/>
          </c:spPr>
          <c:invertIfNegative val="0"/>
          <c:cat>
            <c:strRef>
              <c:f>'Leanne NCVER'!$B$72:$B$79</c:f>
              <c:strCache>
                <c:ptCount val="8"/>
                <c:pt idx="0">
                  <c:v>NSW</c:v>
                </c:pt>
                <c:pt idx="1">
                  <c:v>Vic</c:v>
                </c:pt>
                <c:pt idx="2">
                  <c:v>Qld</c:v>
                </c:pt>
                <c:pt idx="3">
                  <c:v>SA</c:v>
                </c:pt>
                <c:pt idx="4">
                  <c:v>WA</c:v>
                </c:pt>
                <c:pt idx="5">
                  <c:v>Tas</c:v>
                </c:pt>
                <c:pt idx="6">
                  <c:v>NT</c:v>
                </c:pt>
                <c:pt idx="7">
                  <c:v>ACT</c:v>
                </c:pt>
              </c:strCache>
            </c:strRef>
          </c:cat>
          <c:val>
            <c:numRef>
              <c:f>'Leanne NCVER'!$C$72:$C$79</c:f>
              <c:numCache>
                <c:formatCode>0.0%</c:formatCode>
                <c:ptCount val="8"/>
                <c:pt idx="0">
                  <c:v>0.6957912112130421</c:v>
                </c:pt>
                <c:pt idx="1">
                  <c:v>0.70981885062026751</c:v>
                </c:pt>
                <c:pt idx="2">
                  <c:v>0.5991594857921545</c:v>
                </c:pt>
                <c:pt idx="3">
                  <c:v>0.73531958474931336</c:v>
                </c:pt>
                <c:pt idx="4">
                  <c:v>0.75374928986677259</c:v>
                </c:pt>
                <c:pt idx="5">
                  <c:v>0</c:v>
                </c:pt>
                <c:pt idx="6">
                  <c:v>0</c:v>
                </c:pt>
                <c:pt idx="7">
                  <c:v>0.87630290679970957</c:v>
                </c:pt>
              </c:numCache>
            </c:numRef>
          </c:val>
          <c:extLst>
            <c:ext xmlns:c16="http://schemas.microsoft.com/office/drawing/2014/chart" uri="{C3380CC4-5D6E-409C-BE32-E72D297353CC}">
              <c16:uniqueId val="{00000000-2583-442A-9707-CE6FC055B540}"/>
            </c:ext>
          </c:extLst>
        </c:ser>
        <c:ser>
          <c:idx val="1"/>
          <c:order val="1"/>
          <c:tx>
            <c:strRef>
              <c:f>'Leanne NCVER'!$D$71</c:f>
              <c:strCache>
                <c:ptCount val="1"/>
                <c:pt idx="0">
                  <c:v>Inner regional</c:v>
                </c:pt>
              </c:strCache>
            </c:strRef>
          </c:tx>
          <c:spPr>
            <a:solidFill>
              <a:schemeClr val="accent2"/>
            </a:solidFill>
            <a:ln>
              <a:noFill/>
            </a:ln>
            <a:effectLst/>
          </c:spPr>
          <c:invertIfNegative val="0"/>
          <c:cat>
            <c:strRef>
              <c:f>'Leanne NCVER'!$B$72:$B$79</c:f>
              <c:strCache>
                <c:ptCount val="8"/>
                <c:pt idx="0">
                  <c:v>NSW</c:v>
                </c:pt>
                <c:pt idx="1">
                  <c:v>Vic</c:v>
                </c:pt>
                <c:pt idx="2">
                  <c:v>Qld</c:v>
                </c:pt>
                <c:pt idx="3">
                  <c:v>SA</c:v>
                </c:pt>
                <c:pt idx="4">
                  <c:v>WA</c:v>
                </c:pt>
                <c:pt idx="5">
                  <c:v>Tas</c:v>
                </c:pt>
                <c:pt idx="6">
                  <c:v>NT</c:v>
                </c:pt>
                <c:pt idx="7">
                  <c:v>ACT</c:v>
                </c:pt>
              </c:strCache>
            </c:strRef>
          </c:cat>
          <c:val>
            <c:numRef>
              <c:f>'Leanne NCVER'!$D$72:$D$79</c:f>
              <c:numCache>
                <c:formatCode>0.0%</c:formatCode>
                <c:ptCount val="8"/>
                <c:pt idx="0">
                  <c:v>0.21624595770072069</c:v>
                </c:pt>
                <c:pt idx="1">
                  <c:v>0.23187461199416037</c:v>
                </c:pt>
                <c:pt idx="2">
                  <c:v>0.22002168569965769</c:v>
                </c:pt>
                <c:pt idx="3">
                  <c:v>0.13192123271728504</c:v>
                </c:pt>
                <c:pt idx="4">
                  <c:v>0.10531756303633746</c:v>
                </c:pt>
                <c:pt idx="5">
                  <c:v>0.62516530342361754</c:v>
                </c:pt>
                <c:pt idx="6">
                  <c:v>0</c:v>
                </c:pt>
                <c:pt idx="7">
                  <c:v>0.12369709320029044</c:v>
                </c:pt>
              </c:numCache>
            </c:numRef>
          </c:val>
          <c:extLst>
            <c:ext xmlns:c16="http://schemas.microsoft.com/office/drawing/2014/chart" uri="{C3380CC4-5D6E-409C-BE32-E72D297353CC}">
              <c16:uniqueId val="{00000001-2583-442A-9707-CE6FC055B540}"/>
            </c:ext>
          </c:extLst>
        </c:ser>
        <c:ser>
          <c:idx val="2"/>
          <c:order val="2"/>
          <c:tx>
            <c:strRef>
              <c:f>'Leanne NCVER'!$E$71</c:f>
              <c:strCache>
                <c:ptCount val="1"/>
                <c:pt idx="0">
                  <c:v>Outer regional</c:v>
                </c:pt>
              </c:strCache>
            </c:strRef>
          </c:tx>
          <c:spPr>
            <a:solidFill>
              <a:schemeClr val="accent3"/>
            </a:solidFill>
            <a:ln>
              <a:noFill/>
            </a:ln>
            <a:effectLst/>
          </c:spPr>
          <c:invertIfNegative val="0"/>
          <c:cat>
            <c:strRef>
              <c:f>'Leanne NCVER'!$B$72:$B$79</c:f>
              <c:strCache>
                <c:ptCount val="8"/>
                <c:pt idx="0">
                  <c:v>NSW</c:v>
                </c:pt>
                <c:pt idx="1">
                  <c:v>Vic</c:v>
                </c:pt>
                <c:pt idx="2">
                  <c:v>Qld</c:v>
                </c:pt>
                <c:pt idx="3">
                  <c:v>SA</c:v>
                </c:pt>
                <c:pt idx="4">
                  <c:v>WA</c:v>
                </c:pt>
                <c:pt idx="5">
                  <c:v>Tas</c:v>
                </c:pt>
                <c:pt idx="6">
                  <c:v>NT</c:v>
                </c:pt>
                <c:pt idx="7">
                  <c:v>ACT</c:v>
                </c:pt>
              </c:strCache>
            </c:strRef>
          </c:cat>
          <c:val>
            <c:numRef>
              <c:f>'Leanne NCVER'!$E$72:$E$79</c:f>
              <c:numCache>
                <c:formatCode>0.0%</c:formatCode>
                <c:ptCount val="8"/>
                <c:pt idx="0">
                  <c:v>7.8096397499883813E-2</c:v>
                </c:pt>
                <c:pt idx="1">
                  <c:v>5.5519862028606773E-2</c:v>
                </c:pt>
                <c:pt idx="2">
                  <c:v>0.1427822350500921</c:v>
                </c:pt>
                <c:pt idx="3">
                  <c:v>0.10449234206973605</c:v>
                </c:pt>
                <c:pt idx="4">
                  <c:v>7.5558175395432081E-2</c:v>
                </c:pt>
                <c:pt idx="5">
                  <c:v>0.34214135279424007</c:v>
                </c:pt>
                <c:pt idx="6">
                  <c:v>0.59121896621896619</c:v>
                </c:pt>
                <c:pt idx="7">
                  <c:v>0</c:v>
                </c:pt>
              </c:numCache>
            </c:numRef>
          </c:val>
          <c:extLst>
            <c:ext xmlns:c16="http://schemas.microsoft.com/office/drawing/2014/chart" uri="{C3380CC4-5D6E-409C-BE32-E72D297353CC}">
              <c16:uniqueId val="{00000002-2583-442A-9707-CE6FC055B540}"/>
            </c:ext>
          </c:extLst>
        </c:ser>
        <c:ser>
          <c:idx val="3"/>
          <c:order val="3"/>
          <c:tx>
            <c:strRef>
              <c:f>'Leanne NCVER'!$F$71</c:f>
              <c:strCache>
                <c:ptCount val="1"/>
                <c:pt idx="0">
                  <c:v>Remote</c:v>
                </c:pt>
              </c:strCache>
            </c:strRef>
          </c:tx>
          <c:spPr>
            <a:solidFill>
              <a:schemeClr val="accent4"/>
            </a:solidFill>
            <a:ln>
              <a:noFill/>
            </a:ln>
            <a:effectLst/>
          </c:spPr>
          <c:invertIfNegative val="0"/>
          <c:cat>
            <c:strRef>
              <c:f>'Leanne NCVER'!$B$72:$B$79</c:f>
              <c:strCache>
                <c:ptCount val="8"/>
                <c:pt idx="0">
                  <c:v>NSW</c:v>
                </c:pt>
                <c:pt idx="1">
                  <c:v>Vic</c:v>
                </c:pt>
                <c:pt idx="2">
                  <c:v>Qld</c:v>
                </c:pt>
                <c:pt idx="3">
                  <c:v>SA</c:v>
                </c:pt>
                <c:pt idx="4">
                  <c:v>WA</c:v>
                </c:pt>
                <c:pt idx="5">
                  <c:v>Tas</c:v>
                </c:pt>
                <c:pt idx="6">
                  <c:v>NT</c:v>
                </c:pt>
                <c:pt idx="7">
                  <c:v>ACT</c:v>
                </c:pt>
              </c:strCache>
            </c:strRef>
          </c:cat>
          <c:val>
            <c:numRef>
              <c:f>'Leanne NCVER'!$F$72:$F$79</c:f>
              <c:numCache>
                <c:formatCode>0.0%</c:formatCode>
                <c:ptCount val="8"/>
                <c:pt idx="0">
                  <c:v>9.8664335863534076E-3</c:v>
                </c:pt>
                <c:pt idx="1">
                  <c:v>2.7866753569653724E-3</c:v>
                </c:pt>
                <c:pt idx="2">
                  <c:v>3.8036593458095708E-2</c:v>
                </c:pt>
                <c:pt idx="3">
                  <c:v>2.8266840463665566E-2</c:v>
                </c:pt>
                <c:pt idx="4">
                  <c:v>6.5374971701457854E-2</c:v>
                </c:pt>
                <c:pt idx="5">
                  <c:v>3.269334378214233E-2</c:v>
                </c:pt>
                <c:pt idx="6">
                  <c:v>0.40878103378103375</c:v>
                </c:pt>
                <c:pt idx="7">
                  <c:v>0</c:v>
                </c:pt>
              </c:numCache>
            </c:numRef>
          </c:val>
          <c:extLst>
            <c:ext xmlns:c16="http://schemas.microsoft.com/office/drawing/2014/chart" uri="{C3380CC4-5D6E-409C-BE32-E72D297353CC}">
              <c16:uniqueId val="{00000003-2583-442A-9707-CE6FC055B540}"/>
            </c:ext>
          </c:extLst>
        </c:ser>
        <c:dLbls>
          <c:showLegendKey val="0"/>
          <c:showVal val="0"/>
          <c:showCatName val="0"/>
          <c:showSerName val="0"/>
          <c:showPercent val="0"/>
          <c:showBubbleSize val="0"/>
        </c:dLbls>
        <c:gapWidth val="219"/>
        <c:overlap val="100"/>
        <c:axId val="1301201424"/>
        <c:axId val="1301202384"/>
      </c:barChart>
      <c:lineChart>
        <c:grouping val="standard"/>
        <c:varyColors val="0"/>
        <c:ser>
          <c:idx val="4"/>
          <c:order val="4"/>
          <c:tx>
            <c:strRef>
              <c:f>'Leanne NCVER'!$G$71</c:f>
              <c:strCache>
                <c:ptCount val="1"/>
                <c:pt idx="0">
                  <c:v>Total Enrolments</c:v>
                </c:pt>
              </c:strCache>
            </c:strRef>
          </c:tx>
          <c:spPr>
            <a:ln w="28575" cap="rnd">
              <a:solidFill>
                <a:schemeClr val="accent5"/>
              </a:solidFill>
              <a:round/>
            </a:ln>
            <a:effectLst/>
          </c:spPr>
          <c:marker>
            <c:symbol val="none"/>
          </c:marker>
          <c:cat>
            <c:strRef>
              <c:f>'Leanne NCVER'!$B$72:$B$79</c:f>
              <c:strCache>
                <c:ptCount val="8"/>
                <c:pt idx="0">
                  <c:v>NSW</c:v>
                </c:pt>
                <c:pt idx="1">
                  <c:v>Vic</c:v>
                </c:pt>
                <c:pt idx="2">
                  <c:v>Qld</c:v>
                </c:pt>
                <c:pt idx="3">
                  <c:v>SA</c:v>
                </c:pt>
                <c:pt idx="4">
                  <c:v>WA</c:v>
                </c:pt>
                <c:pt idx="5">
                  <c:v>Tas</c:v>
                </c:pt>
                <c:pt idx="6">
                  <c:v>NT</c:v>
                </c:pt>
                <c:pt idx="7">
                  <c:v>ACT</c:v>
                </c:pt>
              </c:strCache>
            </c:strRef>
          </c:cat>
          <c:val>
            <c:numRef>
              <c:f>'Leanne NCVER'!$G$72:$G$79</c:f>
              <c:numCache>
                <c:formatCode>_-* #,##0_-;\-* #,##0_-;_-* "-"??_-;_-@_-</c:formatCode>
                <c:ptCount val="8"/>
                <c:pt idx="0">
                  <c:v>667009</c:v>
                </c:pt>
                <c:pt idx="1">
                  <c:v>645931</c:v>
                </c:pt>
                <c:pt idx="2">
                  <c:v>646509</c:v>
                </c:pt>
                <c:pt idx="3">
                  <c:v>107405</c:v>
                </c:pt>
                <c:pt idx="4">
                  <c:v>234111</c:v>
                </c:pt>
                <c:pt idx="5">
                  <c:v>40834</c:v>
                </c:pt>
                <c:pt idx="6">
                  <c:v>19656</c:v>
                </c:pt>
                <c:pt idx="7">
                  <c:v>42693</c:v>
                </c:pt>
              </c:numCache>
            </c:numRef>
          </c:val>
          <c:smooth val="0"/>
          <c:extLst>
            <c:ext xmlns:c16="http://schemas.microsoft.com/office/drawing/2014/chart" uri="{C3380CC4-5D6E-409C-BE32-E72D297353CC}">
              <c16:uniqueId val="{00000004-2583-442A-9707-CE6FC055B540}"/>
            </c:ext>
          </c:extLst>
        </c:ser>
        <c:dLbls>
          <c:showLegendKey val="0"/>
          <c:showVal val="0"/>
          <c:showCatName val="0"/>
          <c:showSerName val="0"/>
          <c:showPercent val="0"/>
          <c:showBubbleSize val="0"/>
        </c:dLbls>
        <c:marker val="1"/>
        <c:smooth val="0"/>
        <c:axId val="1049343232"/>
        <c:axId val="1049344192"/>
      </c:lineChart>
      <c:catAx>
        <c:axId val="130120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01202384"/>
        <c:crosses val="autoZero"/>
        <c:auto val="1"/>
        <c:lblAlgn val="ctr"/>
        <c:lblOffset val="100"/>
        <c:noMultiLvlLbl val="0"/>
      </c:catAx>
      <c:valAx>
        <c:axId val="1301202384"/>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Remoteness category breakdown %</a:t>
                </a:r>
              </a:p>
            </c:rich>
          </c:tx>
          <c:layout>
            <c:manualLayout>
              <c:xMode val="edge"/>
              <c:yMode val="edge"/>
              <c:x val="3.7655187679853271E-2"/>
              <c:y val="6.128846297313610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01201424"/>
        <c:crosses val="autoZero"/>
        <c:crossBetween val="between"/>
      </c:valAx>
      <c:valAx>
        <c:axId val="1049344192"/>
        <c:scaling>
          <c:orientation val="minMax"/>
          <c:max val="700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Student enrolment number</a:t>
                </a:r>
              </a:p>
            </c:rich>
          </c:tx>
          <c:layout>
            <c:manualLayout>
              <c:xMode val="edge"/>
              <c:yMode val="edge"/>
              <c:x val="0.96493900817463896"/>
              <c:y val="0.140210380679159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49343232"/>
        <c:crosses val="max"/>
        <c:crossBetween val="between"/>
      </c:valAx>
      <c:catAx>
        <c:axId val="1049343232"/>
        <c:scaling>
          <c:orientation val="minMax"/>
        </c:scaling>
        <c:delete val="1"/>
        <c:axPos val="t"/>
        <c:numFmt formatCode="General" sourceLinked="1"/>
        <c:majorTickMark val="out"/>
        <c:minorTickMark val="none"/>
        <c:tickLblPos val="nextTo"/>
        <c:crossAx val="1049344192"/>
        <c:crosses val="max"/>
        <c:auto val="1"/>
        <c:lblAlgn val="ctr"/>
        <c:lblOffset val="100"/>
        <c:noMultiLvlLbl val="0"/>
      </c:catAx>
      <c:spPr>
        <a:noFill/>
        <a:ln>
          <a:noFill/>
        </a:ln>
        <a:effectLst/>
      </c:spPr>
    </c:plotArea>
    <c:legend>
      <c:legendPos val="r"/>
      <c:layout>
        <c:manualLayout>
          <c:xMode val="edge"/>
          <c:yMode val="edge"/>
          <c:x val="5.6240128574236645E-2"/>
          <c:y val="0.91387142498660545"/>
          <c:w val="0.93201244117613047"/>
          <c:h val="5.425542737390385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528433945756768E-2"/>
          <c:y val="6.7000000000000004E-2"/>
          <c:w val="0.89886870576821465"/>
          <c:h val="0.76235783027121606"/>
        </c:manualLayout>
      </c:layout>
      <c:barChart>
        <c:barDir val="col"/>
        <c:grouping val="percentStacked"/>
        <c:varyColors val="0"/>
        <c:ser>
          <c:idx val="0"/>
          <c:order val="0"/>
          <c:tx>
            <c:strRef>
              <c:f>'Data Sheet 0'!$B$35</c:f>
              <c:strCache>
                <c:ptCount val="1"/>
                <c:pt idx="0">
                  <c:v>Non-AQF level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Sheet 0'!$C$34:$G$34</c:f>
              <c:strCache>
                <c:ptCount val="5"/>
                <c:pt idx="0">
                  <c:v>Major cities</c:v>
                </c:pt>
                <c:pt idx="1">
                  <c:v>Inner regional</c:v>
                </c:pt>
                <c:pt idx="2">
                  <c:v>Outer regional</c:v>
                </c:pt>
                <c:pt idx="3">
                  <c:v>Remote</c:v>
                </c:pt>
                <c:pt idx="4">
                  <c:v>Australia</c:v>
                </c:pt>
              </c:strCache>
            </c:strRef>
          </c:cat>
          <c:val>
            <c:numRef>
              <c:f>'Data Sheet 0'!$C$35:$G$35</c:f>
              <c:numCache>
                <c:formatCode>0.0</c:formatCode>
                <c:ptCount val="5"/>
                <c:pt idx="0">
                  <c:v>9.6809922331416285</c:v>
                </c:pt>
                <c:pt idx="1">
                  <c:v>8.9702168120994816</c:v>
                </c:pt>
                <c:pt idx="2">
                  <c:v>9.7766515159889966</c:v>
                </c:pt>
                <c:pt idx="3">
                  <c:v>14.174431790169105</c:v>
                </c:pt>
                <c:pt idx="4">
                  <c:v>9.5933250405429042</c:v>
                </c:pt>
              </c:numCache>
            </c:numRef>
          </c:val>
          <c:extLst>
            <c:ext xmlns:c16="http://schemas.microsoft.com/office/drawing/2014/chart" uri="{C3380CC4-5D6E-409C-BE32-E72D297353CC}">
              <c16:uniqueId val="{00000000-36F2-405B-9582-C0118934449F}"/>
            </c:ext>
          </c:extLst>
        </c:ser>
        <c:ser>
          <c:idx val="1"/>
          <c:order val="1"/>
          <c:tx>
            <c:strRef>
              <c:f>'Data Sheet 0'!$B$36</c:f>
              <c:strCache>
                <c:ptCount val="1"/>
                <c:pt idx="0">
                  <c:v>Certificate 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Sheet 0'!$C$34:$G$34</c:f>
              <c:strCache>
                <c:ptCount val="5"/>
                <c:pt idx="0">
                  <c:v>Major cities</c:v>
                </c:pt>
                <c:pt idx="1">
                  <c:v>Inner regional</c:v>
                </c:pt>
                <c:pt idx="2">
                  <c:v>Outer regional</c:v>
                </c:pt>
                <c:pt idx="3">
                  <c:v>Remote</c:v>
                </c:pt>
                <c:pt idx="4">
                  <c:v>Australia</c:v>
                </c:pt>
              </c:strCache>
            </c:strRef>
          </c:cat>
          <c:val>
            <c:numRef>
              <c:f>'Data Sheet 0'!$C$36:$G$36</c:f>
              <c:numCache>
                <c:formatCode>0.0</c:formatCode>
                <c:ptCount val="5"/>
                <c:pt idx="0">
                  <c:v>3.6039444496039281</c:v>
                </c:pt>
                <c:pt idx="1">
                  <c:v>3.2499034299693945</c:v>
                </c:pt>
                <c:pt idx="2">
                  <c:v>4.2913692159205414</c:v>
                </c:pt>
                <c:pt idx="3">
                  <c:v>5.2539893835560161</c:v>
                </c:pt>
                <c:pt idx="4">
                  <c:v>3.6303934118535999</c:v>
                </c:pt>
              </c:numCache>
            </c:numRef>
          </c:val>
          <c:extLst>
            <c:ext xmlns:c16="http://schemas.microsoft.com/office/drawing/2014/chart" uri="{C3380CC4-5D6E-409C-BE32-E72D297353CC}">
              <c16:uniqueId val="{00000001-36F2-405B-9582-C0118934449F}"/>
            </c:ext>
          </c:extLst>
        </c:ser>
        <c:ser>
          <c:idx val="2"/>
          <c:order val="2"/>
          <c:tx>
            <c:strRef>
              <c:f>'Data Sheet 0'!$B$37</c:f>
              <c:strCache>
                <c:ptCount val="1"/>
                <c:pt idx="0">
                  <c:v>Certificate 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Sheet 0'!$C$34:$G$34</c:f>
              <c:strCache>
                <c:ptCount val="5"/>
                <c:pt idx="0">
                  <c:v>Major cities</c:v>
                </c:pt>
                <c:pt idx="1">
                  <c:v>Inner regional</c:v>
                </c:pt>
                <c:pt idx="2">
                  <c:v>Outer regional</c:v>
                </c:pt>
                <c:pt idx="3">
                  <c:v>Remote</c:v>
                </c:pt>
                <c:pt idx="4">
                  <c:v>Australia</c:v>
                </c:pt>
              </c:strCache>
            </c:strRef>
          </c:cat>
          <c:val>
            <c:numRef>
              <c:f>'Data Sheet 0'!$C$37:$G$37</c:f>
              <c:numCache>
                <c:formatCode>0.0</c:formatCode>
                <c:ptCount val="5"/>
                <c:pt idx="0">
                  <c:v>16.217407211877976</c:v>
                </c:pt>
                <c:pt idx="1">
                  <c:v>17.915870170260391</c:v>
                </c:pt>
                <c:pt idx="2">
                  <c:v>19.738257516167572</c:v>
                </c:pt>
                <c:pt idx="3">
                  <c:v>21.379151670528689</c:v>
                </c:pt>
                <c:pt idx="4">
                  <c:v>18.066641078250314</c:v>
                </c:pt>
              </c:numCache>
            </c:numRef>
          </c:val>
          <c:extLst>
            <c:ext xmlns:c16="http://schemas.microsoft.com/office/drawing/2014/chart" uri="{C3380CC4-5D6E-409C-BE32-E72D297353CC}">
              <c16:uniqueId val="{00000002-36F2-405B-9582-C0118934449F}"/>
            </c:ext>
          </c:extLst>
        </c:ser>
        <c:ser>
          <c:idx val="3"/>
          <c:order val="3"/>
          <c:tx>
            <c:strRef>
              <c:f>'Data Sheet 0'!$B$38</c:f>
              <c:strCache>
                <c:ptCount val="1"/>
                <c:pt idx="0">
                  <c:v>Certificate III</c:v>
                </c:pt>
              </c:strCache>
            </c:strRef>
          </c:tx>
          <c:spPr>
            <a:solidFill>
              <a:schemeClr val="accent4"/>
            </a:solidFill>
            <a:ln>
              <a:noFill/>
            </a:ln>
            <a:effectLst/>
          </c:spPr>
          <c:invertIfNegative val="0"/>
          <c:dLbls>
            <c:dLbl>
              <c:idx val="3"/>
              <c:tx>
                <c:rich>
                  <a:bodyPr/>
                  <a:lstStyle/>
                  <a:p>
                    <a:fld id="{66151537-4DB6-45FF-8079-AEE9A3B62C74}" type="VALUE">
                      <a:rPr lang="en-US">
                        <a:solidFill>
                          <a:schemeClr val="bg1"/>
                        </a:solidFill>
                      </a:rPr>
                      <a:pPr/>
                      <a:t>[VALUE]</a:t>
                    </a:fld>
                    <a:endParaRPr lang="en-AU"/>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6F2-405B-9582-C0118934449F}"/>
                </c:ext>
              </c:extLst>
            </c:dLbl>
            <c:spPr>
              <a:noFill/>
              <a:ln>
                <a:solidFill>
                  <a:srgbClr val="D3719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Sheet 0'!$C$34:$G$34</c:f>
              <c:strCache>
                <c:ptCount val="5"/>
                <c:pt idx="0">
                  <c:v>Major cities</c:v>
                </c:pt>
                <c:pt idx="1">
                  <c:v>Inner regional</c:v>
                </c:pt>
                <c:pt idx="2">
                  <c:v>Outer regional</c:v>
                </c:pt>
                <c:pt idx="3">
                  <c:v>Remote</c:v>
                </c:pt>
                <c:pt idx="4">
                  <c:v>Australia</c:v>
                </c:pt>
              </c:strCache>
            </c:strRef>
          </c:cat>
          <c:val>
            <c:numRef>
              <c:f>'Data Sheet 0'!$C$38:$G$38</c:f>
              <c:numCache>
                <c:formatCode>0.0</c:formatCode>
                <c:ptCount val="5"/>
                <c:pt idx="0">
                  <c:v>38.707015353584964</c:v>
                </c:pt>
                <c:pt idx="1">
                  <c:v>44.112001426265067</c:v>
                </c:pt>
                <c:pt idx="2">
                  <c:v>43.658187105908766</c:v>
                </c:pt>
                <c:pt idx="3">
                  <c:v>37.814918897598979</c:v>
                </c:pt>
                <c:pt idx="4">
                  <c:v>39.853382393427928</c:v>
                </c:pt>
              </c:numCache>
            </c:numRef>
          </c:val>
          <c:extLst>
            <c:ext xmlns:c16="http://schemas.microsoft.com/office/drawing/2014/chart" uri="{C3380CC4-5D6E-409C-BE32-E72D297353CC}">
              <c16:uniqueId val="{00000004-36F2-405B-9582-C0118934449F}"/>
            </c:ext>
          </c:extLst>
        </c:ser>
        <c:ser>
          <c:idx val="4"/>
          <c:order val="4"/>
          <c:tx>
            <c:strRef>
              <c:f>'Data Sheet 0'!$B$39</c:f>
              <c:strCache>
                <c:ptCount val="1"/>
                <c:pt idx="0">
                  <c:v>Certificate IV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Sheet 0'!$C$34:$G$34</c:f>
              <c:strCache>
                <c:ptCount val="5"/>
                <c:pt idx="0">
                  <c:v>Major cities</c:v>
                </c:pt>
                <c:pt idx="1">
                  <c:v>Inner regional</c:v>
                </c:pt>
                <c:pt idx="2">
                  <c:v>Outer regional</c:v>
                </c:pt>
                <c:pt idx="3">
                  <c:v>Remote</c:v>
                </c:pt>
                <c:pt idx="4">
                  <c:v>Australia</c:v>
                </c:pt>
              </c:strCache>
            </c:strRef>
          </c:cat>
          <c:val>
            <c:numRef>
              <c:f>'Data Sheet 0'!$C$39:$G$39</c:f>
              <c:numCache>
                <c:formatCode>0.0</c:formatCode>
                <c:ptCount val="5"/>
                <c:pt idx="0">
                  <c:v>19.324337548250696</c:v>
                </c:pt>
                <c:pt idx="1">
                  <c:v>16.672642453175914</c:v>
                </c:pt>
                <c:pt idx="2">
                  <c:v>14.970258468576873</c:v>
                </c:pt>
                <c:pt idx="3">
                  <c:v>14.125129418725042</c:v>
                </c:pt>
                <c:pt idx="4">
                  <c:v>17.952980280173065</c:v>
                </c:pt>
              </c:numCache>
            </c:numRef>
          </c:val>
          <c:extLst>
            <c:ext xmlns:c16="http://schemas.microsoft.com/office/drawing/2014/chart" uri="{C3380CC4-5D6E-409C-BE32-E72D297353CC}">
              <c16:uniqueId val="{00000005-36F2-405B-9582-C0118934449F}"/>
            </c:ext>
          </c:extLst>
        </c:ser>
        <c:ser>
          <c:idx val="5"/>
          <c:order val="5"/>
          <c:tx>
            <c:strRef>
              <c:f>'Data Sheet 0'!$B$40</c:f>
              <c:strCache>
                <c:ptCount val="1"/>
                <c:pt idx="0">
                  <c:v>Diploma or higher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Sheet 0'!$C$34:$G$34</c:f>
              <c:strCache>
                <c:ptCount val="5"/>
                <c:pt idx="0">
                  <c:v>Major cities</c:v>
                </c:pt>
                <c:pt idx="1">
                  <c:v>Inner regional</c:v>
                </c:pt>
                <c:pt idx="2">
                  <c:v>Outer regional</c:v>
                </c:pt>
                <c:pt idx="3">
                  <c:v>Remote</c:v>
                </c:pt>
                <c:pt idx="4">
                  <c:v>Australia</c:v>
                </c:pt>
              </c:strCache>
            </c:strRef>
          </c:cat>
          <c:val>
            <c:numRef>
              <c:f>'Data Sheet 0'!$C$40:$G$40</c:f>
              <c:numCache>
                <c:formatCode>0.0</c:formatCode>
                <c:ptCount val="5"/>
                <c:pt idx="0">
                  <c:v>12.466303203540804</c:v>
                </c:pt>
                <c:pt idx="1">
                  <c:v>9.0793657082297479</c:v>
                </c:pt>
                <c:pt idx="2">
                  <c:v>7.5652761774372541</c:v>
                </c:pt>
                <c:pt idx="3">
                  <c:v>7.2523788394221755</c:v>
                </c:pt>
                <c:pt idx="4">
                  <c:v>10.903277795752189</c:v>
                </c:pt>
              </c:numCache>
            </c:numRef>
          </c:val>
          <c:extLst>
            <c:ext xmlns:c16="http://schemas.microsoft.com/office/drawing/2014/chart" uri="{C3380CC4-5D6E-409C-BE32-E72D297353CC}">
              <c16:uniqueId val="{00000006-36F2-405B-9582-C0118934449F}"/>
            </c:ext>
          </c:extLst>
        </c:ser>
        <c:dLbls>
          <c:dLblPos val="ctr"/>
          <c:showLegendKey val="0"/>
          <c:showVal val="1"/>
          <c:showCatName val="0"/>
          <c:showSerName val="0"/>
          <c:showPercent val="0"/>
          <c:showBubbleSize val="0"/>
        </c:dLbls>
        <c:gapWidth val="150"/>
        <c:overlap val="100"/>
        <c:axId val="1450583439"/>
        <c:axId val="1450591599"/>
      </c:barChart>
      <c:catAx>
        <c:axId val="1450583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50591599"/>
        <c:crosses val="autoZero"/>
        <c:auto val="1"/>
        <c:lblAlgn val="ctr"/>
        <c:lblOffset val="100"/>
        <c:noMultiLvlLbl val="0"/>
      </c:catAx>
      <c:valAx>
        <c:axId val="145059159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50583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050039199645503E-2"/>
          <c:y val="4.0740740740740744E-2"/>
          <c:w val="0.89430582540818759"/>
          <c:h val="0.80122134733158357"/>
        </c:manualLayout>
      </c:layout>
      <c:barChart>
        <c:barDir val="col"/>
        <c:grouping val="clustered"/>
        <c:varyColors val="0"/>
        <c:ser>
          <c:idx val="0"/>
          <c:order val="0"/>
          <c:tx>
            <c:strRef>
              <c:f>'Provider type by remoteness'!$C$24</c:f>
              <c:strCache>
                <c:ptCount val="1"/>
                <c:pt idx="0">
                  <c:v>Major cities</c:v>
                </c:pt>
              </c:strCache>
            </c:strRef>
          </c:tx>
          <c:spPr>
            <a:solidFill>
              <a:schemeClr val="accent1"/>
            </a:solidFill>
            <a:ln>
              <a:noFill/>
            </a:ln>
            <a:effectLst/>
          </c:spPr>
          <c:invertIfNegative val="0"/>
          <c:cat>
            <c:strRef>
              <c:f>'Provider type by remoteness'!$B$25:$B$30</c:f>
              <c:strCache>
                <c:ptCount val="6"/>
                <c:pt idx="0">
                  <c:v>Community education providers</c:v>
                </c:pt>
                <c:pt idx="1">
                  <c:v>Enterprise providers</c:v>
                </c:pt>
                <c:pt idx="2">
                  <c:v>Private training providers</c:v>
                </c:pt>
                <c:pt idx="3">
                  <c:v>Schools</c:v>
                </c:pt>
                <c:pt idx="4">
                  <c:v>TAFE institutes</c:v>
                </c:pt>
                <c:pt idx="5">
                  <c:v>Universities delivering VET</c:v>
                </c:pt>
              </c:strCache>
            </c:strRef>
          </c:cat>
          <c:val>
            <c:numRef>
              <c:f>'Provider type by remoteness'!$C$25:$C$30</c:f>
              <c:numCache>
                <c:formatCode>0.0%</c:formatCode>
                <c:ptCount val="6"/>
                <c:pt idx="0">
                  <c:v>3.1738077340683207E-2</c:v>
                </c:pt>
                <c:pt idx="1">
                  <c:v>1.9161272066128891E-2</c:v>
                </c:pt>
                <c:pt idx="2">
                  <c:v>0.56219217119115028</c:v>
                </c:pt>
                <c:pt idx="3">
                  <c:v>5.1238420775102191E-2</c:v>
                </c:pt>
                <c:pt idx="4">
                  <c:v>0.31186463074255383</c:v>
                </c:pt>
                <c:pt idx="5">
                  <c:v>2.3805427884381648E-2</c:v>
                </c:pt>
              </c:numCache>
            </c:numRef>
          </c:val>
          <c:extLst>
            <c:ext xmlns:c16="http://schemas.microsoft.com/office/drawing/2014/chart" uri="{C3380CC4-5D6E-409C-BE32-E72D297353CC}">
              <c16:uniqueId val="{00000000-8D78-4278-9D38-1E15FED2433B}"/>
            </c:ext>
          </c:extLst>
        </c:ser>
        <c:ser>
          <c:idx val="1"/>
          <c:order val="1"/>
          <c:tx>
            <c:strRef>
              <c:f>'Provider type by remoteness'!$D$24</c:f>
              <c:strCache>
                <c:ptCount val="1"/>
                <c:pt idx="0">
                  <c:v>Inner regional</c:v>
                </c:pt>
              </c:strCache>
            </c:strRef>
          </c:tx>
          <c:spPr>
            <a:solidFill>
              <a:schemeClr val="accent2"/>
            </a:solidFill>
            <a:ln>
              <a:noFill/>
            </a:ln>
            <a:effectLst/>
          </c:spPr>
          <c:invertIfNegative val="0"/>
          <c:cat>
            <c:strRef>
              <c:f>'Provider type by remoteness'!$B$25:$B$30</c:f>
              <c:strCache>
                <c:ptCount val="6"/>
                <c:pt idx="0">
                  <c:v>Community education providers</c:v>
                </c:pt>
                <c:pt idx="1">
                  <c:v>Enterprise providers</c:v>
                </c:pt>
                <c:pt idx="2">
                  <c:v>Private training providers</c:v>
                </c:pt>
                <c:pt idx="3">
                  <c:v>Schools</c:v>
                </c:pt>
                <c:pt idx="4">
                  <c:v>TAFE institutes</c:v>
                </c:pt>
                <c:pt idx="5">
                  <c:v>Universities delivering VET</c:v>
                </c:pt>
              </c:strCache>
            </c:strRef>
          </c:cat>
          <c:val>
            <c:numRef>
              <c:f>'Provider type by remoteness'!$D$25:$D$30</c:f>
              <c:numCache>
                <c:formatCode>0.0%</c:formatCode>
                <c:ptCount val="6"/>
                <c:pt idx="0">
                  <c:v>3.8558909059214122E-2</c:v>
                </c:pt>
                <c:pt idx="1">
                  <c:v>1.9961886801423103E-2</c:v>
                </c:pt>
                <c:pt idx="2">
                  <c:v>0.52661584906856418</c:v>
                </c:pt>
                <c:pt idx="3">
                  <c:v>5.4041900747208861E-2</c:v>
                </c:pt>
                <c:pt idx="4">
                  <c:v>0.32979802381876816</c:v>
                </c:pt>
                <c:pt idx="5">
                  <c:v>3.1023430504821595E-2</c:v>
                </c:pt>
              </c:numCache>
            </c:numRef>
          </c:val>
          <c:extLst>
            <c:ext xmlns:c16="http://schemas.microsoft.com/office/drawing/2014/chart" uri="{C3380CC4-5D6E-409C-BE32-E72D297353CC}">
              <c16:uniqueId val="{00000001-8D78-4278-9D38-1E15FED2433B}"/>
            </c:ext>
          </c:extLst>
        </c:ser>
        <c:ser>
          <c:idx val="2"/>
          <c:order val="2"/>
          <c:tx>
            <c:strRef>
              <c:f>'Provider type by remoteness'!$E$24</c:f>
              <c:strCache>
                <c:ptCount val="1"/>
                <c:pt idx="0">
                  <c:v>Outer regional</c:v>
                </c:pt>
              </c:strCache>
            </c:strRef>
          </c:tx>
          <c:spPr>
            <a:solidFill>
              <a:schemeClr val="accent3"/>
            </a:solidFill>
            <a:ln>
              <a:noFill/>
            </a:ln>
            <a:effectLst/>
          </c:spPr>
          <c:invertIfNegative val="0"/>
          <c:cat>
            <c:strRef>
              <c:f>'Provider type by remoteness'!$B$25:$B$30</c:f>
              <c:strCache>
                <c:ptCount val="6"/>
                <c:pt idx="0">
                  <c:v>Community education providers</c:v>
                </c:pt>
                <c:pt idx="1">
                  <c:v>Enterprise providers</c:v>
                </c:pt>
                <c:pt idx="2">
                  <c:v>Private training providers</c:v>
                </c:pt>
                <c:pt idx="3">
                  <c:v>Schools</c:v>
                </c:pt>
                <c:pt idx="4">
                  <c:v>TAFE institutes</c:v>
                </c:pt>
                <c:pt idx="5">
                  <c:v>Universities delivering VET</c:v>
                </c:pt>
              </c:strCache>
            </c:strRef>
          </c:cat>
          <c:val>
            <c:numRef>
              <c:f>'Provider type by remoteness'!$E$25:$E$30</c:f>
              <c:numCache>
                <c:formatCode>0.0%</c:formatCode>
                <c:ptCount val="6"/>
                <c:pt idx="0">
                  <c:v>4.432473341383357E-2</c:v>
                </c:pt>
                <c:pt idx="1">
                  <c:v>2.5744485450432831E-2</c:v>
                </c:pt>
                <c:pt idx="2">
                  <c:v>0.5160717018996922</c:v>
                </c:pt>
                <c:pt idx="3">
                  <c:v>6.462694943791561E-2</c:v>
                </c:pt>
                <c:pt idx="4">
                  <c:v>0.30939301688804233</c:v>
                </c:pt>
                <c:pt idx="5">
                  <c:v>3.9839112910083505E-2</c:v>
                </c:pt>
              </c:numCache>
            </c:numRef>
          </c:val>
          <c:extLst>
            <c:ext xmlns:c16="http://schemas.microsoft.com/office/drawing/2014/chart" uri="{C3380CC4-5D6E-409C-BE32-E72D297353CC}">
              <c16:uniqueId val="{00000002-8D78-4278-9D38-1E15FED2433B}"/>
            </c:ext>
          </c:extLst>
        </c:ser>
        <c:ser>
          <c:idx val="3"/>
          <c:order val="3"/>
          <c:tx>
            <c:strRef>
              <c:f>'Provider type by remoteness'!$F$24</c:f>
              <c:strCache>
                <c:ptCount val="1"/>
                <c:pt idx="0">
                  <c:v>Remote and very remote</c:v>
                </c:pt>
              </c:strCache>
            </c:strRef>
          </c:tx>
          <c:spPr>
            <a:solidFill>
              <a:schemeClr val="accent4"/>
            </a:solidFill>
            <a:ln>
              <a:noFill/>
            </a:ln>
            <a:effectLst/>
          </c:spPr>
          <c:invertIfNegative val="0"/>
          <c:cat>
            <c:strRef>
              <c:f>'Provider type by remoteness'!$B$25:$B$30</c:f>
              <c:strCache>
                <c:ptCount val="6"/>
                <c:pt idx="0">
                  <c:v>Community education providers</c:v>
                </c:pt>
                <c:pt idx="1">
                  <c:v>Enterprise providers</c:v>
                </c:pt>
                <c:pt idx="2">
                  <c:v>Private training providers</c:v>
                </c:pt>
                <c:pt idx="3">
                  <c:v>Schools</c:v>
                </c:pt>
                <c:pt idx="4">
                  <c:v>TAFE institutes</c:v>
                </c:pt>
                <c:pt idx="5">
                  <c:v>Universities delivering VET</c:v>
                </c:pt>
              </c:strCache>
            </c:strRef>
          </c:cat>
          <c:val>
            <c:numRef>
              <c:f>'Provider type by remoteness'!$F$25:$F$30</c:f>
              <c:numCache>
                <c:formatCode>0.0%</c:formatCode>
                <c:ptCount val="6"/>
                <c:pt idx="0">
                  <c:v>2.6044234118768279E-2</c:v>
                </c:pt>
                <c:pt idx="1">
                  <c:v>3.5853955108613493E-2</c:v>
                </c:pt>
                <c:pt idx="2">
                  <c:v>0.50729567189194513</c:v>
                </c:pt>
                <c:pt idx="3">
                  <c:v>4.5745834565710339E-2</c:v>
                </c:pt>
                <c:pt idx="4">
                  <c:v>0.31958000591540964</c:v>
                </c:pt>
                <c:pt idx="5">
                  <c:v>6.5480298399553064E-2</c:v>
                </c:pt>
              </c:numCache>
            </c:numRef>
          </c:val>
          <c:extLst>
            <c:ext xmlns:c16="http://schemas.microsoft.com/office/drawing/2014/chart" uri="{C3380CC4-5D6E-409C-BE32-E72D297353CC}">
              <c16:uniqueId val="{00000003-8D78-4278-9D38-1E15FED2433B}"/>
            </c:ext>
          </c:extLst>
        </c:ser>
        <c:dLbls>
          <c:showLegendKey val="0"/>
          <c:showVal val="0"/>
          <c:showCatName val="0"/>
          <c:showSerName val="0"/>
          <c:showPercent val="0"/>
          <c:showBubbleSize val="0"/>
        </c:dLbls>
        <c:gapWidth val="219"/>
        <c:overlap val="-27"/>
        <c:axId val="1292734607"/>
        <c:axId val="1407182047"/>
      </c:barChart>
      <c:catAx>
        <c:axId val="129273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07182047"/>
        <c:crosses val="autoZero"/>
        <c:auto val="1"/>
        <c:lblAlgn val="ctr"/>
        <c:lblOffset val="100"/>
        <c:noMultiLvlLbl val="0"/>
      </c:catAx>
      <c:valAx>
        <c:axId val="1407182047"/>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92734607"/>
        <c:crosses val="autoZero"/>
        <c:crossBetween val="between"/>
      </c:valAx>
      <c:spPr>
        <a:noFill/>
        <a:ln>
          <a:noFill/>
        </a:ln>
        <a:effectLst/>
      </c:spPr>
    </c:plotArea>
    <c:legend>
      <c:legendPos val="r"/>
      <c:layout>
        <c:manualLayout>
          <c:xMode val="edge"/>
          <c:yMode val="edge"/>
          <c:x val="0.68381906807103654"/>
          <c:y val="4.8522018081073183E-2"/>
          <c:w val="0.24691686266489415"/>
          <c:h val="0.236289297171186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3"/>
          <c:tx>
            <c:strRef>
              <c:f>Ratings!$D$7</c:f>
              <c:strCache>
                <c:ptCount val="1"/>
                <c:pt idx="0">
                  <c:v>Average</c:v>
                </c:pt>
              </c:strCache>
            </c:strRef>
          </c:tx>
          <c:spPr>
            <a:ln w="28575" cap="rnd">
              <a:solidFill>
                <a:srgbClr val="6929C4"/>
              </a:solidFill>
              <a:round/>
            </a:ln>
            <a:effectLst/>
          </c:spPr>
          <c:marker>
            <c:symbol val="none"/>
          </c:marker>
          <c:cat>
            <c:numRef>
              <c:f>Ratings!$CA$3:$JB$3</c:f>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f>Ratings!$CA$7:$JB$7</c:f>
              <c:numCache>
                <c:formatCode>0</c:formatCode>
                <c:ptCount val="184"/>
                <c:pt idx="0">
                  <c:v>4</c:v>
                </c:pt>
                <c:pt idx="1">
                  <c:v>3.6666666666666665</c:v>
                </c:pt>
                <c:pt idx="2">
                  <c:v>3.6666666666666665</c:v>
                </c:pt>
                <c:pt idx="3">
                  <c:v>3.6666666666666665</c:v>
                </c:pt>
                <c:pt idx="4">
                  <c:v>3.3333333333333335</c:v>
                </c:pt>
                <c:pt idx="5">
                  <c:v>3.3333333333333335</c:v>
                </c:pt>
                <c:pt idx="6">
                  <c:v>3.6666666666666665</c:v>
                </c:pt>
                <c:pt idx="7">
                  <c:v>3.3333333333333335</c:v>
                </c:pt>
                <c:pt idx="8">
                  <c:v>3.3333333333333335</c:v>
                </c:pt>
                <c:pt idx="9">
                  <c:v>3.3333333333333335</c:v>
                </c:pt>
                <c:pt idx="10">
                  <c:v>3.3333333333333335</c:v>
                </c:pt>
                <c:pt idx="11">
                  <c:v>3.3333333333333335</c:v>
                </c:pt>
                <c:pt idx="12">
                  <c:v>3.3333333333333335</c:v>
                </c:pt>
                <c:pt idx="13">
                  <c:v>3.6666666666666665</c:v>
                </c:pt>
                <c:pt idx="14">
                  <c:v>3.6666666666666665</c:v>
                </c:pt>
                <c:pt idx="15">
                  <c:v>3.6666666666666665</c:v>
                </c:pt>
                <c:pt idx="16">
                  <c:v>3.6666666666666665</c:v>
                </c:pt>
                <c:pt idx="17">
                  <c:v>4</c:v>
                </c:pt>
                <c:pt idx="18">
                  <c:v>4</c:v>
                </c:pt>
                <c:pt idx="19">
                  <c:v>4</c:v>
                </c:pt>
                <c:pt idx="20">
                  <c:v>4</c:v>
                </c:pt>
                <c:pt idx="21">
                  <c:v>4</c:v>
                </c:pt>
                <c:pt idx="22">
                  <c:v>4</c:v>
                </c:pt>
                <c:pt idx="23">
                  <c:v>3.6666666666666665</c:v>
                </c:pt>
                <c:pt idx="24">
                  <c:v>3.6666666666666665</c:v>
                </c:pt>
                <c:pt idx="25">
                  <c:v>3.6666666666666665</c:v>
                </c:pt>
                <c:pt idx="26">
                  <c:v>3.6666666666666665</c:v>
                </c:pt>
                <c:pt idx="27">
                  <c:v>3.6666666666666665</c:v>
                </c:pt>
                <c:pt idx="28">
                  <c:v>3.6666666666666665</c:v>
                </c:pt>
                <c:pt idx="29">
                  <c:v>3.6666666666666665</c:v>
                </c:pt>
                <c:pt idx="30">
                  <c:v>3.6666666666666665</c:v>
                </c:pt>
                <c:pt idx="31">
                  <c:v>3.6666666666666665</c:v>
                </c:pt>
                <c:pt idx="32">
                  <c:v>3.6666666666666665</c:v>
                </c:pt>
                <c:pt idx="33">
                  <c:v>3.6666666666666665</c:v>
                </c:pt>
                <c:pt idx="34">
                  <c:v>3.6666666666666665</c:v>
                </c:pt>
                <c:pt idx="35">
                  <c:v>3.6666666666666665</c:v>
                </c:pt>
                <c:pt idx="36">
                  <c:v>4</c:v>
                </c:pt>
                <c:pt idx="37">
                  <c:v>4</c:v>
                </c:pt>
                <c:pt idx="38">
                  <c:v>4</c:v>
                </c:pt>
                <c:pt idx="39">
                  <c:v>3.6666666666666665</c:v>
                </c:pt>
                <c:pt idx="40">
                  <c:v>4</c:v>
                </c:pt>
                <c:pt idx="41">
                  <c:v>3.6666666666666665</c:v>
                </c:pt>
                <c:pt idx="42">
                  <c:v>4</c:v>
                </c:pt>
                <c:pt idx="43">
                  <c:v>4</c:v>
                </c:pt>
                <c:pt idx="44">
                  <c:v>3.3333333333333335</c:v>
                </c:pt>
                <c:pt idx="45">
                  <c:v>3.3333333333333335</c:v>
                </c:pt>
                <c:pt idx="46">
                  <c:v>3.3333333333333335</c:v>
                </c:pt>
                <c:pt idx="47">
                  <c:v>3.3333333333333335</c:v>
                </c:pt>
                <c:pt idx="48">
                  <c:v>3.3333333333333335</c:v>
                </c:pt>
                <c:pt idx="49">
                  <c:v>3.3333333333333335</c:v>
                </c:pt>
                <c:pt idx="50">
                  <c:v>3.3333333333333335</c:v>
                </c:pt>
                <c:pt idx="51">
                  <c:v>3.3333333333333335</c:v>
                </c:pt>
                <c:pt idx="52">
                  <c:v>3</c:v>
                </c:pt>
                <c:pt idx="53">
                  <c:v>3</c:v>
                </c:pt>
                <c:pt idx="54">
                  <c:v>3</c:v>
                </c:pt>
                <c:pt idx="55">
                  <c:v>3</c:v>
                </c:pt>
                <c:pt idx="56">
                  <c:v>3.3333333333333335</c:v>
                </c:pt>
                <c:pt idx="57">
                  <c:v>3.6666666666666665</c:v>
                </c:pt>
                <c:pt idx="58">
                  <c:v>4</c:v>
                </c:pt>
                <c:pt idx="59">
                  <c:v>4</c:v>
                </c:pt>
                <c:pt idx="60">
                  <c:v>4</c:v>
                </c:pt>
                <c:pt idx="61">
                  <c:v>4</c:v>
                </c:pt>
                <c:pt idx="62">
                  <c:v>4</c:v>
                </c:pt>
                <c:pt idx="63">
                  <c:v>4</c:v>
                </c:pt>
                <c:pt idx="64">
                  <c:v>4</c:v>
                </c:pt>
                <c:pt idx="65">
                  <c:v>4</c:v>
                </c:pt>
                <c:pt idx="66">
                  <c:v>4</c:v>
                </c:pt>
                <c:pt idx="67">
                  <c:v>4</c:v>
                </c:pt>
                <c:pt idx="68">
                  <c:v>4</c:v>
                </c:pt>
                <c:pt idx="69">
                  <c:v>4</c:v>
                </c:pt>
                <c:pt idx="70">
                  <c:v>4</c:v>
                </c:pt>
                <c:pt idx="71">
                  <c:v>4</c:v>
                </c:pt>
                <c:pt idx="72">
                  <c:v>4</c:v>
                </c:pt>
                <c:pt idx="73">
                  <c:v>4</c:v>
                </c:pt>
                <c:pt idx="74">
                  <c:v>4</c:v>
                </c:pt>
                <c:pt idx="75">
                  <c:v>4</c:v>
                </c:pt>
                <c:pt idx="76">
                  <c:v>3.6666666666666665</c:v>
                </c:pt>
                <c:pt idx="77">
                  <c:v>3.6666666666666665</c:v>
                </c:pt>
                <c:pt idx="78">
                  <c:v>3.6666666666666665</c:v>
                </c:pt>
                <c:pt idx="79">
                  <c:v>3.6666666666666665</c:v>
                </c:pt>
                <c:pt idx="80">
                  <c:v>3.6666666666666665</c:v>
                </c:pt>
                <c:pt idx="81">
                  <c:v>3.3333333333333335</c:v>
                </c:pt>
                <c:pt idx="82">
                  <c:v>3.3333333333333335</c:v>
                </c:pt>
                <c:pt idx="83">
                  <c:v>3.3333333333333335</c:v>
                </c:pt>
                <c:pt idx="84">
                  <c:v>3.3333333333333335</c:v>
                </c:pt>
                <c:pt idx="85">
                  <c:v>3.3333333333333335</c:v>
                </c:pt>
                <c:pt idx="86">
                  <c:v>3.3333333333333335</c:v>
                </c:pt>
                <c:pt idx="87">
                  <c:v>3.3333333333333335</c:v>
                </c:pt>
                <c:pt idx="88">
                  <c:v>3</c:v>
                </c:pt>
                <c:pt idx="89">
                  <c:v>3.3333333333333335</c:v>
                </c:pt>
                <c:pt idx="90">
                  <c:v>3.3333333333333335</c:v>
                </c:pt>
                <c:pt idx="91">
                  <c:v>3.3333333333333335</c:v>
                </c:pt>
                <c:pt idx="92">
                  <c:v>3.3333333333333335</c:v>
                </c:pt>
                <c:pt idx="93">
                  <c:v>3.3333333333333335</c:v>
                </c:pt>
                <c:pt idx="94">
                  <c:v>3</c:v>
                </c:pt>
                <c:pt idx="95">
                  <c:v>3</c:v>
                </c:pt>
                <c:pt idx="96">
                  <c:v>3</c:v>
                </c:pt>
                <c:pt idx="97">
                  <c:v>3</c:v>
                </c:pt>
                <c:pt idx="98">
                  <c:v>3.3333333333333335</c:v>
                </c:pt>
                <c:pt idx="99">
                  <c:v>3.3333333333333335</c:v>
                </c:pt>
                <c:pt idx="100">
                  <c:v>3.3333333333333335</c:v>
                </c:pt>
                <c:pt idx="101">
                  <c:v>3</c:v>
                </c:pt>
                <c:pt idx="102">
                  <c:v>3.3333333333333335</c:v>
                </c:pt>
                <c:pt idx="103">
                  <c:v>3.3333333333333335</c:v>
                </c:pt>
                <c:pt idx="104">
                  <c:v>3.3333333333333335</c:v>
                </c:pt>
                <c:pt idx="105">
                  <c:v>3.3333333333333335</c:v>
                </c:pt>
                <c:pt idx="106">
                  <c:v>3.3333333333333335</c:v>
                </c:pt>
                <c:pt idx="107">
                  <c:v>3.3333333333333335</c:v>
                </c:pt>
                <c:pt idx="108">
                  <c:v>3.3333333333333335</c:v>
                </c:pt>
                <c:pt idx="109">
                  <c:v>3.3333333333333335</c:v>
                </c:pt>
                <c:pt idx="110">
                  <c:v>3.3333333333333335</c:v>
                </c:pt>
                <c:pt idx="111">
                  <c:v>3.3333333333333335</c:v>
                </c:pt>
                <c:pt idx="112">
                  <c:v>3.3333333333333335</c:v>
                </c:pt>
                <c:pt idx="113">
                  <c:v>3.6666666666666665</c:v>
                </c:pt>
                <c:pt idx="114">
                  <c:v>3.6666666666666665</c:v>
                </c:pt>
                <c:pt idx="115">
                  <c:v>3.6666666666666665</c:v>
                </c:pt>
                <c:pt idx="116">
                  <c:v>3.3333333333333335</c:v>
                </c:pt>
                <c:pt idx="117">
                  <c:v>3.3333333333333335</c:v>
                </c:pt>
                <c:pt idx="118">
                  <c:v>3</c:v>
                </c:pt>
                <c:pt idx="119">
                  <c:v>3</c:v>
                </c:pt>
                <c:pt idx="120">
                  <c:v>2.6666666666666665</c:v>
                </c:pt>
                <c:pt idx="121">
                  <c:v>2.3333333333333335</c:v>
                </c:pt>
                <c:pt idx="122">
                  <c:v>2.6666666666666665</c:v>
                </c:pt>
                <c:pt idx="123">
                  <c:v>2.6666666666666665</c:v>
                </c:pt>
                <c:pt idx="124">
                  <c:v>2.3333333333333335</c:v>
                </c:pt>
                <c:pt idx="125">
                  <c:v>2.3333333333333335</c:v>
                </c:pt>
                <c:pt idx="126">
                  <c:v>2</c:v>
                </c:pt>
                <c:pt idx="127">
                  <c:v>2</c:v>
                </c:pt>
                <c:pt idx="128">
                  <c:v>2</c:v>
                </c:pt>
                <c:pt idx="129">
                  <c:v>2.6666666666666665</c:v>
                </c:pt>
                <c:pt idx="130">
                  <c:v>2.6666666666666665</c:v>
                </c:pt>
                <c:pt idx="131">
                  <c:v>2.6666666666666665</c:v>
                </c:pt>
                <c:pt idx="132">
                  <c:v>2.6666666666666665</c:v>
                </c:pt>
                <c:pt idx="133">
                  <c:v>2.3333333333333335</c:v>
                </c:pt>
                <c:pt idx="134">
                  <c:v>2.6666666666666665</c:v>
                </c:pt>
                <c:pt idx="135">
                  <c:v>3</c:v>
                </c:pt>
                <c:pt idx="136">
                  <c:v>3</c:v>
                </c:pt>
                <c:pt idx="137">
                  <c:v>3</c:v>
                </c:pt>
                <c:pt idx="138">
                  <c:v>3</c:v>
                </c:pt>
                <c:pt idx="139">
                  <c:v>3</c:v>
                </c:pt>
                <c:pt idx="140">
                  <c:v>2.6666666666666665</c:v>
                </c:pt>
                <c:pt idx="141">
                  <c:v>2.6666666666666665</c:v>
                </c:pt>
                <c:pt idx="142">
                  <c:v>2.6666666666666665</c:v>
                </c:pt>
                <c:pt idx="143">
                  <c:v>2.6666666666666665</c:v>
                </c:pt>
                <c:pt idx="144">
                  <c:v>2.6666666666666665</c:v>
                </c:pt>
                <c:pt idx="145">
                  <c:v>3</c:v>
                </c:pt>
                <c:pt idx="146">
                  <c:v>3</c:v>
                </c:pt>
                <c:pt idx="147">
                  <c:v>3</c:v>
                </c:pt>
                <c:pt idx="148">
                  <c:v>3</c:v>
                </c:pt>
                <c:pt idx="149">
                  <c:v>3</c:v>
                </c:pt>
                <c:pt idx="150">
                  <c:v>3</c:v>
                </c:pt>
                <c:pt idx="151">
                  <c:v>3</c:v>
                </c:pt>
                <c:pt idx="152">
                  <c:v>3</c:v>
                </c:pt>
                <c:pt idx="153">
                  <c:v>2.6666666666666665</c:v>
                </c:pt>
                <c:pt idx="154">
                  <c:v>2.6666666666666665</c:v>
                </c:pt>
                <c:pt idx="155">
                  <c:v>2.6666666666666665</c:v>
                </c:pt>
                <c:pt idx="156">
                  <c:v>2.6666666666666665</c:v>
                </c:pt>
                <c:pt idx="157">
                  <c:v>2.6666666666666665</c:v>
                </c:pt>
                <c:pt idx="158">
                  <c:v>2.6666666666666665</c:v>
                </c:pt>
                <c:pt idx="159">
                  <c:v>2.3333333333333335</c:v>
                </c:pt>
                <c:pt idx="160">
                  <c:v>2.3333333333333335</c:v>
                </c:pt>
                <c:pt idx="161">
                  <c:v>2.3333333333333335</c:v>
                </c:pt>
                <c:pt idx="162">
                  <c:v>2.3333333333333335</c:v>
                </c:pt>
                <c:pt idx="163">
                  <c:v>3</c:v>
                </c:pt>
                <c:pt idx="164">
                  <c:v>3</c:v>
                </c:pt>
                <c:pt idx="165">
                  <c:v>3</c:v>
                </c:pt>
                <c:pt idx="166">
                  <c:v>3</c:v>
                </c:pt>
                <c:pt idx="167">
                  <c:v>3</c:v>
                </c:pt>
                <c:pt idx="168">
                  <c:v>3</c:v>
                </c:pt>
                <c:pt idx="169">
                  <c:v>3</c:v>
                </c:pt>
                <c:pt idx="170">
                  <c:v>3</c:v>
                </c:pt>
                <c:pt idx="171">
                  <c:v>3</c:v>
                </c:pt>
                <c:pt idx="172">
                  <c:v>2.6666666666666665</c:v>
                </c:pt>
                <c:pt idx="173">
                  <c:v>2.6666666666666665</c:v>
                </c:pt>
                <c:pt idx="174">
                  <c:v>2.3333333333333335</c:v>
                </c:pt>
                <c:pt idx="175">
                  <c:v>2.3333333333333335</c:v>
                </c:pt>
                <c:pt idx="176">
                  <c:v>2</c:v>
                </c:pt>
                <c:pt idx="177">
                  <c:v>2</c:v>
                </c:pt>
                <c:pt idx="178">
                  <c:v>2</c:v>
                </c:pt>
                <c:pt idx="179">
                  <c:v>2</c:v>
                </c:pt>
                <c:pt idx="180">
                  <c:v>2</c:v>
                </c:pt>
                <c:pt idx="181">
                  <c:v>2</c:v>
                </c:pt>
                <c:pt idx="182">
                  <c:v>2</c:v>
                </c:pt>
                <c:pt idx="183">
                  <c:v>2</c:v>
                </c:pt>
              </c:numCache>
            </c:numRef>
          </c:val>
          <c:smooth val="0"/>
          <c:extLst>
            <c:ext xmlns:c16="http://schemas.microsoft.com/office/drawing/2014/chart" uri="{C3380CC4-5D6E-409C-BE32-E72D297353CC}">
              <c16:uniqueId val="{00000000-6D69-4691-87DE-74F74246C0CE}"/>
            </c:ext>
          </c:extLst>
        </c:ser>
        <c:ser>
          <c:idx val="4"/>
          <c:order val="4"/>
          <c:tx>
            <c:strRef>
              <c:f>Ratings!$D$8</c:f>
              <c:strCache>
                <c:ptCount val="1"/>
              </c:strCache>
            </c:strRef>
          </c:tx>
          <c:spPr>
            <a:ln w="28575" cap="rnd">
              <a:solidFill>
                <a:schemeClr val="tx2"/>
              </a:solidFill>
              <a:prstDash val="sysDot"/>
              <a:round/>
            </a:ln>
            <a:effectLst/>
          </c:spPr>
          <c:marker>
            <c:symbol val="none"/>
          </c:marker>
          <c:cat>
            <c:numRef>
              <c:f>Ratings!$CA$3:$JB$3</c:f>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f>Ratings!$CA$8:$JB$8</c:f>
              <c:numCache>
                <c:formatCode>General</c:formatCode>
                <c:ptCount val="184"/>
              </c:numCache>
            </c:numRef>
          </c:val>
          <c:smooth val="0"/>
          <c:extLst>
            <c:ext xmlns:c16="http://schemas.microsoft.com/office/drawing/2014/chart" uri="{C3380CC4-5D6E-409C-BE32-E72D297353CC}">
              <c16:uniqueId val="{00000001-6D69-4691-87DE-74F74246C0CE}"/>
            </c:ext>
          </c:extLst>
        </c:ser>
        <c:ser>
          <c:idx val="5"/>
          <c:order val="5"/>
          <c:tx>
            <c:strRef>
              <c:f>Ratings!$D$9</c:f>
              <c:strCache>
                <c:ptCount val="1"/>
              </c:strCache>
            </c:strRef>
          </c:tx>
          <c:spPr>
            <a:ln w="28575" cap="rnd">
              <a:solidFill>
                <a:srgbClr val="009D9A"/>
              </a:solidFill>
              <a:prstDash val="sysDash"/>
              <a:round/>
            </a:ln>
            <a:effectLst/>
          </c:spPr>
          <c:marker>
            <c:symbol val="none"/>
          </c:marker>
          <c:cat>
            <c:numRef>
              <c:f>Ratings!$CA$3:$JB$3</c:f>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f>Ratings!$CA$9:$JB$9</c:f>
              <c:numCache>
                <c:formatCode>General</c:formatCode>
                <c:ptCount val="184"/>
                <c:pt idx="3" formatCode="0">
                  <c:v>3.5684523809523809</c:v>
                </c:pt>
                <c:pt idx="4" formatCode="0">
                  <c:v>3.5684523809523809</c:v>
                </c:pt>
                <c:pt idx="5" formatCode="0">
                  <c:v>3.5684523809523809</c:v>
                </c:pt>
                <c:pt idx="6" formatCode="0">
                  <c:v>3.5684523809523809</c:v>
                </c:pt>
                <c:pt idx="7" formatCode="0">
                  <c:v>3.5684523809523809</c:v>
                </c:pt>
                <c:pt idx="8" formatCode="0">
                  <c:v>3.5684523809523809</c:v>
                </c:pt>
                <c:pt idx="9" formatCode="0">
                  <c:v>3.5684523809523809</c:v>
                </c:pt>
                <c:pt idx="10" formatCode="0">
                  <c:v>3.5684523809523809</c:v>
                </c:pt>
                <c:pt idx="11" formatCode="0">
                  <c:v>3.5684523809523809</c:v>
                </c:pt>
                <c:pt idx="12" formatCode="0">
                  <c:v>3.5684523809523809</c:v>
                </c:pt>
                <c:pt idx="13" formatCode="0">
                  <c:v>3.5684523809523809</c:v>
                </c:pt>
                <c:pt idx="14" formatCode="0">
                  <c:v>3.5684523809523809</c:v>
                </c:pt>
                <c:pt idx="15" formatCode="0">
                  <c:v>3.5684523809523809</c:v>
                </c:pt>
                <c:pt idx="16" formatCode="0">
                  <c:v>3.5684523809523809</c:v>
                </c:pt>
                <c:pt idx="17" formatCode="0">
                  <c:v>3.5684523809523809</c:v>
                </c:pt>
                <c:pt idx="18" formatCode="0">
                  <c:v>3.5684523809523809</c:v>
                </c:pt>
                <c:pt idx="19" formatCode="0">
                  <c:v>3.5684523809523809</c:v>
                </c:pt>
                <c:pt idx="20" formatCode="0">
                  <c:v>3.5684523809523809</c:v>
                </c:pt>
                <c:pt idx="21" formatCode="0">
                  <c:v>3.5684523809523809</c:v>
                </c:pt>
                <c:pt idx="22" formatCode="0">
                  <c:v>3.5684523809523809</c:v>
                </c:pt>
                <c:pt idx="23" formatCode="0">
                  <c:v>3.5684523809523809</c:v>
                </c:pt>
                <c:pt idx="24" formatCode="0">
                  <c:v>3.5684523809523809</c:v>
                </c:pt>
                <c:pt idx="25" formatCode="0">
                  <c:v>3.5684523809523809</c:v>
                </c:pt>
                <c:pt idx="26" formatCode="0">
                  <c:v>3.5684523809523809</c:v>
                </c:pt>
                <c:pt idx="27" formatCode="0">
                  <c:v>3.5684523809523809</c:v>
                </c:pt>
                <c:pt idx="28" formatCode="0">
                  <c:v>3.5684523809523809</c:v>
                </c:pt>
                <c:pt idx="29" formatCode="0">
                  <c:v>3.5684523809523809</c:v>
                </c:pt>
                <c:pt idx="30" formatCode="0">
                  <c:v>3.5684523809523809</c:v>
                </c:pt>
                <c:pt idx="31" formatCode="0">
                  <c:v>3.5684523809523809</c:v>
                </c:pt>
                <c:pt idx="32" formatCode="0">
                  <c:v>3.5684523809523809</c:v>
                </c:pt>
                <c:pt idx="33" formatCode="0">
                  <c:v>3.5684523809523809</c:v>
                </c:pt>
                <c:pt idx="34" formatCode="0">
                  <c:v>3.5684523809523809</c:v>
                </c:pt>
                <c:pt idx="35" formatCode="0">
                  <c:v>3.5684523809523809</c:v>
                </c:pt>
                <c:pt idx="36" formatCode="0">
                  <c:v>3.5684523809523809</c:v>
                </c:pt>
                <c:pt idx="37" formatCode="0">
                  <c:v>3.5684523809523809</c:v>
                </c:pt>
                <c:pt idx="38" formatCode="0">
                  <c:v>3.5684523809523809</c:v>
                </c:pt>
                <c:pt idx="39" formatCode="0">
                  <c:v>3.5684523809523809</c:v>
                </c:pt>
                <c:pt idx="40" formatCode="0">
                  <c:v>3.5684523809523809</c:v>
                </c:pt>
                <c:pt idx="41" formatCode="0">
                  <c:v>3.5684523809523809</c:v>
                </c:pt>
                <c:pt idx="42" formatCode="0">
                  <c:v>3.5684523809523809</c:v>
                </c:pt>
                <c:pt idx="43" formatCode="0">
                  <c:v>3.5684523809523809</c:v>
                </c:pt>
                <c:pt idx="44" formatCode="0">
                  <c:v>3.5684523809523809</c:v>
                </c:pt>
                <c:pt idx="45" formatCode="0">
                  <c:v>3.5684523809523809</c:v>
                </c:pt>
                <c:pt idx="46" formatCode="0">
                  <c:v>3.5684523809523809</c:v>
                </c:pt>
                <c:pt idx="47" formatCode="0">
                  <c:v>3.5684523809523809</c:v>
                </c:pt>
                <c:pt idx="48" formatCode="0">
                  <c:v>3.5684523809523809</c:v>
                </c:pt>
                <c:pt idx="49" formatCode="0">
                  <c:v>3.5684523809523809</c:v>
                </c:pt>
                <c:pt idx="50" formatCode="0">
                  <c:v>3.5684523809523809</c:v>
                </c:pt>
                <c:pt idx="51" formatCode="0">
                  <c:v>3.5684523809523809</c:v>
                </c:pt>
                <c:pt idx="52" formatCode="0">
                  <c:v>3.5684523809523809</c:v>
                </c:pt>
                <c:pt idx="53" formatCode="0">
                  <c:v>3.5684523809523809</c:v>
                </c:pt>
                <c:pt idx="54" formatCode="0">
                  <c:v>3.5684523809523809</c:v>
                </c:pt>
                <c:pt idx="55" formatCode="0">
                  <c:v>3.5684523809523809</c:v>
                </c:pt>
                <c:pt idx="56" formatCode="0">
                  <c:v>3.5684523809523809</c:v>
                </c:pt>
                <c:pt idx="57" formatCode="0">
                  <c:v>3.5684523809523809</c:v>
                </c:pt>
                <c:pt idx="58" formatCode="0">
                  <c:v>3.5684523809523809</c:v>
                </c:pt>
                <c:pt idx="59" formatCode="0">
                  <c:v>3.5684523809523809</c:v>
                </c:pt>
                <c:pt idx="60" formatCode="0">
                  <c:v>3.5684523809523809</c:v>
                </c:pt>
                <c:pt idx="61" formatCode="0">
                  <c:v>3.5684523809523809</c:v>
                </c:pt>
                <c:pt idx="62" formatCode="0">
                  <c:v>3.5684523809523809</c:v>
                </c:pt>
                <c:pt idx="63" formatCode="0">
                  <c:v>3.5684523809523809</c:v>
                </c:pt>
                <c:pt idx="64" formatCode="0">
                  <c:v>3.5684523809523809</c:v>
                </c:pt>
                <c:pt idx="65" formatCode="0">
                  <c:v>3.5684523809523809</c:v>
                </c:pt>
                <c:pt idx="66" formatCode="0">
                  <c:v>3.5684523809523809</c:v>
                </c:pt>
                <c:pt idx="67" formatCode="0">
                  <c:v>3.5684523809523809</c:v>
                </c:pt>
                <c:pt idx="68" formatCode="0">
                  <c:v>3.5684523809523809</c:v>
                </c:pt>
                <c:pt idx="69" formatCode="0">
                  <c:v>3.5684523809523809</c:v>
                </c:pt>
                <c:pt idx="70" formatCode="0">
                  <c:v>3.5684523809523809</c:v>
                </c:pt>
                <c:pt idx="71" formatCode="0">
                  <c:v>3.5684523809523809</c:v>
                </c:pt>
                <c:pt idx="72" formatCode="0">
                  <c:v>3.5684523809523809</c:v>
                </c:pt>
                <c:pt idx="73" formatCode="0">
                  <c:v>3.5684523809523809</c:v>
                </c:pt>
                <c:pt idx="74" formatCode="0">
                  <c:v>3.5684523809523809</c:v>
                </c:pt>
                <c:pt idx="75" formatCode="0">
                  <c:v>3.5684523809523809</c:v>
                </c:pt>
                <c:pt idx="76" formatCode="0">
                  <c:v>3.5684523809523809</c:v>
                </c:pt>
                <c:pt idx="77" formatCode="0">
                  <c:v>3.5684523809523809</c:v>
                </c:pt>
                <c:pt idx="78" formatCode="0">
                  <c:v>3.5684523809523809</c:v>
                </c:pt>
                <c:pt idx="79" formatCode="0">
                  <c:v>3.5684523809523809</c:v>
                </c:pt>
                <c:pt idx="80" formatCode="0">
                  <c:v>3.5684523809523809</c:v>
                </c:pt>
                <c:pt idx="81" formatCode="0">
                  <c:v>3.5684523809523809</c:v>
                </c:pt>
                <c:pt idx="82" formatCode="0">
                  <c:v>3.5684523809523809</c:v>
                </c:pt>
                <c:pt idx="83" formatCode="0">
                  <c:v>3.5684523809523809</c:v>
                </c:pt>
                <c:pt idx="84" formatCode="0">
                  <c:v>3.5684523809523809</c:v>
                </c:pt>
                <c:pt idx="85" formatCode="0">
                  <c:v>3.5684523809523809</c:v>
                </c:pt>
                <c:pt idx="86" formatCode="0">
                  <c:v>3.5684523809523809</c:v>
                </c:pt>
                <c:pt idx="87" formatCode="0">
                  <c:v>3.5684523809523809</c:v>
                </c:pt>
                <c:pt idx="88" formatCode="0">
                  <c:v>3.5684523809523809</c:v>
                </c:pt>
                <c:pt idx="89" formatCode="0">
                  <c:v>3.5684523809523809</c:v>
                </c:pt>
                <c:pt idx="90" formatCode="0">
                  <c:v>3.5684523809523809</c:v>
                </c:pt>
                <c:pt idx="91" formatCode="0">
                  <c:v>3.5684523809523809</c:v>
                </c:pt>
                <c:pt idx="92" formatCode="0">
                  <c:v>3.5684523809523809</c:v>
                </c:pt>
                <c:pt idx="93" formatCode="0">
                  <c:v>3.5684523809523809</c:v>
                </c:pt>
                <c:pt idx="94" formatCode="0">
                  <c:v>3.5684523809523809</c:v>
                </c:pt>
                <c:pt idx="95" formatCode="0">
                  <c:v>3.5684523809523809</c:v>
                </c:pt>
                <c:pt idx="96" formatCode="0">
                  <c:v>3.5684523809523809</c:v>
                </c:pt>
                <c:pt idx="97" formatCode="0">
                  <c:v>3.5684523809523809</c:v>
                </c:pt>
                <c:pt idx="98" formatCode="0">
                  <c:v>3.5684523809523809</c:v>
                </c:pt>
                <c:pt idx="99" formatCode="0">
                  <c:v>3.5684523809523809</c:v>
                </c:pt>
                <c:pt idx="100" formatCode="0">
                  <c:v>3.5684523809523809</c:v>
                </c:pt>
                <c:pt idx="101" formatCode="0">
                  <c:v>3.5684523809523809</c:v>
                </c:pt>
                <c:pt idx="102" formatCode="0">
                  <c:v>3.5684523809523809</c:v>
                </c:pt>
                <c:pt idx="103" formatCode="0">
                  <c:v>3.5684523809523809</c:v>
                </c:pt>
                <c:pt idx="104" formatCode="0">
                  <c:v>3.5684523809523809</c:v>
                </c:pt>
                <c:pt idx="105" formatCode="0">
                  <c:v>3.5684523809523809</c:v>
                </c:pt>
                <c:pt idx="106" formatCode="0">
                  <c:v>3.5684523809523809</c:v>
                </c:pt>
                <c:pt idx="107" formatCode="0">
                  <c:v>3.5684523809523809</c:v>
                </c:pt>
                <c:pt idx="108" formatCode="0">
                  <c:v>3.5684523809523809</c:v>
                </c:pt>
                <c:pt idx="109" formatCode="0">
                  <c:v>3.5684523809523809</c:v>
                </c:pt>
                <c:pt idx="110" formatCode="0">
                  <c:v>3.5684523809523809</c:v>
                </c:pt>
                <c:pt idx="111" formatCode="0">
                  <c:v>3.5684523809523809</c:v>
                </c:pt>
                <c:pt idx="112" formatCode="0">
                  <c:v>3.5684523809523809</c:v>
                </c:pt>
                <c:pt idx="113" formatCode="0">
                  <c:v>3.5684523809523809</c:v>
                </c:pt>
                <c:pt idx="114" formatCode="0">
                  <c:v>3.5684523809523809</c:v>
                </c:pt>
              </c:numCache>
            </c:numRef>
          </c:val>
          <c:smooth val="0"/>
          <c:extLst>
            <c:ext xmlns:c16="http://schemas.microsoft.com/office/drawing/2014/chart" uri="{C3380CC4-5D6E-409C-BE32-E72D297353CC}">
              <c16:uniqueId val="{00000002-6D69-4691-87DE-74F74246C0CE}"/>
            </c:ext>
          </c:extLst>
        </c:ser>
        <c:ser>
          <c:idx val="6"/>
          <c:order val="6"/>
          <c:tx>
            <c:strRef>
              <c:f>Ratings!$D$10</c:f>
              <c:strCache>
                <c:ptCount val="1"/>
              </c:strCache>
            </c:strRef>
          </c:tx>
          <c:spPr>
            <a:ln w="28575" cap="rnd">
              <a:solidFill>
                <a:srgbClr val="009D9A"/>
              </a:solidFill>
              <a:prstDash val="sysDash"/>
              <a:round/>
            </a:ln>
            <a:effectLst/>
          </c:spPr>
          <c:marker>
            <c:symbol val="none"/>
          </c:marker>
          <c:cat>
            <c:numRef>
              <c:f>Ratings!$CA$3:$JB$3</c:f>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f>Ratings!$CA$10:$JB$10</c:f>
              <c:numCache>
                <c:formatCode>General</c:formatCode>
                <c:ptCount val="184"/>
                <c:pt idx="124" formatCode="0">
                  <c:v>2.6166666666666667</c:v>
                </c:pt>
                <c:pt idx="125" formatCode="0">
                  <c:v>2.6166666666666667</c:v>
                </c:pt>
                <c:pt idx="126" formatCode="0">
                  <c:v>2.6166666666666667</c:v>
                </c:pt>
                <c:pt idx="127" formatCode="0">
                  <c:v>2.6166666666666667</c:v>
                </c:pt>
                <c:pt idx="128" formatCode="0">
                  <c:v>2.6166666666666667</c:v>
                </c:pt>
                <c:pt idx="129" formatCode="0">
                  <c:v>2.6166666666666667</c:v>
                </c:pt>
                <c:pt idx="130" formatCode="0">
                  <c:v>2.6166666666666667</c:v>
                </c:pt>
                <c:pt idx="131" formatCode="0">
                  <c:v>2.6166666666666667</c:v>
                </c:pt>
                <c:pt idx="132" formatCode="0">
                  <c:v>2.6166666666666667</c:v>
                </c:pt>
                <c:pt idx="133" formatCode="0">
                  <c:v>2.6166666666666667</c:v>
                </c:pt>
                <c:pt idx="134" formatCode="0">
                  <c:v>2.6166666666666667</c:v>
                </c:pt>
                <c:pt idx="135" formatCode="0">
                  <c:v>2.6166666666666667</c:v>
                </c:pt>
                <c:pt idx="136" formatCode="0">
                  <c:v>2.6166666666666667</c:v>
                </c:pt>
                <c:pt idx="137" formatCode="0">
                  <c:v>2.6166666666666667</c:v>
                </c:pt>
                <c:pt idx="138" formatCode="0">
                  <c:v>2.6166666666666667</c:v>
                </c:pt>
                <c:pt idx="139" formatCode="0">
                  <c:v>2.6166666666666667</c:v>
                </c:pt>
                <c:pt idx="140" formatCode="0">
                  <c:v>2.6166666666666667</c:v>
                </c:pt>
                <c:pt idx="141" formatCode="0">
                  <c:v>2.6166666666666667</c:v>
                </c:pt>
                <c:pt idx="142" formatCode="0">
                  <c:v>2.6166666666666667</c:v>
                </c:pt>
                <c:pt idx="143" formatCode="0">
                  <c:v>2.6166666666666667</c:v>
                </c:pt>
                <c:pt idx="144" formatCode="0">
                  <c:v>2.6166666666666667</c:v>
                </c:pt>
                <c:pt idx="145" formatCode="0">
                  <c:v>2.6166666666666667</c:v>
                </c:pt>
                <c:pt idx="146" formatCode="0">
                  <c:v>2.6166666666666667</c:v>
                </c:pt>
                <c:pt idx="147" formatCode="0">
                  <c:v>2.6166666666666667</c:v>
                </c:pt>
                <c:pt idx="148" formatCode="0">
                  <c:v>2.6166666666666667</c:v>
                </c:pt>
                <c:pt idx="149" formatCode="0">
                  <c:v>2.6166666666666667</c:v>
                </c:pt>
                <c:pt idx="150" formatCode="0">
                  <c:v>2.6166666666666667</c:v>
                </c:pt>
                <c:pt idx="151" formatCode="0">
                  <c:v>2.6166666666666667</c:v>
                </c:pt>
                <c:pt idx="152" formatCode="0">
                  <c:v>2.6166666666666667</c:v>
                </c:pt>
                <c:pt idx="153" formatCode="0">
                  <c:v>2.6166666666666667</c:v>
                </c:pt>
                <c:pt idx="154" formatCode="0">
                  <c:v>2.6166666666666667</c:v>
                </c:pt>
                <c:pt idx="155" formatCode="0">
                  <c:v>2.6166666666666667</c:v>
                </c:pt>
                <c:pt idx="156" formatCode="0">
                  <c:v>2.6166666666666667</c:v>
                </c:pt>
                <c:pt idx="157" formatCode="0">
                  <c:v>2.6166666666666667</c:v>
                </c:pt>
                <c:pt idx="158" formatCode="0">
                  <c:v>2.6166666666666667</c:v>
                </c:pt>
                <c:pt idx="159" formatCode="0">
                  <c:v>2.6166666666666667</c:v>
                </c:pt>
                <c:pt idx="160" formatCode="0">
                  <c:v>2.6166666666666667</c:v>
                </c:pt>
                <c:pt idx="161" formatCode="0">
                  <c:v>2.6166666666666667</c:v>
                </c:pt>
                <c:pt idx="162" formatCode="0">
                  <c:v>2.6166666666666667</c:v>
                </c:pt>
                <c:pt idx="163" formatCode="0">
                  <c:v>2.6166666666666667</c:v>
                </c:pt>
                <c:pt idx="164" formatCode="0">
                  <c:v>2.6166666666666667</c:v>
                </c:pt>
                <c:pt idx="165" formatCode="0">
                  <c:v>2.6166666666666667</c:v>
                </c:pt>
                <c:pt idx="166" formatCode="0">
                  <c:v>2.6166666666666667</c:v>
                </c:pt>
                <c:pt idx="167" formatCode="0">
                  <c:v>2.6166666666666667</c:v>
                </c:pt>
                <c:pt idx="168" formatCode="0">
                  <c:v>2.6166666666666667</c:v>
                </c:pt>
                <c:pt idx="169" formatCode="0">
                  <c:v>2.6166666666666667</c:v>
                </c:pt>
                <c:pt idx="170" formatCode="0">
                  <c:v>2.6166666666666667</c:v>
                </c:pt>
                <c:pt idx="171" formatCode="0">
                  <c:v>2.6166666666666667</c:v>
                </c:pt>
                <c:pt idx="172" formatCode="0">
                  <c:v>2.6166666666666667</c:v>
                </c:pt>
                <c:pt idx="173" formatCode="0">
                  <c:v>2.6166666666666667</c:v>
                </c:pt>
                <c:pt idx="174" formatCode="0">
                  <c:v>2.6166666666666667</c:v>
                </c:pt>
                <c:pt idx="175" formatCode="0">
                  <c:v>2.6166666666666667</c:v>
                </c:pt>
                <c:pt idx="176" formatCode="0">
                  <c:v>2.6166666666666667</c:v>
                </c:pt>
                <c:pt idx="177" formatCode="0">
                  <c:v>2.6166666666666667</c:v>
                </c:pt>
                <c:pt idx="178" formatCode="0">
                  <c:v>2.6166666666666667</c:v>
                </c:pt>
                <c:pt idx="179" formatCode="0">
                  <c:v>2.6166666666666667</c:v>
                </c:pt>
                <c:pt idx="180" formatCode="0">
                  <c:v>2.6166666666666667</c:v>
                </c:pt>
                <c:pt idx="181" formatCode="0">
                  <c:v>2.6166666666666667</c:v>
                </c:pt>
                <c:pt idx="182" formatCode="0">
                  <c:v>2.6166666666666667</c:v>
                </c:pt>
                <c:pt idx="183" formatCode="0">
                  <c:v>2.6166666666666667</c:v>
                </c:pt>
              </c:numCache>
            </c:numRef>
          </c:val>
          <c:smooth val="0"/>
          <c:extLst>
            <c:ext xmlns:c16="http://schemas.microsoft.com/office/drawing/2014/chart" uri="{C3380CC4-5D6E-409C-BE32-E72D297353CC}">
              <c16:uniqueId val="{00000003-6D69-4691-87DE-74F74246C0CE}"/>
            </c:ext>
          </c:extLst>
        </c:ser>
        <c:dLbls>
          <c:showLegendKey val="0"/>
          <c:showVal val="0"/>
          <c:showCatName val="0"/>
          <c:showSerName val="0"/>
          <c:showPercent val="0"/>
          <c:showBubbleSize val="0"/>
        </c:dLbls>
        <c:smooth val="0"/>
        <c:axId val="1696941759"/>
        <c:axId val="1696945119"/>
        <c:extLst>
          <c:ext xmlns:c15="http://schemas.microsoft.com/office/drawing/2012/chart" uri="{02D57815-91ED-43cb-92C2-25804820EDAC}">
            <c15:filteredLineSeries>
              <c15:ser>
                <c:idx val="0"/>
                <c:order val="0"/>
                <c:tx>
                  <c:strRef>
                    <c:extLst>
                      <c:ext uri="{02D57815-91ED-43cb-92C2-25804820EDAC}">
                        <c15:formulaRef>
                          <c15:sqref>Ratings!$D$4</c15:sqref>
                        </c15:formulaRef>
                      </c:ext>
                    </c:extLst>
                    <c:strCache>
                      <c:ptCount val="1"/>
                      <c:pt idx="0">
                        <c:v>Murray</c:v>
                      </c:pt>
                    </c:strCache>
                  </c:strRef>
                </c:tx>
                <c:spPr>
                  <a:ln w="28575" cap="rnd">
                    <a:solidFill>
                      <a:schemeClr val="accent1"/>
                    </a:solidFill>
                    <a:round/>
                  </a:ln>
                  <a:effectLst/>
                </c:spPr>
                <c:marker>
                  <c:symbol val="none"/>
                </c:marker>
                <c:cat>
                  <c:numRef>
                    <c:extLst>
                      <c:ext uri="{02D57815-91ED-43cb-92C2-25804820EDAC}">
                        <c15:formulaRef>
                          <c15:sqref>Ratings!$CA$3:$JB$3</c15:sqref>
                        </c15:formulaRef>
                      </c:ext>
                    </c:extLst>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extLst>
                      <c:ext uri="{02D57815-91ED-43cb-92C2-25804820EDAC}">
                        <c15:formulaRef>
                          <c15:sqref>Ratings!$CA$4:$JB$4</c15:sqref>
                        </c15:formulaRef>
                      </c:ext>
                    </c:extLst>
                    <c:numCache>
                      <c:formatCode>General</c:formatCode>
                      <c:ptCount val="184"/>
                      <c:pt idx="0">
                        <c:v>4</c:v>
                      </c:pt>
                      <c:pt idx="1">
                        <c:v>4</c:v>
                      </c:pt>
                      <c:pt idx="2">
                        <c:v>4</c:v>
                      </c:pt>
                      <c:pt idx="3">
                        <c:v>4</c:v>
                      </c:pt>
                      <c:pt idx="4">
                        <c:v>3</c:v>
                      </c:pt>
                      <c:pt idx="5">
                        <c:v>3</c:v>
                      </c:pt>
                      <c:pt idx="6">
                        <c:v>3</c:v>
                      </c:pt>
                      <c:pt idx="7">
                        <c:v>3</c:v>
                      </c:pt>
                      <c:pt idx="8">
                        <c:v>3</c:v>
                      </c:pt>
                      <c:pt idx="9">
                        <c:v>3</c:v>
                      </c:pt>
                      <c:pt idx="10">
                        <c:v>3</c:v>
                      </c:pt>
                      <c:pt idx="11">
                        <c:v>3</c:v>
                      </c:pt>
                      <c:pt idx="12">
                        <c:v>3</c:v>
                      </c:pt>
                      <c:pt idx="13">
                        <c:v>4</c:v>
                      </c:pt>
                      <c:pt idx="14">
                        <c:v>4</c:v>
                      </c:pt>
                      <c:pt idx="15">
                        <c:v>4</c:v>
                      </c:pt>
                      <c:pt idx="16">
                        <c:v>4</c:v>
                      </c:pt>
                      <c:pt idx="17">
                        <c:v>4</c:v>
                      </c:pt>
                      <c:pt idx="18">
                        <c:v>4</c:v>
                      </c:pt>
                      <c:pt idx="19">
                        <c:v>4</c:v>
                      </c:pt>
                      <c:pt idx="20">
                        <c:v>4</c:v>
                      </c:pt>
                      <c:pt idx="21">
                        <c:v>4</c:v>
                      </c:pt>
                      <c:pt idx="22">
                        <c:v>4</c:v>
                      </c:pt>
                      <c:pt idx="23">
                        <c:v>3</c:v>
                      </c:pt>
                      <c:pt idx="24">
                        <c:v>3</c:v>
                      </c:pt>
                      <c:pt idx="25">
                        <c:v>3</c:v>
                      </c:pt>
                      <c:pt idx="26">
                        <c:v>3</c:v>
                      </c:pt>
                      <c:pt idx="27">
                        <c:v>3</c:v>
                      </c:pt>
                      <c:pt idx="28">
                        <c:v>3</c:v>
                      </c:pt>
                      <c:pt idx="29">
                        <c:v>3</c:v>
                      </c:pt>
                      <c:pt idx="30">
                        <c:v>4</c:v>
                      </c:pt>
                      <c:pt idx="31">
                        <c:v>4</c:v>
                      </c:pt>
                      <c:pt idx="32">
                        <c:v>4</c:v>
                      </c:pt>
                      <c:pt idx="33">
                        <c:v>4</c:v>
                      </c:pt>
                      <c:pt idx="34">
                        <c:v>4</c:v>
                      </c:pt>
                      <c:pt idx="35">
                        <c:v>4</c:v>
                      </c:pt>
                      <c:pt idx="36">
                        <c:v>5</c:v>
                      </c:pt>
                      <c:pt idx="37">
                        <c:v>5</c:v>
                      </c:pt>
                      <c:pt idx="38">
                        <c:v>5</c:v>
                      </c:pt>
                      <c:pt idx="39">
                        <c:v>4</c:v>
                      </c:pt>
                      <c:pt idx="40">
                        <c:v>4</c:v>
                      </c:pt>
                      <c:pt idx="41">
                        <c:v>4</c:v>
                      </c:pt>
                      <c:pt idx="42">
                        <c:v>4</c:v>
                      </c:pt>
                      <c:pt idx="43">
                        <c:v>4</c:v>
                      </c:pt>
                      <c:pt idx="44">
                        <c:v>3</c:v>
                      </c:pt>
                      <c:pt idx="45">
                        <c:v>3</c:v>
                      </c:pt>
                      <c:pt idx="46">
                        <c:v>3</c:v>
                      </c:pt>
                      <c:pt idx="47">
                        <c:v>2</c:v>
                      </c:pt>
                      <c:pt idx="48">
                        <c:v>2</c:v>
                      </c:pt>
                      <c:pt idx="49">
                        <c:v>2</c:v>
                      </c:pt>
                      <c:pt idx="50">
                        <c:v>2</c:v>
                      </c:pt>
                      <c:pt idx="51">
                        <c:v>2</c:v>
                      </c:pt>
                      <c:pt idx="52">
                        <c:v>2</c:v>
                      </c:pt>
                      <c:pt idx="53">
                        <c:v>2</c:v>
                      </c:pt>
                      <c:pt idx="54">
                        <c:v>3</c:v>
                      </c:pt>
                      <c:pt idx="55">
                        <c:v>3</c:v>
                      </c:pt>
                      <c:pt idx="56">
                        <c:v>4</c:v>
                      </c:pt>
                      <c:pt idx="57">
                        <c:v>4</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5</c:v>
                      </c:pt>
                      <c:pt idx="94">
                        <c:v>4</c:v>
                      </c:pt>
                      <c:pt idx="95">
                        <c:v>4</c:v>
                      </c:pt>
                      <c:pt idx="96">
                        <c:v>4</c:v>
                      </c:pt>
                      <c:pt idx="97">
                        <c:v>4</c:v>
                      </c:pt>
                      <c:pt idx="98">
                        <c:v>4</c:v>
                      </c:pt>
                      <c:pt idx="99">
                        <c:v>4</c:v>
                      </c:pt>
                      <c:pt idx="100">
                        <c:v>4</c:v>
                      </c:pt>
                      <c:pt idx="101">
                        <c:v>4</c:v>
                      </c:pt>
                      <c:pt idx="102">
                        <c:v>5</c:v>
                      </c:pt>
                      <c:pt idx="103">
                        <c:v>5</c:v>
                      </c:pt>
                      <c:pt idx="104">
                        <c:v>5</c:v>
                      </c:pt>
                      <c:pt idx="105">
                        <c:v>5</c:v>
                      </c:pt>
                      <c:pt idx="106">
                        <c:v>5</c:v>
                      </c:pt>
                      <c:pt idx="107">
                        <c:v>5</c:v>
                      </c:pt>
                      <c:pt idx="108">
                        <c:v>5</c:v>
                      </c:pt>
                      <c:pt idx="109">
                        <c:v>5</c:v>
                      </c:pt>
                      <c:pt idx="110">
                        <c:v>5</c:v>
                      </c:pt>
                      <c:pt idx="111">
                        <c:v>5</c:v>
                      </c:pt>
                      <c:pt idx="112">
                        <c:v>5</c:v>
                      </c:pt>
                      <c:pt idx="113">
                        <c:v>5</c:v>
                      </c:pt>
                      <c:pt idx="114">
                        <c:v>5</c:v>
                      </c:pt>
                      <c:pt idx="115">
                        <c:v>5</c:v>
                      </c:pt>
                      <c:pt idx="116">
                        <c:v>5</c:v>
                      </c:pt>
                      <c:pt idx="117">
                        <c:v>5</c:v>
                      </c:pt>
                      <c:pt idx="118">
                        <c:v>4</c:v>
                      </c:pt>
                      <c:pt idx="119">
                        <c:v>4</c:v>
                      </c:pt>
                      <c:pt idx="120">
                        <c:v>4</c:v>
                      </c:pt>
                      <c:pt idx="121">
                        <c:v>3</c:v>
                      </c:pt>
                      <c:pt idx="122">
                        <c:v>3</c:v>
                      </c:pt>
                      <c:pt idx="123">
                        <c:v>3</c:v>
                      </c:pt>
                      <c:pt idx="124">
                        <c:v>3</c:v>
                      </c:pt>
                      <c:pt idx="125">
                        <c:v>3</c:v>
                      </c:pt>
                      <c:pt idx="126">
                        <c:v>2</c:v>
                      </c:pt>
                      <c:pt idx="127">
                        <c:v>2</c:v>
                      </c:pt>
                      <c:pt idx="128">
                        <c:v>2</c:v>
                      </c:pt>
                      <c:pt idx="129">
                        <c:v>2</c:v>
                      </c:pt>
                      <c:pt idx="130">
                        <c:v>2</c:v>
                      </c:pt>
                      <c:pt idx="131">
                        <c:v>2</c:v>
                      </c:pt>
                      <c:pt idx="132">
                        <c:v>2</c:v>
                      </c:pt>
                      <c:pt idx="133">
                        <c:v>2</c:v>
                      </c:pt>
                      <c:pt idx="134">
                        <c:v>3</c:v>
                      </c:pt>
                      <c:pt idx="135">
                        <c:v>3</c:v>
                      </c:pt>
                      <c:pt idx="136">
                        <c:v>3</c:v>
                      </c:pt>
                      <c:pt idx="137">
                        <c:v>3</c:v>
                      </c:pt>
                      <c:pt idx="138">
                        <c:v>3</c:v>
                      </c:pt>
                      <c:pt idx="139">
                        <c:v>3</c:v>
                      </c:pt>
                      <c:pt idx="140">
                        <c:v>3</c:v>
                      </c:pt>
                      <c:pt idx="141">
                        <c:v>3</c:v>
                      </c:pt>
                      <c:pt idx="142">
                        <c:v>3</c:v>
                      </c:pt>
                      <c:pt idx="143">
                        <c:v>3</c:v>
                      </c:pt>
                      <c:pt idx="144">
                        <c:v>3</c:v>
                      </c:pt>
                      <c:pt idx="145">
                        <c:v>3</c:v>
                      </c:pt>
                      <c:pt idx="146">
                        <c:v>3</c:v>
                      </c:pt>
                      <c:pt idx="147">
                        <c:v>3</c:v>
                      </c:pt>
                      <c:pt idx="148">
                        <c:v>3</c:v>
                      </c:pt>
                      <c:pt idx="149">
                        <c:v>3</c:v>
                      </c:pt>
                      <c:pt idx="150">
                        <c:v>3</c:v>
                      </c:pt>
                      <c:pt idx="151">
                        <c:v>3</c:v>
                      </c:pt>
                      <c:pt idx="152">
                        <c:v>3</c:v>
                      </c:pt>
                      <c:pt idx="153">
                        <c:v>3</c:v>
                      </c:pt>
                      <c:pt idx="154">
                        <c:v>3</c:v>
                      </c:pt>
                      <c:pt idx="155">
                        <c:v>3</c:v>
                      </c:pt>
                      <c:pt idx="156">
                        <c:v>3</c:v>
                      </c:pt>
                      <c:pt idx="157">
                        <c:v>3</c:v>
                      </c:pt>
                      <c:pt idx="158">
                        <c:v>3</c:v>
                      </c:pt>
                      <c:pt idx="159">
                        <c:v>3</c:v>
                      </c:pt>
                      <c:pt idx="160">
                        <c:v>3</c:v>
                      </c:pt>
                      <c:pt idx="161">
                        <c:v>3</c:v>
                      </c:pt>
                      <c:pt idx="162">
                        <c:v>3</c:v>
                      </c:pt>
                      <c:pt idx="163">
                        <c:v>3</c:v>
                      </c:pt>
                      <c:pt idx="164">
                        <c:v>3</c:v>
                      </c:pt>
                      <c:pt idx="165">
                        <c:v>3</c:v>
                      </c:pt>
                      <c:pt idx="166">
                        <c:v>3</c:v>
                      </c:pt>
                      <c:pt idx="167">
                        <c:v>3</c:v>
                      </c:pt>
                      <c:pt idx="168">
                        <c:v>3</c:v>
                      </c:pt>
                      <c:pt idx="169">
                        <c:v>3</c:v>
                      </c:pt>
                      <c:pt idx="170">
                        <c:v>3</c:v>
                      </c:pt>
                      <c:pt idx="171">
                        <c:v>3</c:v>
                      </c:pt>
                      <c:pt idx="172">
                        <c:v>3</c:v>
                      </c:pt>
                      <c:pt idx="173">
                        <c:v>3</c:v>
                      </c:pt>
                      <c:pt idx="174">
                        <c:v>3</c:v>
                      </c:pt>
                      <c:pt idx="175">
                        <c:v>3</c:v>
                      </c:pt>
                      <c:pt idx="176">
                        <c:v>2</c:v>
                      </c:pt>
                      <c:pt idx="177">
                        <c:v>2</c:v>
                      </c:pt>
                      <c:pt idx="178">
                        <c:v>2</c:v>
                      </c:pt>
                      <c:pt idx="179">
                        <c:v>2</c:v>
                      </c:pt>
                      <c:pt idx="180">
                        <c:v>2</c:v>
                      </c:pt>
                      <c:pt idx="181">
                        <c:v>2</c:v>
                      </c:pt>
                      <c:pt idx="182">
                        <c:v>2</c:v>
                      </c:pt>
                      <c:pt idx="183">
                        <c:v>2</c:v>
                      </c:pt>
                    </c:numCache>
                  </c:numRef>
                </c:val>
                <c:smooth val="0"/>
                <c:extLst>
                  <c:ext xmlns:c16="http://schemas.microsoft.com/office/drawing/2014/chart" uri="{C3380CC4-5D6E-409C-BE32-E72D297353CC}">
                    <c16:uniqueId val="{00000004-6D69-4691-87DE-74F74246C0CE}"/>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Ratings!$D$5</c15:sqref>
                        </c15:formulaRef>
                      </c:ext>
                    </c:extLst>
                    <c:strCache>
                      <c:ptCount val="1"/>
                      <c:pt idx="0">
                        <c:v>Hume</c:v>
                      </c:pt>
                    </c:strCache>
                  </c:strRef>
                </c:tx>
                <c:spPr>
                  <a:ln w="28575" cap="rnd">
                    <a:solidFill>
                      <a:schemeClr val="accent2"/>
                    </a:solidFill>
                    <a:round/>
                  </a:ln>
                  <a:effectLst/>
                </c:spPr>
                <c:marker>
                  <c:symbol val="none"/>
                </c:marker>
                <c:cat>
                  <c:numRef>
                    <c:extLst xmlns:c15="http://schemas.microsoft.com/office/drawing/2012/chart">
                      <c:ext xmlns:c15="http://schemas.microsoft.com/office/drawing/2012/chart" uri="{02D57815-91ED-43cb-92C2-25804820EDAC}">
                        <c15:formulaRef>
                          <c15:sqref>Ratings!$CA$3:$JB$3</c15:sqref>
                        </c15:formulaRef>
                      </c:ext>
                    </c:extLst>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extLst xmlns:c15="http://schemas.microsoft.com/office/drawing/2012/chart">
                      <c:ext xmlns:c15="http://schemas.microsoft.com/office/drawing/2012/chart" uri="{02D57815-91ED-43cb-92C2-25804820EDAC}">
                        <c15:formulaRef>
                          <c15:sqref>Ratings!$CA$5:$JB$5</c15:sqref>
                        </c15:formulaRef>
                      </c:ext>
                    </c:extLst>
                    <c:numCache>
                      <c:formatCode>General</c:formatCode>
                      <c:ptCount val="184"/>
                      <c:pt idx="0">
                        <c:v>4</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pt idx="36">
                        <c:v>3</c:v>
                      </c:pt>
                      <c:pt idx="37">
                        <c:v>3</c:v>
                      </c:pt>
                      <c:pt idx="38">
                        <c:v>3</c:v>
                      </c:pt>
                      <c:pt idx="39">
                        <c:v>3</c:v>
                      </c:pt>
                      <c:pt idx="40">
                        <c:v>3</c:v>
                      </c:pt>
                      <c:pt idx="41">
                        <c:v>3</c:v>
                      </c:pt>
                      <c:pt idx="42">
                        <c:v>3</c:v>
                      </c:pt>
                      <c:pt idx="43">
                        <c:v>3</c:v>
                      </c:pt>
                      <c:pt idx="44">
                        <c:v>3</c:v>
                      </c:pt>
                      <c:pt idx="45">
                        <c:v>3</c:v>
                      </c:pt>
                      <c:pt idx="46">
                        <c:v>3</c:v>
                      </c:pt>
                      <c:pt idx="47">
                        <c:v>4</c:v>
                      </c:pt>
                      <c:pt idx="48">
                        <c:v>4</c:v>
                      </c:pt>
                      <c:pt idx="49">
                        <c:v>4</c:v>
                      </c:pt>
                      <c:pt idx="50">
                        <c:v>4</c:v>
                      </c:pt>
                      <c:pt idx="51">
                        <c:v>4</c:v>
                      </c:pt>
                      <c:pt idx="52">
                        <c:v>4</c:v>
                      </c:pt>
                      <c:pt idx="53">
                        <c:v>3</c:v>
                      </c:pt>
                      <c:pt idx="54">
                        <c:v>3</c:v>
                      </c:pt>
                      <c:pt idx="55">
                        <c:v>3</c:v>
                      </c:pt>
                      <c:pt idx="56">
                        <c:v>3</c:v>
                      </c:pt>
                      <c:pt idx="57">
                        <c:v>3</c:v>
                      </c:pt>
                      <c:pt idx="58">
                        <c:v>3</c:v>
                      </c:pt>
                      <c:pt idx="59">
                        <c:v>3</c:v>
                      </c:pt>
                      <c:pt idx="60">
                        <c:v>3</c:v>
                      </c:pt>
                      <c:pt idx="61">
                        <c:v>3</c:v>
                      </c:pt>
                      <c:pt idx="62">
                        <c:v>3</c:v>
                      </c:pt>
                      <c:pt idx="63">
                        <c:v>3</c:v>
                      </c:pt>
                      <c:pt idx="64">
                        <c:v>3</c:v>
                      </c:pt>
                      <c:pt idx="65">
                        <c:v>3</c:v>
                      </c:pt>
                      <c:pt idx="66">
                        <c:v>3</c:v>
                      </c:pt>
                      <c:pt idx="67">
                        <c:v>3</c:v>
                      </c:pt>
                      <c:pt idx="68">
                        <c:v>3</c:v>
                      </c:pt>
                      <c:pt idx="69">
                        <c:v>3</c:v>
                      </c:pt>
                      <c:pt idx="70">
                        <c:v>3</c:v>
                      </c:pt>
                      <c:pt idx="71">
                        <c:v>3</c:v>
                      </c:pt>
                      <c:pt idx="72">
                        <c:v>3</c:v>
                      </c:pt>
                      <c:pt idx="73">
                        <c:v>3</c:v>
                      </c:pt>
                      <c:pt idx="74">
                        <c:v>3</c:v>
                      </c:pt>
                      <c:pt idx="75">
                        <c:v>3</c:v>
                      </c:pt>
                      <c:pt idx="76">
                        <c:v>3</c:v>
                      </c:pt>
                      <c:pt idx="77">
                        <c:v>3</c:v>
                      </c:pt>
                      <c:pt idx="78">
                        <c:v>3</c:v>
                      </c:pt>
                      <c:pt idx="79">
                        <c:v>3</c:v>
                      </c:pt>
                      <c:pt idx="80">
                        <c:v>3</c:v>
                      </c:pt>
                      <c:pt idx="81">
                        <c:v>2</c:v>
                      </c:pt>
                      <c:pt idx="82">
                        <c:v>2</c:v>
                      </c:pt>
                      <c:pt idx="83">
                        <c:v>2</c:v>
                      </c:pt>
                      <c:pt idx="84">
                        <c:v>2</c:v>
                      </c:pt>
                      <c:pt idx="85">
                        <c:v>2</c:v>
                      </c:pt>
                      <c:pt idx="86">
                        <c:v>2</c:v>
                      </c:pt>
                      <c:pt idx="87">
                        <c:v>2</c:v>
                      </c:pt>
                      <c:pt idx="88">
                        <c:v>1</c:v>
                      </c:pt>
                      <c:pt idx="89">
                        <c:v>2</c:v>
                      </c:pt>
                      <c:pt idx="90">
                        <c:v>2</c:v>
                      </c:pt>
                      <c:pt idx="91">
                        <c:v>2</c:v>
                      </c:pt>
                      <c:pt idx="92">
                        <c:v>2</c:v>
                      </c:pt>
                      <c:pt idx="93">
                        <c:v>2</c:v>
                      </c:pt>
                      <c:pt idx="94">
                        <c:v>2</c:v>
                      </c:pt>
                      <c:pt idx="95">
                        <c:v>2</c:v>
                      </c:pt>
                      <c:pt idx="96">
                        <c:v>2</c:v>
                      </c:pt>
                      <c:pt idx="97">
                        <c:v>2</c:v>
                      </c:pt>
                      <c:pt idx="98">
                        <c:v>2</c:v>
                      </c:pt>
                      <c:pt idx="99">
                        <c:v>2</c:v>
                      </c:pt>
                      <c:pt idx="100">
                        <c:v>2</c:v>
                      </c:pt>
                      <c:pt idx="101">
                        <c:v>1</c:v>
                      </c:pt>
                      <c:pt idx="102">
                        <c:v>1</c:v>
                      </c:pt>
                      <c:pt idx="103">
                        <c:v>1</c:v>
                      </c:pt>
                      <c:pt idx="104">
                        <c:v>1</c:v>
                      </c:pt>
                      <c:pt idx="105">
                        <c:v>1</c:v>
                      </c:pt>
                      <c:pt idx="106">
                        <c:v>1</c:v>
                      </c:pt>
                      <c:pt idx="107">
                        <c:v>1</c:v>
                      </c:pt>
                      <c:pt idx="108">
                        <c:v>1</c:v>
                      </c:pt>
                      <c:pt idx="109">
                        <c:v>1</c:v>
                      </c:pt>
                      <c:pt idx="110">
                        <c:v>1</c:v>
                      </c:pt>
                      <c:pt idx="111">
                        <c:v>1</c:v>
                      </c:pt>
                      <c:pt idx="112">
                        <c:v>1</c:v>
                      </c:pt>
                      <c:pt idx="113">
                        <c:v>2</c:v>
                      </c:pt>
                      <c:pt idx="114">
                        <c:v>2</c:v>
                      </c:pt>
                      <c:pt idx="115">
                        <c:v>2</c:v>
                      </c:pt>
                      <c:pt idx="116">
                        <c:v>2</c:v>
                      </c:pt>
                      <c:pt idx="117">
                        <c:v>2</c:v>
                      </c:pt>
                      <c:pt idx="118">
                        <c:v>2</c:v>
                      </c:pt>
                      <c:pt idx="119">
                        <c:v>2</c:v>
                      </c:pt>
                      <c:pt idx="120">
                        <c:v>2</c:v>
                      </c:pt>
                      <c:pt idx="121">
                        <c:v>2</c:v>
                      </c:pt>
                      <c:pt idx="122">
                        <c:v>2</c:v>
                      </c:pt>
                      <c:pt idx="123">
                        <c:v>2</c:v>
                      </c:pt>
                      <c:pt idx="124">
                        <c:v>2</c:v>
                      </c:pt>
                      <c:pt idx="125">
                        <c:v>2</c:v>
                      </c:pt>
                      <c:pt idx="126">
                        <c:v>2</c:v>
                      </c:pt>
                      <c:pt idx="127">
                        <c:v>2</c:v>
                      </c:pt>
                      <c:pt idx="128">
                        <c:v>2</c:v>
                      </c:pt>
                      <c:pt idx="129">
                        <c:v>3</c:v>
                      </c:pt>
                      <c:pt idx="130">
                        <c:v>3</c:v>
                      </c:pt>
                      <c:pt idx="131">
                        <c:v>3</c:v>
                      </c:pt>
                      <c:pt idx="132">
                        <c:v>3</c:v>
                      </c:pt>
                      <c:pt idx="133">
                        <c:v>2</c:v>
                      </c:pt>
                      <c:pt idx="134">
                        <c:v>2</c:v>
                      </c:pt>
                      <c:pt idx="135">
                        <c:v>2</c:v>
                      </c:pt>
                      <c:pt idx="136">
                        <c:v>2</c:v>
                      </c:pt>
                      <c:pt idx="137">
                        <c:v>2</c:v>
                      </c:pt>
                      <c:pt idx="138">
                        <c:v>2</c:v>
                      </c:pt>
                      <c:pt idx="139">
                        <c:v>2</c:v>
                      </c:pt>
                      <c:pt idx="140">
                        <c:v>1</c:v>
                      </c:pt>
                      <c:pt idx="141">
                        <c:v>1</c:v>
                      </c:pt>
                      <c:pt idx="142">
                        <c:v>1</c:v>
                      </c:pt>
                      <c:pt idx="143">
                        <c:v>1</c:v>
                      </c:pt>
                      <c:pt idx="144">
                        <c:v>1</c:v>
                      </c:pt>
                      <c:pt idx="145">
                        <c:v>2</c:v>
                      </c:pt>
                      <c:pt idx="146">
                        <c:v>2</c:v>
                      </c:pt>
                      <c:pt idx="147">
                        <c:v>2</c:v>
                      </c:pt>
                      <c:pt idx="148">
                        <c:v>2</c:v>
                      </c:pt>
                      <c:pt idx="149">
                        <c:v>2</c:v>
                      </c:pt>
                      <c:pt idx="150">
                        <c:v>2</c:v>
                      </c:pt>
                      <c:pt idx="151">
                        <c:v>2</c:v>
                      </c:pt>
                      <c:pt idx="152">
                        <c:v>2</c:v>
                      </c:pt>
                      <c:pt idx="153">
                        <c:v>2</c:v>
                      </c:pt>
                      <c:pt idx="154">
                        <c:v>2</c:v>
                      </c:pt>
                      <c:pt idx="155">
                        <c:v>2</c:v>
                      </c:pt>
                      <c:pt idx="156">
                        <c:v>2</c:v>
                      </c:pt>
                      <c:pt idx="157">
                        <c:v>2</c:v>
                      </c:pt>
                      <c:pt idx="158">
                        <c:v>2</c:v>
                      </c:pt>
                      <c:pt idx="159">
                        <c:v>2</c:v>
                      </c:pt>
                      <c:pt idx="160">
                        <c:v>2</c:v>
                      </c:pt>
                      <c:pt idx="161">
                        <c:v>2</c:v>
                      </c:pt>
                      <c:pt idx="162">
                        <c:v>2</c:v>
                      </c:pt>
                      <c:pt idx="163">
                        <c:v>3</c:v>
                      </c:pt>
                      <c:pt idx="164">
                        <c:v>3</c:v>
                      </c:pt>
                      <c:pt idx="165">
                        <c:v>3</c:v>
                      </c:pt>
                      <c:pt idx="166">
                        <c:v>3</c:v>
                      </c:pt>
                      <c:pt idx="167">
                        <c:v>3</c:v>
                      </c:pt>
                      <c:pt idx="168">
                        <c:v>3</c:v>
                      </c:pt>
                      <c:pt idx="169">
                        <c:v>3</c:v>
                      </c:pt>
                      <c:pt idx="170">
                        <c:v>3</c:v>
                      </c:pt>
                      <c:pt idx="171">
                        <c:v>3</c:v>
                      </c:pt>
                      <c:pt idx="172">
                        <c:v>2</c:v>
                      </c:pt>
                      <c:pt idx="173">
                        <c:v>2</c:v>
                      </c:pt>
                      <c:pt idx="174">
                        <c:v>2</c:v>
                      </c:pt>
                      <c:pt idx="175">
                        <c:v>2</c:v>
                      </c:pt>
                      <c:pt idx="176">
                        <c:v>2</c:v>
                      </c:pt>
                      <c:pt idx="177">
                        <c:v>2</c:v>
                      </c:pt>
                      <c:pt idx="178">
                        <c:v>2</c:v>
                      </c:pt>
                      <c:pt idx="179">
                        <c:v>2</c:v>
                      </c:pt>
                      <c:pt idx="180">
                        <c:v>2</c:v>
                      </c:pt>
                      <c:pt idx="181">
                        <c:v>2</c:v>
                      </c:pt>
                      <c:pt idx="182">
                        <c:v>2</c:v>
                      </c:pt>
                      <c:pt idx="183">
                        <c:v>2</c:v>
                      </c:pt>
                    </c:numCache>
                  </c:numRef>
                </c:val>
                <c:smooth val="0"/>
                <c:extLst xmlns:c15="http://schemas.microsoft.com/office/drawing/2012/chart">
                  <c:ext xmlns:c16="http://schemas.microsoft.com/office/drawing/2014/chart" uri="{C3380CC4-5D6E-409C-BE32-E72D297353CC}">
                    <c16:uniqueId val="{00000005-6D69-4691-87DE-74F74246C0C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Ratings!$D$6</c15:sqref>
                        </c15:formulaRef>
                      </c:ext>
                    </c:extLst>
                    <c:strCache>
                      <c:ptCount val="1"/>
                      <c:pt idx="0">
                        <c:v>Shepparton</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Ratings!$CA$3:$JB$3</c15:sqref>
                        </c15:formulaRef>
                      </c:ext>
                    </c:extLst>
                    <c:numCache>
                      <c:formatCode>mmm\-yy</c:formatCode>
                      <c:ptCount val="184"/>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42248</c:v>
                      </c:pt>
                      <c:pt idx="79">
                        <c:v>42278</c:v>
                      </c:pt>
                      <c:pt idx="80">
                        <c:v>42309</c:v>
                      </c:pt>
                      <c:pt idx="81">
                        <c:v>42339</c:v>
                      </c:pt>
                      <c:pt idx="82">
                        <c:v>42370</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pt idx="128">
                        <c:v>43770</c:v>
                      </c:pt>
                      <c:pt idx="129">
                        <c:v>43800</c:v>
                      </c:pt>
                      <c:pt idx="130">
                        <c:v>43831</c:v>
                      </c:pt>
                      <c:pt idx="131">
                        <c:v>43862</c:v>
                      </c:pt>
                      <c:pt idx="132">
                        <c:v>43891</c:v>
                      </c:pt>
                      <c:pt idx="133">
                        <c:v>43922</c:v>
                      </c:pt>
                      <c:pt idx="134">
                        <c:v>43952</c:v>
                      </c:pt>
                      <c:pt idx="135">
                        <c:v>43983</c:v>
                      </c:pt>
                      <c:pt idx="136">
                        <c:v>44013</c:v>
                      </c:pt>
                      <c:pt idx="137">
                        <c:v>44044</c:v>
                      </c:pt>
                      <c:pt idx="138">
                        <c:v>44075</c:v>
                      </c:pt>
                      <c:pt idx="139">
                        <c:v>44105</c:v>
                      </c:pt>
                      <c:pt idx="140">
                        <c:v>44136</c:v>
                      </c:pt>
                      <c:pt idx="141">
                        <c:v>44166</c:v>
                      </c:pt>
                      <c:pt idx="142">
                        <c:v>44197</c:v>
                      </c:pt>
                      <c:pt idx="143">
                        <c:v>44228</c:v>
                      </c:pt>
                      <c:pt idx="144">
                        <c:v>44256</c:v>
                      </c:pt>
                      <c:pt idx="145">
                        <c:v>44287</c:v>
                      </c:pt>
                      <c:pt idx="146">
                        <c:v>44317</c:v>
                      </c:pt>
                      <c:pt idx="147">
                        <c:v>44348</c:v>
                      </c:pt>
                      <c:pt idx="148">
                        <c:v>44378</c:v>
                      </c:pt>
                      <c:pt idx="149">
                        <c:v>44409</c:v>
                      </c:pt>
                      <c:pt idx="150">
                        <c:v>44440</c:v>
                      </c:pt>
                      <c:pt idx="151">
                        <c:v>44470</c:v>
                      </c:pt>
                      <c:pt idx="152">
                        <c:v>44501</c:v>
                      </c:pt>
                      <c:pt idx="153">
                        <c:v>44531</c:v>
                      </c:pt>
                      <c:pt idx="154">
                        <c:v>44562</c:v>
                      </c:pt>
                      <c:pt idx="155">
                        <c:v>44593</c:v>
                      </c:pt>
                      <c:pt idx="156">
                        <c:v>44621</c:v>
                      </c:pt>
                      <c:pt idx="157">
                        <c:v>44652</c:v>
                      </c:pt>
                      <c:pt idx="158">
                        <c:v>44682</c:v>
                      </c:pt>
                      <c:pt idx="159">
                        <c:v>44713</c:v>
                      </c:pt>
                      <c:pt idx="160">
                        <c:v>44743</c:v>
                      </c:pt>
                      <c:pt idx="161">
                        <c:v>44774</c:v>
                      </c:pt>
                      <c:pt idx="162">
                        <c:v>44805</c:v>
                      </c:pt>
                      <c:pt idx="163">
                        <c:v>44835</c:v>
                      </c:pt>
                      <c:pt idx="164">
                        <c:v>44866</c:v>
                      </c:pt>
                      <c:pt idx="165">
                        <c:v>44896</c:v>
                      </c:pt>
                      <c:pt idx="166">
                        <c:v>44927</c:v>
                      </c:pt>
                      <c:pt idx="167">
                        <c:v>44958</c:v>
                      </c:pt>
                      <c:pt idx="168">
                        <c:v>44986</c:v>
                      </c:pt>
                      <c:pt idx="169">
                        <c:v>45017</c:v>
                      </c:pt>
                      <c:pt idx="170">
                        <c:v>45047</c:v>
                      </c:pt>
                      <c:pt idx="171">
                        <c:v>45078</c:v>
                      </c:pt>
                      <c:pt idx="172">
                        <c:v>45108</c:v>
                      </c:pt>
                      <c:pt idx="173">
                        <c:v>45139</c:v>
                      </c:pt>
                      <c:pt idx="174">
                        <c:v>45170</c:v>
                      </c:pt>
                      <c:pt idx="175">
                        <c:v>45200</c:v>
                      </c:pt>
                      <c:pt idx="176">
                        <c:v>45231</c:v>
                      </c:pt>
                      <c:pt idx="177">
                        <c:v>45261</c:v>
                      </c:pt>
                      <c:pt idx="178">
                        <c:v>45292</c:v>
                      </c:pt>
                      <c:pt idx="179">
                        <c:v>45323</c:v>
                      </c:pt>
                      <c:pt idx="180">
                        <c:v>45352</c:v>
                      </c:pt>
                      <c:pt idx="181">
                        <c:v>45383</c:v>
                      </c:pt>
                      <c:pt idx="182">
                        <c:v>45413</c:v>
                      </c:pt>
                      <c:pt idx="183">
                        <c:v>45444</c:v>
                      </c:pt>
                    </c:numCache>
                  </c:numRef>
                </c:cat>
                <c:val>
                  <c:numRef>
                    <c:extLst xmlns:c15="http://schemas.microsoft.com/office/drawing/2012/chart">
                      <c:ext xmlns:c15="http://schemas.microsoft.com/office/drawing/2012/chart" uri="{02D57815-91ED-43cb-92C2-25804820EDAC}">
                        <c15:formulaRef>
                          <c15:sqref>Ratings!$CA$6:$JB$6</c15:sqref>
                        </c15:formulaRef>
                      </c:ext>
                    </c:extLst>
                    <c:numCache>
                      <c:formatCode>General</c:formatCode>
                      <c:ptCount val="184"/>
                      <c:pt idx="0">
                        <c:v>4</c:v>
                      </c:pt>
                      <c:pt idx="1">
                        <c:v>4</c:v>
                      </c:pt>
                      <c:pt idx="2">
                        <c:v>4</c:v>
                      </c:pt>
                      <c:pt idx="3">
                        <c:v>4</c:v>
                      </c:pt>
                      <c:pt idx="4">
                        <c:v>4</c:v>
                      </c:pt>
                      <c:pt idx="5">
                        <c:v>4</c:v>
                      </c:pt>
                      <c:pt idx="6">
                        <c:v>5</c:v>
                      </c:pt>
                      <c:pt idx="7">
                        <c:v>4</c:v>
                      </c:pt>
                      <c:pt idx="8">
                        <c:v>4</c:v>
                      </c:pt>
                      <c:pt idx="9">
                        <c:v>4</c:v>
                      </c:pt>
                      <c:pt idx="10">
                        <c:v>4</c:v>
                      </c:pt>
                      <c:pt idx="11">
                        <c:v>4</c:v>
                      </c:pt>
                      <c:pt idx="12">
                        <c:v>4</c:v>
                      </c:pt>
                      <c:pt idx="13">
                        <c:v>4</c:v>
                      </c:pt>
                      <c:pt idx="14">
                        <c:v>4</c:v>
                      </c:pt>
                      <c:pt idx="15">
                        <c:v>4</c:v>
                      </c:pt>
                      <c:pt idx="16">
                        <c:v>4</c:v>
                      </c:pt>
                      <c:pt idx="17">
                        <c:v>5</c:v>
                      </c:pt>
                      <c:pt idx="18">
                        <c:v>5</c:v>
                      </c:pt>
                      <c:pt idx="19">
                        <c:v>5</c:v>
                      </c:pt>
                      <c:pt idx="20">
                        <c:v>5</c:v>
                      </c:pt>
                      <c:pt idx="21">
                        <c:v>5</c:v>
                      </c:pt>
                      <c:pt idx="22">
                        <c:v>5</c:v>
                      </c:pt>
                      <c:pt idx="23">
                        <c:v>5</c:v>
                      </c:pt>
                      <c:pt idx="24">
                        <c:v>5</c:v>
                      </c:pt>
                      <c:pt idx="25">
                        <c:v>5</c:v>
                      </c:pt>
                      <c:pt idx="26">
                        <c:v>5</c:v>
                      </c:pt>
                      <c:pt idx="27">
                        <c:v>5</c:v>
                      </c:pt>
                      <c:pt idx="28">
                        <c:v>5</c:v>
                      </c:pt>
                      <c:pt idx="29">
                        <c:v>5</c:v>
                      </c:pt>
                      <c:pt idx="30">
                        <c:v>4</c:v>
                      </c:pt>
                      <c:pt idx="31">
                        <c:v>4</c:v>
                      </c:pt>
                      <c:pt idx="32">
                        <c:v>4</c:v>
                      </c:pt>
                      <c:pt idx="33">
                        <c:v>4</c:v>
                      </c:pt>
                      <c:pt idx="34">
                        <c:v>4</c:v>
                      </c:pt>
                      <c:pt idx="35">
                        <c:v>4</c:v>
                      </c:pt>
                      <c:pt idx="36">
                        <c:v>4</c:v>
                      </c:pt>
                      <c:pt idx="37">
                        <c:v>4</c:v>
                      </c:pt>
                      <c:pt idx="38">
                        <c:v>4</c:v>
                      </c:pt>
                      <c:pt idx="39">
                        <c:v>4</c:v>
                      </c:pt>
                      <c:pt idx="40">
                        <c:v>5</c:v>
                      </c:pt>
                      <c:pt idx="41">
                        <c:v>4</c:v>
                      </c:pt>
                      <c:pt idx="42">
                        <c:v>5</c:v>
                      </c:pt>
                      <c:pt idx="43">
                        <c:v>5</c:v>
                      </c:pt>
                      <c:pt idx="44">
                        <c:v>4</c:v>
                      </c:pt>
                      <c:pt idx="45">
                        <c:v>4</c:v>
                      </c:pt>
                      <c:pt idx="46">
                        <c:v>4</c:v>
                      </c:pt>
                      <c:pt idx="47">
                        <c:v>4</c:v>
                      </c:pt>
                      <c:pt idx="48">
                        <c:v>4</c:v>
                      </c:pt>
                      <c:pt idx="49">
                        <c:v>4</c:v>
                      </c:pt>
                      <c:pt idx="50">
                        <c:v>4</c:v>
                      </c:pt>
                      <c:pt idx="51">
                        <c:v>4</c:v>
                      </c:pt>
                      <c:pt idx="52">
                        <c:v>3</c:v>
                      </c:pt>
                      <c:pt idx="53">
                        <c:v>4</c:v>
                      </c:pt>
                      <c:pt idx="54">
                        <c:v>3</c:v>
                      </c:pt>
                      <c:pt idx="55">
                        <c:v>3</c:v>
                      </c:pt>
                      <c:pt idx="56">
                        <c:v>3</c:v>
                      </c:pt>
                      <c:pt idx="57">
                        <c:v>4</c:v>
                      </c:pt>
                      <c:pt idx="58">
                        <c:v>4</c:v>
                      </c:pt>
                      <c:pt idx="59">
                        <c:v>4</c:v>
                      </c:pt>
                      <c:pt idx="60">
                        <c:v>4</c:v>
                      </c:pt>
                      <c:pt idx="61">
                        <c:v>4</c:v>
                      </c:pt>
                      <c:pt idx="62">
                        <c:v>4</c:v>
                      </c:pt>
                      <c:pt idx="63">
                        <c:v>4</c:v>
                      </c:pt>
                      <c:pt idx="64">
                        <c:v>4</c:v>
                      </c:pt>
                      <c:pt idx="65">
                        <c:v>4</c:v>
                      </c:pt>
                      <c:pt idx="66">
                        <c:v>4</c:v>
                      </c:pt>
                      <c:pt idx="67">
                        <c:v>4</c:v>
                      </c:pt>
                      <c:pt idx="68">
                        <c:v>4</c:v>
                      </c:pt>
                      <c:pt idx="69">
                        <c:v>4</c:v>
                      </c:pt>
                      <c:pt idx="70">
                        <c:v>4</c:v>
                      </c:pt>
                      <c:pt idx="71">
                        <c:v>4</c:v>
                      </c:pt>
                      <c:pt idx="72">
                        <c:v>4</c:v>
                      </c:pt>
                      <c:pt idx="73">
                        <c:v>4</c:v>
                      </c:pt>
                      <c:pt idx="74">
                        <c:v>4</c:v>
                      </c:pt>
                      <c:pt idx="75">
                        <c:v>4</c:v>
                      </c:pt>
                      <c:pt idx="76">
                        <c:v>3</c:v>
                      </c:pt>
                      <c:pt idx="77">
                        <c:v>3</c:v>
                      </c:pt>
                      <c:pt idx="78">
                        <c:v>3</c:v>
                      </c:pt>
                      <c:pt idx="79">
                        <c:v>3</c:v>
                      </c:pt>
                      <c:pt idx="80">
                        <c:v>3</c:v>
                      </c:pt>
                      <c:pt idx="81">
                        <c:v>3</c:v>
                      </c:pt>
                      <c:pt idx="82">
                        <c:v>3</c:v>
                      </c:pt>
                      <c:pt idx="83">
                        <c:v>3</c:v>
                      </c:pt>
                      <c:pt idx="84">
                        <c:v>3</c:v>
                      </c:pt>
                      <c:pt idx="85">
                        <c:v>3</c:v>
                      </c:pt>
                      <c:pt idx="86">
                        <c:v>3</c:v>
                      </c:pt>
                      <c:pt idx="87">
                        <c:v>3</c:v>
                      </c:pt>
                      <c:pt idx="88">
                        <c:v>3</c:v>
                      </c:pt>
                      <c:pt idx="89">
                        <c:v>3</c:v>
                      </c:pt>
                      <c:pt idx="90">
                        <c:v>3</c:v>
                      </c:pt>
                      <c:pt idx="91">
                        <c:v>3</c:v>
                      </c:pt>
                      <c:pt idx="92">
                        <c:v>3</c:v>
                      </c:pt>
                      <c:pt idx="93">
                        <c:v>3</c:v>
                      </c:pt>
                      <c:pt idx="94">
                        <c:v>3</c:v>
                      </c:pt>
                      <c:pt idx="95">
                        <c:v>3</c:v>
                      </c:pt>
                      <c:pt idx="96">
                        <c:v>3</c:v>
                      </c:pt>
                      <c:pt idx="97">
                        <c:v>3</c:v>
                      </c:pt>
                      <c:pt idx="98">
                        <c:v>4</c:v>
                      </c:pt>
                      <c:pt idx="99">
                        <c:v>4</c:v>
                      </c:pt>
                      <c:pt idx="100">
                        <c:v>4</c:v>
                      </c:pt>
                      <c:pt idx="101">
                        <c:v>4</c:v>
                      </c:pt>
                      <c:pt idx="102">
                        <c:v>4</c:v>
                      </c:pt>
                      <c:pt idx="103">
                        <c:v>4</c:v>
                      </c:pt>
                      <c:pt idx="104">
                        <c:v>4</c:v>
                      </c:pt>
                      <c:pt idx="105">
                        <c:v>4</c:v>
                      </c:pt>
                      <c:pt idx="106">
                        <c:v>4</c:v>
                      </c:pt>
                      <c:pt idx="107">
                        <c:v>4</c:v>
                      </c:pt>
                      <c:pt idx="108">
                        <c:v>4</c:v>
                      </c:pt>
                      <c:pt idx="109">
                        <c:v>4</c:v>
                      </c:pt>
                      <c:pt idx="110">
                        <c:v>4</c:v>
                      </c:pt>
                      <c:pt idx="111">
                        <c:v>4</c:v>
                      </c:pt>
                      <c:pt idx="112">
                        <c:v>4</c:v>
                      </c:pt>
                      <c:pt idx="113">
                        <c:v>4</c:v>
                      </c:pt>
                      <c:pt idx="114">
                        <c:v>4</c:v>
                      </c:pt>
                      <c:pt idx="115">
                        <c:v>4</c:v>
                      </c:pt>
                      <c:pt idx="116">
                        <c:v>3</c:v>
                      </c:pt>
                      <c:pt idx="117">
                        <c:v>3</c:v>
                      </c:pt>
                      <c:pt idx="118">
                        <c:v>3</c:v>
                      </c:pt>
                      <c:pt idx="119">
                        <c:v>3</c:v>
                      </c:pt>
                      <c:pt idx="120">
                        <c:v>2</c:v>
                      </c:pt>
                      <c:pt idx="121">
                        <c:v>2</c:v>
                      </c:pt>
                      <c:pt idx="122">
                        <c:v>3</c:v>
                      </c:pt>
                      <c:pt idx="123">
                        <c:v>3</c:v>
                      </c:pt>
                      <c:pt idx="124">
                        <c:v>2</c:v>
                      </c:pt>
                      <c:pt idx="125">
                        <c:v>2</c:v>
                      </c:pt>
                      <c:pt idx="126">
                        <c:v>2</c:v>
                      </c:pt>
                      <c:pt idx="127">
                        <c:v>2</c:v>
                      </c:pt>
                      <c:pt idx="128">
                        <c:v>2</c:v>
                      </c:pt>
                      <c:pt idx="129">
                        <c:v>3</c:v>
                      </c:pt>
                      <c:pt idx="130">
                        <c:v>3</c:v>
                      </c:pt>
                      <c:pt idx="131">
                        <c:v>3</c:v>
                      </c:pt>
                      <c:pt idx="132">
                        <c:v>3</c:v>
                      </c:pt>
                      <c:pt idx="133">
                        <c:v>3</c:v>
                      </c:pt>
                      <c:pt idx="134">
                        <c:v>3</c:v>
                      </c:pt>
                      <c:pt idx="135">
                        <c:v>4</c:v>
                      </c:pt>
                      <c:pt idx="136">
                        <c:v>4</c:v>
                      </c:pt>
                      <c:pt idx="137">
                        <c:v>4</c:v>
                      </c:pt>
                      <c:pt idx="138">
                        <c:v>4</c:v>
                      </c:pt>
                      <c:pt idx="139">
                        <c:v>4</c:v>
                      </c:pt>
                      <c:pt idx="140">
                        <c:v>4</c:v>
                      </c:pt>
                      <c:pt idx="141">
                        <c:v>4</c:v>
                      </c:pt>
                      <c:pt idx="142">
                        <c:v>4</c:v>
                      </c:pt>
                      <c:pt idx="143">
                        <c:v>4</c:v>
                      </c:pt>
                      <c:pt idx="144">
                        <c:v>4</c:v>
                      </c:pt>
                      <c:pt idx="145">
                        <c:v>4</c:v>
                      </c:pt>
                      <c:pt idx="146">
                        <c:v>4</c:v>
                      </c:pt>
                      <c:pt idx="147">
                        <c:v>4</c:v>
                      </c:pt>
                      <c:pt idx="148">
                        <c:v>4</c:v>
                      </c:pt>
                      <c:pt idx="149">
                        <c:v>4</c:v>
                      </c:pt>
                      <c:pt idx="150">
                        <c:v>4</c:v>
                      </c:pt>
                      <c:pt idx="151">
                        <c:v>4</c:v>
                      </c:pt>
                      <c:pt idx="152">
                        <c:v>4</c:v>
                      </c:pt>
                      <c:pt idx="153">
                        <c:v>3</c:v>
                      </c:pt>
                      <c:pt idx="154">
                        <c:v>3</c:v>
                      </c:pt>
                      <c:pt idx="155">
                        <c:v>3</c:v>
                      </c:pt>
                      <c:pt idx="156">
                        <c:v>3</c:v>
                      </c:pt>
                      <c:pt idx="157">
                        <c:v>3</c:v>
                      </c:pt>
                      <c:pt idx="158">
                        <c:v>3</c:v>
                      </c:pt>
                      <c:pt idx="159">
                        <c:v>2</c:v>
                      </c:pt>
                      <c:pt idx="160">
                        <c:v>2</c:v>
                      </c:pt>
                      <c:pt idx="161">
                        <c:v>2</c:v>
                      </c:pt>
                      <c:pt idx="162">
                        <c:v>2</c:v>
                      </c:pt>
                      <c:pt idx="163">
                        <c:v>3</c:v>
                      </c:pt>
                      <c:pt idx="164">
                        <c:v>3</c:v>
                      </c:pt>
                      <c:pt idx="165">
                        <c:v>3</c:v>
                      </c:pt>
                      <c:pt idx="166">
                        <c:v>3</c:v>
                      </c:pt>
                      <c:pt idx="167">
                        <c:v>3</c:v>
                      </c:pt>
                      <c:pt idx="168">
                        <c:v>3</c:v>
                      </c:pt>
                      <c:pt idx="169">
                        <c:v>3</c:v>
                      </c:pt>
                      <c:pt idx="170">
                        <c:v>3</c:v>
                      </c:pt>
                      <c:pt idx="171">
                        <c:v>3</c:v>
                      </c:pt>
                      <c:pt idx="172">
                        <c:v>3</c:v>
                      </c:pt>
                      <c:pt idx="173">
                        <c:v>3</c:v>
                      </c:pt>
                      <c:pt idx="174">
                        <c:v>2</c:v>
                      </c:pt>
                      <c:pt idx="175">
                        <c:v>2</c:v>
                      </c:pt>
                      <c:pt idx="176">
                        <c:v>2</c:v>
                      </c:pt>
                      <c:pt idx="177">
                        <c:v>2</c:v>
                      </c:pt>
                      <c:pt idx="178">
                        <c:v>2</c:v>
                      </c:pt>
                      <c:pt idx="179">
                        <c:v>2</c:v>
                      </c:pt>
                      <c:pt idx="180">
                        <c:v>2</c:v>
                      </c:pt>
                      <c:pt idx="181">
                        <c:v>2</c:v>
                      </c:pt>
                      <c:pt idx="182">
                        <c:v>2</c:v>
                      </c:pt>
                      <c:pt idx="183">
                        <c:v>2</c:v>
                      </c:pt>
                    </c:numCache>
                  </c:numRef>
                </c:val>
                <c:smooth val="0"/>
                <c:extLst xmlns:c15="http://schemas.microsoft.com/office/drawing/2012/chart">
                  <c:ext xmlns:c16="http://schemas.microsoft.com/office/drawing/2014/chart" uri="{C3380CC4-5D6E-409C-BE32-E72D297353CC}">
                    <c16:uniqueId val="{00000006-6D69-4691-87DE-74F74246C0CE}"/>
                  </c:ext>
                </c:extLst>
              </c15:ser>
            </c15:filteredLineSeries>
          </c:ext>
        </c:extLst>
      </c:lineChart>
      <c:dateAx>
        <c:axId val="1696941759"/>
        <c:scaling>
          <c:orientation val="minMax"/>
        </c:scaling>
        <c:delete val="0"/>
        <c:axPos val="t"/>
        <c:numFmt formatCode="mmm\-yy" sourceLinked="1"/>
        <c:majorTickMark val="none"/>
        <c:minorTickMark val="none"/>
        <c:tickLblPos val="high"/>
        <c:spPr>
          <a:noFill/>
          <a:ln w="9525" cap="flat" cmpd="sng" algn="ctr">
            <a:no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96945119"/>
        <c:crosses val="autoZero"/>
        <c:auto val="1"/>
        <c:lblOffset val="100"/>
        <c:baseTimeUnit val="months"/>
        <c:majorUnit val="12"/>
        <c:majorTimeUnit val="months"/>
      </c:dateAx>
      <c:valAx>
        <c:axId val="1696945119"/>
        <c:scaling>
          <c:orientation val="maxMin"/>
          <c:max val="5"/>
          <c:min val="1"/>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RLMI</a:t>
                </a:r>
                <a:r>
                  <a:rPr lang="en-AU" baseline="0"/>
                  <a:t> rating category*</a:t>
                </a:r>
                <a:endParaRPr lang="en-AU"/>
              </a:p>
            </c:rich>
          </c:tx>
          <c:layout>
            <c:manualLayout>
              <c:xMode val="edge"/>
              <c:yMode val="edge"/>
              <c:x val="1.1080332409972299E-2"/>
              <c:y val="0.22928840720142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96941759"/>
        <c:crosses val="autoZero"/>
        <c:crossBetween val="between"/>
        <c:majorUnit val="1"/>
      </c:valAx>
      <c:spPr>
        <a:noFill/>
        <a:ln>
          <a:noFill/>
        </a:ln>
        <a:effectLst/>
      </c:spPr>
    </c:plotArea>
    <c:plotVisOnly val="1"/>
    <c:dispBlanksAs val="gap"/>
    <c:showDLblsOverMax val="0"/>
  </c:chart>
  <c:spPr>
    <a:solidFill>
      <a:srgbClr val="F2F2F2"/>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'NCVER Satisfaction'!$B$21</c:f>
              <c:strCache>
                <c:ptCount val="1"/>
                <c:pt idx="0">
                  <c:v>Satisfied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'NCVER Satisfaction'!$C$20:$F$20</c:f>
              <c:strCache>
                <c:ptCount val="4"/>
                <c:pt idx="0">
                  <c:v>Major city</c:v>
                </c:pt>
                <c:pt idx="1">
                  <c:v>Inner regional</c:v>
                </c:pt>
                <c:pt idx="2">
                  <c:v>Outer regional</c:v>
                </c:pt>
                <c:pt idx="3">
                  <c:v>Remote and very remote</c:v>
                </c:pt>
              </c:strCache>
            </c:strRef>
          </c:cat>
          <c:val>
            <c:numRef>
              <c:f>'NCVER Satisfaction'!$C$21:$F$21</c:f>
              <c:numCache>
                <c:formatCode>0.0%</c:formatCode>
                <c:ptCount val="4"/>
                <c:pt idx="0">
                  <c:v>0.80682755236220849</c:v>
                </c:pt>
                <c:pt idx="1">
                  <c:v>0.8270210567593127</c:v>
                </c:pt>
                <c:pt idx="2">
                  <c:v>0.83102749390492392</c:v>
                </c:pt>
                <c:pt idx="3">
                  <c:v>0.83542451231783899</c:v>
                </c:pt>
              </c:numCache>
            </c:numRef>
          </c:val>
          <c:extLst>
            <c:ext xmlns:c16="http://schemas.microsoft.com/office/drawing/2014/chart" uri="{C3380CC4-5D6E-409C-BE32-E72D297353CC}">
              <c16:uniqueId val="{00000000-413F-4248-810C-4F91D24D30C2}"/>
            </c:ext>
          </c:extLst>
        </c:ser>
        <c:ser>
          <c:idx val="1"/>
          <c:order val="1"/>
          <c:tx>
            <c:strRef>
              <c:f>'NCVER Satisfaction'!$B$22</c:f>
              <c:strCache>
                <c:ptCount val="1"/>
                <c:pt idx="0">
                  <c:v>Dissatisfied</c:v>
                </c:pt>
              </c:strCache>
            </c:strRef>
          </c:tx>
          <c:spPr>
            <a:solidFill>
              <a:schemeClr val="accent2"/>
            </a:solidFill>
            <a:ln>
              <a:noFill/>
            </a:ln>
            <a:effectLst/>
          </c:spPr>
          <c:invertIfNegative val="0"/>
          <c:dLbls>
            <c:dLbl>
              <c:idx val="0"/>
              <c:layout>
                <c:manualLayout>
                  <c:x val="8.5315825301852319E-2"/>
                  <c:y val="3.440859748930998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3F-4248-810C-4F91D24D30C2}"/>
                </c:ext>
              </c:extLst>
            </c:dLbl>
            <c:dLbl>
              <c:idx val="1"/>
              <c:layout>
                <c:manualLayout>
                  <c:x val="7.875306950940214E-2"/>
                  <c:y val="6.881719497862061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3F-4248-810C-4F91D24D30C2}"/>
                </c:ext>
              </c:extLst>
            </c:dLbl>
            <c:dLbl>
              <c:idx val="2"/>
              <c:layout>
                <c:manualLayout>
                  <c:x val="7.6565484245252086E-2"/>
                  <c:y val="1.032257924679309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3F-4248-810C-4F91D24D30C2}"/>
                </c:ext>
              </c:extLst>
            </c:dLbl>
            <c:dLbl>
              <c:idx val="3"/>
              <c:layout>
                <c:manualLayout>
                  <c:x val="8.0940654773552195E-2"/>
                  <c:y val="6.881719497862029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3F-4248-810C-4F91D24D30C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'NCVER Satisfaction'!$C$20:$F$20</c:f>
              <c:strCache>
                <c:ptCount val="4"/>
                <c:pt idx="0">
                  <c:v>Major city</c:v>
                </c:pt>
                <c:pt idx="1">
                  <c:v>Inner regional</c:v>
                </c:pt>
                <c:pt idx="2">
                  <c:v>Outer regional</c:v>
                </c:pt>
                <c:pt idx="3">
                  <c:v>Remote and very remote</c:v>
                </c:pt>
              </c:strCache>
            </c:strRef>
          </c:cat>
          <c:val>
            <c:numRef>
              <c:f>'NCVER Satisfaction'!$C$22:$F$22</c:f>
              <c:numCache>
                <c:formatCode>0.0%</c:formatCode>
                <c:ptCount val="4"/>
                <c:pt idx="0">
                  <c:v>2.8117054296123243E-2</c:v>
                </c:pt>
                <c:pt idx="1">
                  <c:v>2.9262284698738213E-2</c:v>
                </c:pt>
                <c:pt idx="2">
                  <c:v>2.4115006175758173E-2</c:v>
                </c:pt>
                <c:pt idx="3">
                  <c:v>1.8684821503586434E-2</c:v>
                </c:pt>
              </c:numCache>
            </c:numRef>
          </c:val>
          <c:extLst>
            <c:ext xmlns:c16="http://schemas.microsoft.com/office/drawing/2014/chart" uri="{C3380CC4-5D6E-409C-BE32-E72D297353CC}">
              <c16:uniqueId val="{00000005-413F-4248-810C-4F91D24D30C2}"/>
            </c:ext>
          </c:extLst>
        </c:ser>
        <c:ser>
          <c:idx val="2"/>
          <c:order val="2"/>
          <c:tx>
            <c:strRef>
              <c:f>'NCVER Satisfaction'!$B$23</c:f>
              <c:strCache>
                <c:ptCount val="1"/>
                <c:pt idx="0">
                  <c:v>Neither satisfied nor dissatisfied</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'NCVER Satisfaction'!$C$20:$F$20</c:f>
              <c:strCache>
                <c:ptCount val="4"/>
                <c:pt idx="0">
                  <c:v>Major city</c:v>
                </c:pt>
                <c:pt idx="1">
                  <c:v>Inner regional</c:v>
                </c:pt>
                <c:pt idx="2">
                  <c:v>Outer regional</c:v>
                </c:pt>
                <c:pt idx="3">
                  <c:v>Remote and very remote</c:v>
                </c:pt>
              </c:strCache>
            </c:strRef>
          </c:cat>
          <c:val>
            <c:numRef>
              <c:f>'NCVER Satisfaction'!$C$23:$F$23</c:f>
              <c:numCache>
                <c:formatCode>0.0%</c:formatCode>
                <c:ptCount val="4"/>
                <c:pt idx="0">
                  <c:v>6.1976462492689836E-2</c:v>
                </c:pt>
                <c:pt idx="1">
                  <c:v>6.1052174859499132E-2</c:v>
                </c:pt>
                <c:pt idx="2">
                  <c:v>5.6109621159647016E-2</c:v>
                </c:pt>
                <c:pt idx="3">
                  <c:v>5.0189745115694705E-2</c:v>
                </c:pt>
              </c:numCache>
            </c:numRef>
          </c:val>
          <c:extLst>
            <c:ext xmlns:c16="http://schemas.microsoft.com/office/drawing/2014/chart" uri="{C3380CC4-5D6E-409C-BE32-E72D297353CC}">
              <c16:uniqueId val="{00000006-413F-4248-810C-4F91D24D30C2}"/>
            </c:ext>
          </c:extLst>
        </c:ser>
        <c:ser>
          <c:idx val="3"/>
          <c:order val="3"/>
          <c:tx>
            <c:strRef>
              <c:f>'NCVER Satisfaction'!$B$24</c:f>
              <c:strCache>
                <c:ptCount val="1"/>
                <c:pt idx="0">
                  <c:v>Not stated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'NCVER Satisfaction'!$C$20:$F$20</c:f>
              <c:strCache>
                <c:ptCount val="4"/>
                <c:pt idx="0">
                  <c:v>Major city</c:v>
                </c:pt>
                <c:pt idx="1">
                  <c:v>Inner regional</c:v>
                </c:pt>
                <c:pt idx="2">
                  <c:v>Outer regional</c:v>
                </c:pt>
                <c:pt idx="3">
                  <c:v>Remote and very remote</c:v>
                </c:pt>
              </c:strCache>
            </c:strRef>
          </c:cat>
          <c:val>
            <c:numRef>
              <c:f>'NCVER Satisfaction'!$C$24:$F$24</c:f>
              <c:numCache>
                <c:formatCode>0.0%</c:formatCode>
                <c:ptCount val="4"/>
                <c:pt idx="0">
                  <c:v>0.10307893084897835</c:v>
                </c:pt>
                <c:pt idx="1">
                  <c:v>8.2664483682449816E-2</c:v>
                </c:pt>
                <c:pt idx="2">
                  <c:v>8.8747878759670815E-2</c:v>
                </c:pt>
                <c:pt idx="3">
                  <c:v>9.5700921062879904E-2</c:v>
                </c:pt>
              </c:numCache>
            </c:numRef>
          </c:val>
          <c:extLst>
            <c:ext xmlns:c16="http://schemas.microsoft.com/office/drawing/2014/chart" uri="{C3380CC4-5D6E-409C-BE32-E72D297353CC}">
              <c16:uniqueId val="{00000007-413F-4248-810C-4F91D24D30C2}"/>
            </c:ext>
          </c:extLst>
        </c:ser>
        <c:dLbls>
          <c:dLblPos val="ctr"/>
          <c:showLegendKey val="0"/>
          <c:showVal val="1"/>
          <c:showCatName val="0"/>
          <c:showSerName val="0"/>
          <c:showPercent val="0"/>
          <c:showBubbleSize val="0"/>
        </c:dLbls>
        <c:gapWidth val="150"/>
        <c:overlap val="100"/>
        <c:axId val="1028864351"/>
        <c:axId val="1028876831"/>
      </c:barChart>
      <c:catAx>
        <c:axId val="102886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28876831"/>
        <c:crosses val="autoZero"/>
        <c:auto val="1"/>
        <c:lblAlgn val="ctr"/>
        <c:lblOffset val="100"/>
        <c:noMultiLvlLbl val="0"/>
      </c:catAx>
      <c:valAx>
        <c:axId val="102887683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28864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68364068567615"/>
          <c:y val="3.6850921273031828E-2"/>
          <c:w val="0.84013775116570399"/>
          <c:h val="0.88951423785594641"/>
        </c:manualLayout>
      </c:layout>
      <c:lineChart>
        <c:grouping val="standard"/>
        <c:varyColors val="0"/>
        <c:ser>
          <c:idx val="0"/>
          <c:order val="0"/>
          <c:tx>
            <c:strRef>
              <c:f>'Qual comp rates-LR'!$A$14</c:f>
              <c:strCache>
                <c:ptCount val="1"/>
                <c:pt idx="0">
                  <c:v>Major cities</c:v>
                </c:pt>
              </c:strCache>
            </c:strRef>
          </c:tx>
          <c:spPr>
            <a:ln w="28575" cap="rnd">
              <a:solidFill>
                <a:srgbClr val="287DB2"/>
              </a:solidFill>
              <a:round/>
            </a:ln>
            <a:effectLst/>
          </c:spPr>
          <c:marker>
            <c:symbol val="none"/>
          </c:marker>
          <c:cat>
            <c:strRef>
              <c:f>'Qual comp rates-LR'!$B$13:$F$13</c:f>
              <c:strCache>
                <c:ptCount val="5"/>
                <c:pt idx="0">
                  <c:v>2016</c:v>
                </c:pt>
                <c:pt idx="1">
                  <c:v>2017</c:v>
                </c:pt>
                <c:pt idx="2">
                  <c:v>2018</c:v>
                </c:pt>
                <c:pt idx="3">
                  <c:v>2019*</c:v>
                </c:pt>
                <c:pt idx="4">
                  <c:v>2020*</c:v>
                </c:pt>
              </c:strCache>
            </c:strRef>
          </c:cat>
          <c:val>
            <c:numRef>
              <c:f>'Qual comp rates-LR'!$B$14:$F$14</c:f>
              <c:numCache>
                <c:formatCode>General</c:formatCode>
                <c:ptCount val="5"/>
                <c:pt idx="0">
                  <c:v>44.6</c:v>
                </c:pt>
                <c:pt idx="1">
                  <c:v>46.5</c:v>
                </c:pt>
                <c:pt idx="2">
                  <c:v>47.8</c:v>
                </c:pt>
                <c:pt idx="3">
                  <c:v>49.4</c:v>
                </c:pt>
                <c:pt idx="4">
                  <c:v>50.9</c:v>
                </c:pt>
              </c:numCache>
            </c:numRef>
          </c:val>
          <c:smooth val="0"/>
          <c:extLst>
            <c:ext xmlns:c16="http://schemas.microsoft.com/office/drawing/2014/chart" uri="{C3380CC4-5D6E-409C-BE32-E72D297353CC}">
              <c16:uniqueId val="{00000000-3678-46ED-A4BB-59224B2B820C}"/>
            </c:ext>
          </c:extLst>
        </c:ser>
        <c:ser>
          <c:idx val="1"/>
          <c:order val="1"/>
          <c:tx>
            <c:strRef>
              <c:f>'Qual comp rates-LR'!$A$15</c:f>
              <c:strCache>
                <c:ptCount val="1"/>
                <c:pt idx="0">
                  <c:v>Inner regional</c:v>
                </c:pt>
              </c:strCache>
            </c:strRef>
          </c:tx>
          <c:spPr>
            <a:ln w="28575" cap="rnd">
              <a:solidFill>
                <a:srgbClr val="D37190"/>
              </a:solidFill>
              <a:round/>
            </a:ln>
            <a:effectLst/>
          </c:spPr>
          <c:marker>
            <c:symbol val="none"/>
          </c:marker>
          <c:cat>
            <c:strRef>
              <c:f>'Qual comp rates-LR'!$B$13:$F$13</c:f>
              <c:strCache>
                <c:ptCount val="5"/>
                <c:pt idx="0">
                  <c:v>2016</c:v>
                </c:pt>
                <c:pt idx="1">
                  <c:v>2017</c:v>
                </c:pt>
                <c:pt idx="2">
                  <c:v>2018</c:v>
                </c:pt>
                <c:pt idx="3">
                  <c:v>2019*</c:v>
                </c:pt>
                <c:pt idx="4">
                  <c:v>2020*</c:v>
                </c:pt>
              </c:strCache>
            </c:strRef>
          </c:cat>
          <c:val>
            <c:numRef>
              <c:f>'Qual comp rates-LR'!$B$15:$F$15</c:f>
              <c:numCache>
                <c:formatCode>General</c:formatCode>
                <c:ptCount val="5"/>
                <c:pt idx="0">
                  <c:v>39.300000000000011</c:v>
                </c:pt>
                <c:pt idx="1">
                  <c:v>41.4</c:v>
                </c:pt>
                <c:pt idx="2">
                  <c:v>43.4</c:v>
                </c:pt>
                <c:pt idx="3">
                  <c:v>43.2</c:v>
                </c:pt>
                <c:pt idx="4">
                  <c:v>44.3</c:v>
                </c:pt>
              </c:numCache>
            </c:numRef>
          </c:val>
          <c:smooth val="0"/>
          <c:extLst>
            <c:ext xmlns:c16="http://schemas.microsoft.com/office/drawing/2014/chart" uri="{C3380CC4-5D6E-409C-BE32-E72D297353CC}">
              <c16:uniqueId val="{00000001-3678-46ED-A4BB-59224B2B820C}"/>
            </c:ext>
          </c:extLst>
        </c:ser>
        <c:ser>
          <c:idx val="2"/>
          <c:order val="2"/>
          <c:tx>
            <c:strRef>
              <c:f>'Qual comp rates-LR'!$A$16</c:f>
              <c:strCache>
                <c:ptCount val="1"/>
                <c:pt idx="0">
                  <c:v>Outer regional</c:v>
                </c:pt>
              </c:strCache>
            </c:strRef>
          </c:tx>
          <c:spPr>
            <a:ln w="28575" cap="rnd">
              <a:solidFill>
                <a:srgbClr val="0D2C6C"/>
              </a:solidFill>
              <a:round/>
            </a:ln>
            <a:effectLst/>
          </c:spPr>
          <c:marker>
            <c:symbol val="none"/>
          </c:marker>
          <c:cat>
            <c:strRef>
              <c:f>'Qual comp rates-LR'!$B$13:$F$13</c:f>
              <c:strCache>
                <c:ptCount val="5"/>
                <c:pt idx="0">
                  <c:v>2016</c:v>
                </c:pt>
                <c:pt idx="1">
                  <c:v>2017</c:v>
                </c:pt>
                <c:pt idx="2">
                  <c:v>2018</c:v>
                </c:pt>
                <c:pt idx="3">
                  <c:v>2019*</c:v>
                </c:pt>
                <c:pt idx="4">
                  <c:v>2020*</c:v>
                </c:pt>
              </c:strCache>
            </c:strRef>
          </c:cat>
          <c:val>
            <c:numRef>
              <c:f>'Qual comp rates-LR'!$B$16:$F$16</c:f>
              <c:numCache>
                <c:formatCode>General</c:formatCode>
                <c:ptCount val="5"/>
                <c:pt idx="0">
                  <c:v>38.700000000000003</c:v>
                </c:pt>
                <c:pt idx="1">
                  <c:v>40.9</c:v>
                </c:pt>
                <c:pt idx="2">
                  <c:v>43.6</c:v>
                </c:pt>
                <c:pt idx="3">
                  <c:v>43.6</c:v>
                </c:pt>
                <c:pt idx="4">
                  <c:v>45.7</c:v>
                </c:pt>
              </c:numCache>
            </c:numRef>
          </c:val>
          <c:smooth val="0"/>
          <c:extLst>
            <c:ext xmlns:c16="http://schemas.microsoft.com/office/drawing/2014/chart" uri="{C3380CC4-5D6E-409C-BE32-E72D297353CC}">
              <c16:uniqueId val="{00000002-3678-46ED-A4BB-59224B2B820C}"/>
            </c:ext>
          </c:extLst>
        </c:ser>
        <c:ser>
          <c:idx val="3"/>
          <c:order val="3"/>
          <c:tx>
            <c:strRef>
              <c:f>'Qual comp rates-LR'!$A$17</c:f>
              <c:strCache>
                <c:ptCount val="1"/>
                <c:pt idx="0">
                  <c:v>Remote</c:v>
                </c:pt>
              </c:strCache>
            </c:strRef>
          </c:tx>
          <c:spPr>
            <a:ln w="28575" cap="rnd">
              <a:solidFill>
                <a:srgbClr val="009B9F"/>
              </a:solidFill>
              <a:round/>
            </a:ln>
            <a:effectLst/>
          </c:spPr>
          <c:marker>
            <c:symbol val="none"/>
          </c:marker>
          <c:cat>
            <c:strRef>
              <c:f>'Qual comp rates-LR'!$B$13:$F$13</c:f>
              <c:strCache>
                <c:ptCount val="5"/>
                <c:pt idx="0">
                  <c:v>2016</c:v>
                </c:pt>
                <c:pt idx="1">
                  <c:v>2017</c:v>
                </c:pt>
                <c:pt idx="2">
                  <c:v>2018</c:v>
                </c:pt>
                <c:pt idx="3">
                  <c:v>2019*</c:v>
                </c:pt>
                <c:pt idx="4">
                  <c:v>2020*</c:v>
                </c:pt>
              </c:strCache>
            </c:strRef>
          </c:cat>
          <c:val>
            <c:numRef>
              <c:f>'Qual comp rates-LR'!$B$17:$F$17</c:f>
              <c:numCache>
                <c:formatCode>General</c:formatCode>
                <c:ptCount val="5"/>
                <c:pt idx="0">
                  <c:v>34.700000000000003</c:v>
                </c:pt>
                <c:pt idx="1">
                  <c:v>35.700000000000003</c:v>
                </c:pt>
                <c:pt idx="2">
                  <c:v>40.700000000000003</c:v>
                </c:pt>
                <c:pt idx="3">
                  <c:v>41.4</c:v>
                </c:pt>
                <c:pt idx="4">
                  <c:v>43.7</c:v>
                </c:pt>
              </c:numCache>
            </c:numRef>
          </c:val>
          <c:smooth val="0"/>
          <c:extLst>
            <c:ext xmlns:c16="http://schemas.microsoft.com/office/drawing/2014/chart" uri="{C3380CC4-5D6E-409C-BE32-E72D297353CC}">
              <c16:uniqueId val="{00000003-3678-46ED-A4BB-59224B2B820C}"/>
            </c:ext>
          </c:extLst>
        </c:ser>
        <c:ser>
          <c:idx val="4"/>
          <c:order val="4"/>
          <c:tx>
            <c:strRef>
              <c:f>'Qual comp rates-LR'!$A$18</c:f>
              <c:strCache>
                <c:ptCount val="1"/>
                <c:pt idx="0">
                  <c:v>Very remote</c:v>
                </c:pt>
              </c:strCache>
            </c:strRef>
          </c:tx>
          <c:spPr>
            <a:ln w="28575" cap="rnd">
              <a:solidFill>
                <a:srgbClr val="573393"/>
              </a:solidFill>
              <a:round/>
            </a:ln>
            <a:effectLst/>
          </c:spPr>
          <c:marker>
            <c:symbol val="none"/>
          </c:marker>
          <c:cat>
            <c:strRef>
              <c:f>'Qual comp rates-LR'!$B$13:$F$13</c:f>
              <c:strCache>
                <c:ptCount val="5"/>
                <c:pt idx="0">
                  <c:v>2016</c:v>
                </c:pt>
                <c:pt idx="1">
                  <c:v>2017</c:v>
                </c:pt>
                <c:pt idx="2">
                  <c:v>2018</c:v>
                </c:pt>
                <c:pt idx="3">
                  <c:v>2019*</c:v>
                </c:pt>
                <c:pt idx="4">
                  <c:v>2020*</c:v>
                </c:pt>
              </c:strCache>
            </c:strRef>
          </c:cat>
          <c:val>
            <c:numRef>
              <c:f>'Qual comp rates-LR'!$B$18:$F$18</c:f>
              <c:numCache>
                <c:formatCode>General</c:formatCode>
                <c:ptCount val="5"/>
                <c:pt idx="0">
                  <c:v>31.6</c:v>
                </c:pt>
                <c:pt idx="1">
                  <c:v>28.8</c:v>
                </c:pt>
                <c:pt idx="2">
                  <c:v>31.1</c:v>
                </c:pt>
                <c:pt idx="3">
                  <c:v>36.200000000000003</c:v>
                </c:pt>
                <c:pt idx="4">
                  <c:v>38.6</c:v>
                </c:pt>
              </c:numCache>
            </c:numRef>
          </c:val>
          <c:smooth val="0"/>
          <c:extLst>
            <c:ext xmlns:c16="http://schemas.microsoft.com/office/drawing/2014/chart" uri="{C3380CC4-5D6E-409C-BE32-E72D297353CC}">
              <c16:uniqueId val="{00000004-3678-46ED-A4BB-59224B2B820C}"/>
            </c:ext>
          </c:extLst>
        </c:ser>
        <c:dLbls>
          <c:showLegendKey val="0"/>
          <c:showVal val="0"/>
          <c:showCatName val="0"/>
          <c:showSerName val="0"/>
          <c:showPercent val="0"/>
          <c:showBubbleSize val="0"/>
        </c:dLbls>
        <c:smooth val="0"/>
        <c:axId val="1061473136"/>
        <c:axId val="1274373248"/>
      </c:lineChart>
      <c:catAx>
        <c:axId val="106147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74373248"/>
        <c:crosses val="autoZero"/>
        <c:auto val="1"/>
        <c:lblAlgn val="ctr"/>
        <c:lblOffset val="100"/>
        <c:noMultiLvlLbl val="0"/>
      </c:catAx>
      <c:valAx>
        <c:axId val="1274373248"/>
        <c:scaling>
          <c:orientation val="minMax"/>
          <c:min val="2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VET qualification completion rate (%)</a:t>
                </a:r>
              </a:p>
            </c:rich>
          </c:tx>
          <c:layout>
            <c:manualLayout>
              <c:xMode val="edge"/>
              <c:yMode val="edge"/>
              <c:x val="1.9796677482945512E-2"/>
              <c:y val="0.174989646394703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61473136"/>
        <c:crosses val="autoZero"/>
        <c:crossBetween val="midCat"/>
      </c:valAx>
      <c:spPr>
        <a:noFill/>
        <a:ln>
          <a:noFill/>
        </a:ln>
        <a:effectLst/>
      </c:spPr>
    </c:plotArea>
    <c:legend>
      <c:legendPos val="r"/>
      <c:layout>
        <c:manualLayout>
          <c:xMode val="edge"/>
          <c:yMode val="edge"/>
          <c:x val="0.66586809058727103"/>
          <c:y val="0.63442593545153592"/>
          <c:w val="0.32190946084886674"/>
          <c:h val="0.2370105118769701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Sheet5!$AN$30</c:f>
              <c:strCache>
                <c:ptCount val="1"/>
                <c:pt idx="0">
                  <c:v>Mid North Coast</c:v>
                </c:pt>
              </c:strCache>
            </c:strRef>
          </c:tx>
          <c:spPr>
            <a:solidFill>
              <a:schemeClr val="accent1"/>
            </a:solidFill>
            <a:ln>
              <a:noFill/>
            </a:ln>
            <a:effectLst/>
          </c:spPr>
          <c:invertIfNegative val="0"/>
          <c:cat>
            <c:strRef>
              <c:f>Sheet5!$AO$29:$AT$29</c:f>
              <c:strCache>
                <c:ptCount val="6"/>
                <c:pt idx="0">
                  <c:v>0-14 
years</c:v>
                </c:pt>
                <c:pt idx="1">
                  <c:v>15-24 
years</c:v>
                </c:pt>
                <c:pt idx="2">
                  <c:v>25-54
years</c:v>
                </c:pt>
                <c:pt idx="3">
                  <c:v>55-64 
years</c:v>
                </c:pt>
                <c:pt idx="4">
                  <c:v>65 years 
and over</c:v>
                </c:pt>
                <c:pt idx="5">
                  <c:v>Total Population</c:v>
                </c:pt>
              </c:strCache>
            </c:strRef>
          </c:cat>
          <c:val>
            <c:numRef>
              <c:f>Sheet5!$AO$30:$AT$30</c:f>
              <c:numCache>
                <c:formatCode>0.0</c:formatCode>
                <c:ptCount val="6"/>
                <c:pt idx="0">
                  <c:v>1.1852806184072806</c:v>
                </c:pt>
                <c:pt idx="1">
                  <c:v>0.18996960486321601</c:v>
                </c:pt>
                <c:pt idx="2">
                  <c:v>2.9268038642143557</c:v>
                </c:pt>
                <c:pt idx="3">
                  <c:v>1.6462711957416554</c:v>
                </c:pt>
                <c:pt idx="4">
                  <c:v>16.307949753944051</c:v>
                </c:pt>
                <c:pt idx="5">
                  <c:v>5.5305625375358769</c:v>
                </c:pt>
              </c:numCache>
            </c:numRef>
          </c:val>
          <c:extLst>
            <c:ext xmlns:c16="http://schemas.microsoft.com/office/drawing/2014/chart" uri="{C3380CC4-5D6E-409C-BE32-E72D297353CC}">
              <c16:uniqueId val="{00000000-867C-49EA-866E-2CB011537BE1}"/>
            </c:ext>
          </c:extLst>
        </c:ser>
        <c:ser>
          <c:idx val="1"/>
          <c:order val="1"/>
          <c:tx>
            <c:strRef>
              <c:f>Sheet5!$AN$31</c:f>
              <c:strCache>
                <c:ptCount val="1"/>
                <c:pt idx="0">
                  <c:v>Non-metropolitan NSW</c:v>
                </c:pt>
              </c:strCache>
            </c:strRef>
          </c:tx>
          <c:spPr>
            <a:solidFill>
              <a:schemeClr val="accent2"/>
            </a:solidFill>
            <a:ln>
              <a:noFill/>
            </a:ln>
            <a:effectLst/>
          </c:spPr>
          <c:invertIfNegative val="0"/>
          <c:cat>
            <c:strRef>
              <c:f>Sheet5!$AO$29:$AT$29</c:f>
              <c:strCache>
                <c:ptCount val="6"/>
                <c:pt idx="0">
                  <c:v>0-14 
years</c:v>
                </c:pt>
                <c:pt idx="1">
                  <c:v>15-24 
years</c:v>
                </c:pt>
                <c:pt idx="2">
                  <c:v>25-54
years</c:v>
                </c:pt>
                <c:pt idx="3">
                  <c:v>55-64 
years</c:v>
                </c:pt>
                <c:pt idx="4">
                  <c:v>65 years 
and over</c:v>
                </c:pt>
                <c:pt idx="5">
                  <c:v>Total Population</c:v>
                </c:pt>
              </c:strCache>
            </c:strRef>
          </c:cat>
          <c:val>
            <c:numRef>
              <c:f>Sheet5!$AO$31:$AT$31</c:f>
              <c:numCache>
                <c:formatCode>0.0</c:formatCode>
                <c:ptCount val="6"/>
                <c:pt idx="0">
                  <c:v>1.4012059975833102</c:v>
                </c:pt>
                <c:pt idx="1">
                  <c:v>-1.2110484601862481</c:v>
                </c:pt>
                <c:pt idx="2">
                  <c:v>3.0833474190546273</c:v>
                </c:pt>
                <c:pt idx="3">
                  <c:v>3.1773561818191798</c:v>
                </c:pt>
                <c:pt idx="4">
                  <c:v>15.015241392181334</c:v>
                </c:pt>
                <c:pt idx="5">
                  <c:v>4.6484766364466079</c:v>
                </c:pt>
              </c:numCache>
            </c:numRef>
          </c:val>
          <c:extLst>
            <c:ext xmlns:c16="http://schemas.microsoft.com/office/drawing/2014/chart" uri="{C3380CC4-5D6E-409C-BE32-E72D297353CC}">
              <c16:uniqueId val="{00000001-867C-49EA-866E-2CB011537BE1}"/>
            </c:ext>
          </c:extLst>
        </c:ser>
        <c:ser>
          <c:idx val="2"/>
          <c:order val="2"/>
          <c:tx>
            <c:strRef>
              <c:f>Sheet5!$AN$32</c:f>
              <c:strCache>
                <c:ptCount val="1"/>
                <c:pt idx="0">
                  <c:v>NSW</c:v>
                </c:pt>
              </c:strCache>
            </c:strRef>
          </c:tx>
          <c:spPr>
            <a:solidFill>
              <a:schemeClr val="accent3"/>
            </a:solidFill>
            <a:ln>
              <a:noFill/>
            </a:ln>
            <a:effectLst/>
          </c:spPr>
          <c:invertIfNegative val="0"/>
          <c:cat>
            <c:strRef>
              <c:f>Sheet5!$AO$29:$AT$29</c:f>
              <c:strCache>
                <c:ptCount val="6"/>
                <c:pt idx="0">
                  <c:v>0-14 
years</c:v>
                </c:pt>
                <c:pt idx="1">
                  <c:v>15-24 
years</c:v>
                </c:pt>
                <c:pt idx="2">
                  <c:v>25-54
years</c:v>
                </c:pt>
                <c:pt idx="3">
                  <c:v>55-64 
years</c:v>
                </c:pt>
                <c:pt idx="4">
                  <c:v>65 years 
and over</c:v>
                </c:pt>
                <c:pt idx="5">
                  <c:v>Total Population</c:v>
                </c:pt>
              </c:strCache>
            </c:strRef>
          </c:cat>
          <c:val>
            <c:numRef>
              <c:f>Sheet5!$AO$32:$AT$32</c:f>
              <c:numCache>
                <c:formatCode>0.0</c:formatCode>
                <c:ptCount val="6"/>
                <c:pt idx="0">
                  <c:v>1.6101359646200963</c:v>
                </c:pt>
                <c:pt idx="1">
                  <c:v>-1.232202976820973</c:v>
                </c:pt>
                <c:pt idx="2">
                  <c:v>2.6292758116204462</c:v>
                </c:pt>
                <c:pt idx="3">
                  <c:v>4.0546207474969842</c:v>
                </c:pt>
                <c:pt idx="4">
                  <c:v>14.221359528310874</c:v>
                </c:pt>
                <c:pt idx="5">
                  <c:v>3.951655159385048</c:v>
                </c:pt>
              </c:numCache>
            </c:numRef>
          </c:val>
          <c:extLst>
            <c:ext xmlns:c16="http://schemas.microsoft.com/office/drawing/2014/chart" uri="{C3380CC4-5D6E-409C-BE32-E72D297353CC}">
              <c16:uniqueId val="{00000002-867C-49EA-866E-2CB011537BE1}"/>
            </c:ext>
          </c:extLst>
        </c:ser>
        <c:dLbls>
          <c:showLegendKey val="0"/>
          <c:showVal val="0"/>
          <c:showCatName val="0"/>
          <c:showSerName val="0"/>
          <c:showPercent val="0"/>
          <c:showBubbleSize val="0"/>
        </c:dLbls>
        <c:gapWidth val="219"/>
        <c:overlap val="-27"/>
        <c:axId val="1044314767"/>
        <c:axId val="1323428815"/>
      </c:barChart>
      <c:catAx>
        <c:axId val="104431476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23428815"/>
        <c:crosses val="autoZero"/>
        <c:auto val="1"/>
        <c:lblAlgn val="ctr"/>
        <c:lblOffset val="100"/>
        <c:noMultiLvlLbl val="0"/>
      </c:catAx>
      <c:valAx>
        <c:axId val="13234288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Change in population over last 5 years (%)</a:t>
                </a:r>
              </a:p>
            </c:rich>
          </c:tx>
          <c:layout>
            <c:manualLayout>
              <c:xMode val="edge"/>
              <c:yMode val="edge"/>
              <c:x val="1.1095700416088766E-2"/>
              <c:y val="7.861271676300578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44314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24694504802659"/>
          <c:y val="5.8918213112808135E-2"/>
          <c:w val="0.46431667446344332"/>
          <c:h val="0.81198617452234223"/>
        </c:manualLayout>
      </c:layout>
      <c:barChart>
        <c:barDir val="bar"/>
        <c:grouping val="clustered"/>
        <c:varyColors val="0"/>
        <c:ser>
          <c:idx val="0"/>
          <c:order val="0"/>
          <c:tx>
            <c:strRef>
              <c:f>Industry!$C$95</c:f>
              <c:strCache>
                <c:ptCount val="1"/>
                <c:pt idx="0">
                  <c:v>Non-metropolitan NSW</c:v>
                </c:pt>
              </c:strCache>
            </c:strRef>
          </c:tx>
          <c:spPr>
            <a:solidFill>
              <a:schemeClr val="accent1"/>
            </a:solidFill>
            <a:ln>
              <a:noFill/>
            </a:ln>
            <a:effectLst/>
          </c:spPr>
          <c:invertIfNegative val="0"/>
          <c:cat>
            <c:strRef>
              <c:f>Industry!$B$96:$B$114</c:f>
              <c:strCache>
                <c:ptCount val="19"/>
                <c:pt idx="0">
                  <c:v>Information Media and Telecommunications</c:v>
                </c:pt>
                <c:pt idx="1">
                  <c:v>Financial and Insurance Services</c:v>
                </c:pt>
                <c:pt idx="2">
                  <c:v>Mining</c:v>
                </c:pt>
                <c:pt idx="3">
                  <c:v>Rental, Hiring and Real Estate Services</c:v>
                </c:pt>
                <c:pt idx="4">
                  <c:v>Arts and Recreation Services</c:v>
                </c:pt>
                <c:pt idx="5">
                  <c:v>Electricity, Gas, Water and Waste Services</c:v>
                </c:pt>
                <c:pt idx="6">
                  <c:v>Transport, Postal and Warehousing</c:v>
                </c:pt>
                <c:pt idx="7">
                  <c:v>Administrative and Support Services</c:v>
                </c:pt>
                <c:pt idx="8">
                  <c:v>Other Services</c:v>
                </c:pt>
                <c:pt idx="9">
                  <c:v>Wholesale Trade</c:v>
                </c:pt>
                <c:pt idx="10">
                  <c:v>Professional, Scientific and Technical Services</c:v>
                </c:pt>
                <c:pt idx="11">
                  <c:v>Manufacturing</c:v>
                </c:pt>
                <c:pt idx="12">
                  <c:v>Agriculture, Forestry and Fishing</c:v>
                </c:pt>
                <c:pt idx="13">
                  <c:v>Education and Training</c:v>
                </c:pt>
                <c:pt idx="14">
                  <c:v>Public Administration and Safety</c:v>
                </c:pt>
                <c:pt idx="15">
                  <c:v>Accommodation and Food Services</c:v>
                </c:pt>
                <c:pt idx="16">
                  <c:v>Construction</c:v>
                </c:pt>
                <c:pt idx="17">
                  <c:v>Retail Trade</c:v>
                </c:pt>
                <c:pt idx="18">
                  <c:v>Health Care and Social Assistance</c:v>
                </c:pt>
              </c:strCache>
            </c:strRef>
          </c:cat>
          <c:val>
            <c:numRef>
              <c:f>Industry!$C$96:$C$114</c:f>
              <c:numCache>
                <c:formatCode>0.0</c:formatCode>
                <c:ptCount val="19"/>
                <c:pt idx="0">
                  <c:v>0.64890597592955257</c:v>
                </c:pt>
                <c:pt idx="1">
                  <c:v>1.9550447190690632</c:v>
                </c:pt>
                <c:pt idx="2">
                  <c:v>2.4370226805950463</c:v>
                </c:pt>
                <c:pt idx="3">
                  <c:v>1.5197593359079222</c:v>
                </c:pt>
                <c:pt idx="4">
                  <c:v>1.6049310794366101</c:v>
                </c:pt>
                <c:pt idx="5">
                  <c:v>1.1648086644242681</c:v>
                </c:pt>
                <c:pt idx="6">
                  <c:v>4.3197155336924542</c:v>
                </c:pt>
                <c:pt idx="7">
                  <c:v>2.862442688699641</c:v>
                </c:pt>
                <c:pt idx="8">
                  <c:v>3.8513670549949928</c:v>
                </c:pt>
                <c:pt idx="9">
                  <c:v>2.7644137770503221</c:v>
                </c:pt>
                <c:pt idx="10">
                  <c:v>5.9914531869559218</c:v>
                </c:pt>
                <c:pt idx="11">
                  <c:v>5.9929731767021055</c:v>
                </c:pt>
                <c:pt idx="12">
                  <c:v>4.5326280912598191</c:v>
                </c:pt>
                <c:pt idx="13">
                  <c:v>8.6578258274072954</c:v>
                </c:pt>
                <c:pt idx="14">
                  <c:v>7.5414892821987669</c:v>
                </c:pt>
                <c:pt idx="15">
                  <c:v>7.1570367508431678</c:v>
                </c:pt>
                <c:pt idx="16">
                  <c:v>9.3901250455959282</c:v>
                </c:pt>
                <c:pt idx="17">
                  <c:v>10.464612303248934</c:v>
                </c:pt>
                <c:pt idx="18">
                  <c:v>17.143444825988194</c:v>
                </c:pt>
              </c:numCache>
            </c:numRef>
          </c:val>
          <c:extLst>
            <c:ext xmlns:c16="http://schemas.microsoft.com/office/drawing/2014/chart" uri="{C3380CC4-5D6E-409C-BE32-E72D297353CC}">
              <c16:uniqueId val="{00000000-962E-48EF-A77C-0B8CBF2C664A}"/>
            </c:ext>
          </c:extLst>
        </c:ser>
        <c:ser>
          <c:idx val="1"/>
          <c:order val="1"/>
          <c:tx>
            <c:strRef>
              <c:f>Industry!$D$95</c:f>
              <c:strCache>
                <c:ptCount val="1"/>
                <c:pt idx="0">
                  <c:v>Mid North Coast ER</c:v>
                </c:pt>
              </c:strCache>
            </c:strRef>
          </c:tx>
          <c:spPr>
            <a:solidFill>
              <a:schemeClr val="accent2"/>
            </a:solidFill>
            <a:ln>
              <a:noFill/>
            </a:ln>
            <a:effectLst/>
          </c:spPr>
          <c:invertIfNegative val="0"/>
          <c:cat>
            <c:strRef>
              <c:f>Industry!$B$96:$B$114</c:f>
              <c:strCache>
                <c:ptCount val="19"/>
                <c:pt idx="0">
                  <c:v>Information Media and Telecommunications</c:v>
                </c:pt>
                <c:pt idx="1">
                  <c:v>Financial and Insurance Services</c:v>
                </c:pt>
                <c:pt idx="2">
                  <c:v>Mining</c:v>
                </c:pt>
                <c:pt idx="3">
                  <c:v>Rental, Hiring and Real Estate Services</c:v>
                </c:pt>
                <c:pt idx="4">
                  <c:v>Arts and Recreation Services</c:v>
                </c:pt>
                <c:pt idx="5">
                  <c:v>Electricity, Gas, Water and Waste Services</c:v>
                </c:pt>
                <c:pt idx="6">
                  <c:v>Transport, Postal and Warehousing</c:v>
                </c:pt>
                <c:pt idx="7">
                  <c:v>Administrative and Support Services</c:v>
                </c:pt>
                <c:pt idx="8">
                  <c:v>Other Services</c:v>
                </c:pt>
                <c:pt idx="9">
                  <c:v>Wholesale Trade</c:v>
                </c:pt>
                <c:pt idx="10">
                  <c:v>Professional, Scientific and Technical Services</c:v>
                </c:pt>
                <c:pt idx="11">
                  <c:v>Manufacturing</c:v>
                </c:pt>
                <c:pt idx="12">
                  <c:v>Agriculture, Forestry and Fishing</c:v>
                </c:pt>
                <c:pt idx="13">
                  <c:v>Education and Training</c:v>
                </c:pt>
                <c:pt idx="14">
                  <c:v>Public Administration and Safety</c:v>
                </c:pt>
                <c:pt idx="15">
                  <c:v>Accommodation and Food Services</c:v>
                </c:pt>
                <c:pt idx="16">
                  <c:v>Construction</c:v>
                </c:pt>
                <c:pt idx="17">
                  <c:v>Retail Trade</c:v>
                </c:pt>
                <c:pt idx="18">
                  <c:v>Health Care and Social Assistance</c:v>
                </c:pt>
              </c:strCache>
            </c:strRef>
          </c:cat>
          <c:val>
            <c:numRef>
              <c:f>Industry!$D$96:$D$114</c:f>
              <c:numCache>
                <c:formatCode>0.0</c:formatCode>
                <c:ptCount val="19"/>
                <c:pt idx="0">
                  <c:v>0.72480440503205923</c:v>
                </c:pt>
                <c:pt idx="1">
                  <c:v>0.80328591127889148</c:v>
                </c:pt>
                <c:pt idx="2">
                  <c:v>0.85938324239660679</c:v>
                </c:pt>
                <c:pt idx="3">
                  <c:v>0.89458185909996946</c:v>
                </c:pt>
                <c:pt idx="4">
                  <c:v>1.6562039279423297</c:v>
                </c:pt>
                <c:pt idx="5">
                  <c:v>1.6955740152801397</c:v>
                </c:pt>
                <c:pt idx="6">
                  <c:v>2.3671632483626839</c:v>
                </c:pt>
                <c:pt idx="7">
                  <c:v>2.7043570092175373</c:v>
                </c:pt>
                <c:pt idx="8">
                  <c:v>2.7313521049197833</c:v>
                </c:pt>
                <c:pt idx="9">
                  <c:v>3.109419358454204</c:v>
                </c:pt>
                <c:pt idx="10">
                  <c:v>4.3837622853948499</c:v>
                </c:pt>
                <c:pt idx="11">
                  <c:v>5.730093602556166</c:v>
                </c:pt>
                <c:pt idx="12">
                  <c:v>6.006316512444724</c:v>
                </c:pt>
                <c:pt idx="13">
                  <c:v>6.9760766875090097</c:v>
                </c:pt>
                <c:pt idx="14">
                  <c:v>7.5064900306235058</c:v>
                </c:pt>
                <c:pt idx="15">
                  <c:v>7.7565319543510602</c:v>
                </c:pt>
                <c:pt idx="16">
                  <c:v>10.65273765993456</c:v>
                </c:pt>
                <c:pt idx="17">
                  <c:v>11.778590127519873</c:v>
                </c:pt>
                <c:pt idx="18">
                  <c:v>21.663276057682058</c:v>
                </c:pt>
              </c:numCache>
            </c:numRef>
          </c:val>
          <c:extLst>
            <c:ext xmlns:c16="http://schemas.microsoft.com/office/drawing/2014/chart" uri="{C3380CC4-5D6E-409C-BE32-E72D297353CC}">
              <c16:uniqueId val="{00000001-962E-48EF-A77C-0B8CBF2C664A}"/>
            </c:ext>
          </c:extLst>
        </c:ser>
        <c:dLbls>
          <c:showLegendKey val="0"/>
          <c:showVal val="0"/>
          <c:showCatName val="0"/>
          <c:showSerName val="0"/>
          <c:showPercent val="0"/>
          <c:showBubbleSize val="0"/>
        </c:dLbls>
        <c:gapWidth val="182"/>
        <c:axId val="1264846431"/>
        <c:axId val="1264844991"/>
      </c:barChart>
      <c:catAx>
        <c:axId val="12648464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4844991"/>
        <c:crosses val="autoZero"/>
        <c:auto val="1"/>
        <c:lblAlgn val="ctr"/>
        <c:lblOffset val="100"/>
        <c:noMultiLvlLbl val="0"/>
      </c:catAx>
      <c:valAx>
        <c:axId val="126484499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Share of employment (%)</a:t>
                </a:r>
              </a:p>
            </c:rich>
          </c:tx>
          <c:layout>
            <c:manualLayout>
              <c:xMode val="edge"/>
              <c:yMode val="edge"/>
              <c:x val="0.55997729688823217"/>
              <c:y val="0.918552609532510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64846431"/>
        <c:crosses val="autoZero"/>
        <c:crossBetween val="between"/>
      </c:valAx>
      <c:spPr>
        <a:noFill/>
        <a:ln>
          <a:noFill/>
        </a:ln>
        <a:effectLst/>
      </c:spPr>
    </c:plotArea>
    <c:legend>
      <c:legendPos val="b"/>
      <c:layout>
        <c:manualLayout>
          <c:xMode val="edge"/>
          <c:yMode val="edge"/>
          <c:x val="0.58311698537682799"/>
          <c:y val="0.52989356229968732"/>
          <c:w val="0.24320528297807167"/>
          <c:h val="0.1937799232382384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'Rank (2)'!$Y$5</c:f>
              <c:strCache>
                <c:ptCount val="1"/>
                <c:pt idx="0">
                  <c:v>Capital City</c:v>
                </c:pt>
              </c:strCache>
            </c:strRef>
          </c:tx>
          <c:spPr>
            <a:ln w="19050" cap="rnd">
              <a:noFill/>
              <a:round/>
            </a:ln>
            <a:effectLst/>
          </c:spPr>
          <c:marker>
            <c:symbol val="circle"/>
            <c:size val="5"/>
            <c:spPr>
              <a:solidFill>
                <a:srgbClr val="6929C4"/>
              </a:solidFill>
              <a:ln w="9525">
                <a:solidFill>
                  <a:srgbClr val="6929C4"/>
                </a:solidFill>
              </a:ln>
              <a:effectLst/>
            </c:spPr>
          </c:marker>
          <c:dLbls>
            <c:dLbl>
              <c:idx val="4"/>
              <c:layout>
                <c:manualLayout>
                  <c:x val="-7.9380836826237228E-2"/>
                  <c:y val="-0.11274341351660939"/>
                </c:manualLayout>
              </c:layout>
              <c:tx>
                <c:rich>
                  <a:bodyPr/>
                  <a:lstStyle/>
                  <a:p>
                    <a:r>
                      <a:rPr lang="en-US"/>
                      <a:t>Hobart</a:t>
                    </a:r>
                    <a:r>
                      <a:rPr lang="en-US" baseline="0"/>
                      <a:t> (Tas.)</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845-41DD-8E21-164E8D334F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'Rank (2)'!$V$6:$V$56</c:f>
              <c:numCache>
                <c:formatCode>General</c:formatCode>
                <c:ptCount val="5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numCache>
            </c:numRef>
          </c:xVal>
          <c:yVal>
            <c:numRef>
              <c:f>'Rank (2)'!$Y$6:$Y$56</c:f>
              <c:numCache>
                <c:formatCode>0%</c:formatCode>
                <c:ptCount val="51"/>
                <c:pt idx="1">
                  <c:v>0.70284489999999999</c:v>
                </c:pt>
                <c:pt idx="3">
                  <c:v>0.73079680000000002</c:v>
                </c:pt>
                <c:pt idx="4">
                  <c:v>0.75353179999999997</c:v>
                </c:pt>
                <c:pt idx="5">
                  <c:v>0.75406070000000003</c:v>
                </c:pt>
                <c:pt idx="6">
                  <c:v>0.77762790000000004</c:v>
                </c:pt>
                <c:pt idx="7">
                  <c:v>0.78289679999999995</c:v>
                </c:pt>
                <c:pt idx="8">
                  <c:v>0.78409169999999995</c:v>
                </c:pt>
                <c:pt idx="10">
                  <c:v>0.79513420000000001</c:v>
                </c:pt>
                <c:pt idx="12">
                  <c:v>0.81252650000000004</c:v>
                </c:pt>
                <c:pt idx="14">
                  <c:v>0.81349079999999996</c:v>
                </c:pt>
                <c:pt idx="15">
                  <c:v>0.81371329999999997</c:v>
                </c:pt>
                <c:pt idx="16">
                  <c:v>0.81418950000000001</c:v>
                </c:pt>
                <c:pt idx="19">
                  <c:v>0.81934110000000004</c:v>
                </c:pt>
                <c:pt idx="20">
                  <c:v>0.81945250000000003</c:v>
                </c:pt>
                <c:pt idx="21">
                  <c:v>0.82175819999999999</c:v>
                </c:pt>
                <c:pt idx="22">
                  <c:v>0.82179329999999995</c:v>
                </c:pt>
                <c:pt idx="24">
                  <c:v>0.82695640000000004</c:v>
                </c:pt>
                <c:pt idx="25">
                  <c:v>0.82816380000000001</c:v>
                </c:pt>
                <c:pt idx="27">
                  <c:v>0.83167279999999999</c:v>
                </c:pt>
                <c:pt idx="29">
                  <c:v>0.83377840000000003</c:v>
                </c:pt>
                <c:pt idx="31">
                  <c:v>0.83836200000000005</c:v>
                </c:pt>
                <c:pt idx="33">
                  <c:v>0.84017759999999997</c:v>
                </c:pt>
                <c:pt idx="34">
                  <c:v>0.84275540000000004</c:v>
                </c:pt>
                <c:pt idx="35">
                  <c:v>0.84392929999999999</c:v>
                </c:pt>
                <c:pt idx="36">
                  <c:v>0.84444509999999995</c:v>
                </c:pt>
                <c:pt idx="38">
                  <c:v>0.84933519999999996</c:v>
                </c:pt>
                <c:pt idx="39">
                  <c:v>0.85097780000000001</c:v>
                </c:pt>
                <c:pt idx="42">
                  <c:v>0.85479640000000001</c:v>
                </c:pt>
                <c:pt idx="43">
                  <c:v>0.85528340000000003</c:v>
                </c:pt>
                <c:pt idx="44">
                  <c:v>0.85553619999999997</c:v>
                </c:pt>
                <c:pt idx="47">
                  <c:v>0.87248829999999999</c:v>
                </c:pt>
                <c:pt idx="48">
                  <c:v>0.88783599999999996</c:v>
                </c:pt>
                <c:pt idx="49">
                  <c:v>0.90293509999999999</c:v>
                </c:pt>
              </c:numCache>
            </c:numRef>
          </c:yVal>
          <c:smooth val="0"/>
          <c:extLst>
            <c:ext xmlns:c16="http://schemas.microsoft.com/office/drawing/2014/chart" uri="{C3380CC4-5D6E-409C-BE32-E72D297353CC}">
              <c16:uniqueId val="{00000001-1845-41DD-8E21-164E8D334F91}"/>
            </c:ext>
          </c:extLst>
        </c:ser>
        <c:ser>
          <c:idx val="0"/>
          <c:order val="1"/>
          <c:tx>
            <c:strRef>
              <c:f>'Rank (2)'!$X$5</c:f>
              <c:strCache>
                <c:ptCount val="1"/>
                <c:pt idx="0">
                  <c:v>Rest of State</c:v>
                </c:pt>
              </c:strCache>
            </c:strRef>
          </c:tx>
          <c:spPr>
            <a:ln w="19050" cap="rnd">
              <a:noFill/>
              <a:round/>
            </a:ln>
            <a:effectLst/>
          </c:spPr>
          <c:marker>
            <c:symbol val="circle"/>
            <c:size val="5"/>
            <c:spPr>
              <a:solidFill>
                <a:srgbClr val="009D9A"/>
              </a:solidFill>
              <a:ln w="9525">
                <a:solidFill>
                  <a:srgbClr val="009D9A"/>
                </a:solidFill>
              </a:ln>
              <a:effectLst/>
            </c:spPr>
          </c:marker>
          <c:dLbls>
            <c:dLbl>
              <c:idx val="0"/>
              <c:layout>
                <c:manualLayout>
                  <c:x val="4.6694609897786387E-3"/>
                  <c:y val="0.13271907216494847"/>
                </c:manualLayout>
              </c:layout>
              <c:tx>
                <c:rich>
                  <a:bodyPr/>
                  <a:lstStyle/>
                  <a:p>
                    <a:r>
                      <a:rPr lang="en-US"/>
                      <a:t>West &amp; North West Tasmania (Tas.)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845-41DD-8E21-164E8D334F91}"/>
                </c:ext>
              </c:extLst>
            </c:dLbl>
            <c:dLbl>
              <c:idx val="2"/>
              <c:layout>
                <c:manualLayout>
                  <c:x val="7.0041914846679905E-3"/>
                  <c:y val="6.3618270332187851E-2"/>
                </c:manualLayout>
              </c:layout>
              <c:tx>
                <c:rich>
                  <a:bodyPr/>
                  <a:lstStyle/>
                  <a:p>
                    <a:r>
                      <a:rPr lang="en-US"/>
                      <a:t>Launceston &amp; North East (Tas.)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845-41DD-8E21-164E8D334F91}"/>
                </c:ext>
              </c:extLst>
            </c:dLbl>
            <c:dLbl>
              <c:idx val="45"/>
              <c:layout>
                <c:manualLayout>
                  <c:x val="-9.1054489300683869E-2"/>
                  <c:y val="-9.8195876288659806E-2"/>
                </c:manualLayout>
              </c:layout>
              <c:tx>
                <c:rich>
                  <a:bodyPr/>
                  <a:lstStyle/>
                  <a:p>
                    <a:r>
                      <a:rPr lang="en-US"/>
                      <a:t>Newcastle</a:t>
                    </a:r>
                    <a:r>
                      <a:rPr lang="en-US" baseline="0"/>
                      <a:t> &amp; Hunter (NSW)</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845-41DD-8E21-164E8D334F91}"/>
                </c:ext>
              </c:extLst>
            </c:dLbl>
            <c:dLbl>
              <c:idx val="46"/>
              <c:layout>
                <c:manualLayout>
                  <c:x val="-2.3347396867416721E-2"/>
                  <c:y val="9.4558991981672391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r>
                      <a:rPr lang="en-US"/>
                      <a:t>Sunshine</a:t>
                    </a:r>
                    <a:r>
                      <a:rPr lang="en-US" baseline="0"/>
                      <a:t> Coast (Qld.)</a:t>
                    </a:r>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578792558276342"/>
                      <c:h val="0.10177835051546391"/>
                    </c:manualLayout>
                  </c15:layout>
                  <c15:showDataLabelsRange val="0"/>
                </c:ext>
                <c:ext xmlns:c16="http://schemas.microsoft.com/office/drawing/2014/chart" uri="{C3380CC4-5D6E-409C-BE32-E72D297353CC}">
                  <c16:uniqueId val="{00000005-1845-41DD-8E21-164E8D334F91}"/>
                </c:ext>
              </c:extLst>
            </c:dLbl>
            <c:dLbl>
              <c:idx val="50"/>
              <c:layout>
                <c:manualLayout>
                  <c:x val="0"/>
                  <c:y val="-0.14911225658648339"/>
                </c:manualLayout>
              </c:layout>
              <c:tx>
                <c:rich>
                  <a:bodyPr/>
                  <a:lstStyle/>
                  <a:p>
                    <a:r>
                      <a:rPr lang="en-US"/>
                      <a:t>Gold</a:t>
                    </a:r>
                    <a:r>
                      <a:rPr lang="en-US" baseline="0"/>
                      <a:t> Coast (Qld.)</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845-41DD-8E21-164E8D334F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'Rank (2)'!$V$6:$V$56</c:f>
              <c:numCache>
                <c:formatCode>General</c:formatCode>
                <c:ptCount val="5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numCache>
            </c:numRef>
          </c:xVal>
          <c:yVal>
            <c:numRef>
              <c:f>'Rank (2)'!$X$6:$X$56</c:f>
              <c:numCache>
                <c:formatCode>General</c:formatCode>
                <c:ptCount val="51"/>
                <c:pt idx="0" formatCode="0%">
                  <c:v>0.70227119999999998</c:v>
                </c:pt>
                <c:pt idx="2" formatCode="0%">
                  <c:v>0.72571289999999999</c:v>
                </c:pt>
                <c:pt idx="9" formatCode="0%">
                  <c:v>0.79345189999999999</c:v>
                </c:pt>
                <c:pt idx="11" formatCode="0%">
                  <c:v>0.79949119999999996</c:v>
                </c:pt>
                <c:pt idx="13" formatCode="0%">
                  <c:v>0.8131062</c:v>
                </c:pt>
                <c:pt idx="17" formatCode="0%">
                  <c:v>0.81633809999999996</c:v>
                </c:pt>
                <c:pt idx="18" formatCode="0%">
                  <c:v>0.8184283</c:v>
                </c:pt>
                <c:pt idx="23" formatCode="0%">
                  <c:v>0.82553679999999996</c:v>
                </c:pt>
                <c:pt idx="26" formatCode="0%">
                  <c:v>0.83015229999999995</c:v>
                </c:pt>
                <c:pt idx="28" formatCode="0%">
                  <c:v>0.83232390000000001</c:v>
                </c:pt>
                <c:pt idx="30" formatCode="0%">
                  <c:v>0.83516539999999995</c:v>
                </c:pt>
                <c:pt idx="32" formatCode="0%">
                  <c:v>0.83849750000000001</c:v>
                </c:pt>
                <c:pt idx="37" formatCode="0%">
                  <c:v>0.84538429999999998</c:v>
                </c:pt>
                <c:pt idx="40" formatCode="0%">
                  <c:v>0.85150150000000002</c:v>
                </c:pt>
                <c:pt idx="41" formatCode="0%">
                  <c:v>0.85398790000000002</c:v>
                </c:pt>
                <c:pt idx="45" formatCode="0%">
                  <c:v>0.86010030000000004</c:v>
                </c:pt>
                <c:pt idx="46" formatCode="0%">
                  <c:v>0.86096510000000004</c:v>
                </c:pt>
                <c:pt idx="50" formatCode="0%">
                  <c:v>0.90576299999999998</c:v>
                </c:pt>
              </c:numCache>
            </c:numRef>
          </c:yVal>
          <c:smooth val="0"/>
          <c:extLst>
            <c:ext xmlns:c16="http://schemas.microsoft.com/office/drawing/2014/chart" uri="{C3380CC4-5D6E-409C-BE32-E72D297353CC}">
              <c16:uniqueId val="{00000007-1845-41DD-8E21-164E8D334F91}"/>
            </c:ext>
          </c:extLst>
        </c:ser>
        <c:dLbls>
          <c:showLegendKey val="0"/>
          <c:showVal val="0"/>
          <c:showCatName val="0"/>
          <c:showSerName val="0"/>
          <c:showPercent val="0"/>
          <c:showBubbleSize val="0"/>
        </c:dLbls>
        <c:axId val="1721409824"/>
        <c:axId val="1721412704"/>
      </c:scatterChart>
      <c:valAx>
        <c:axId val="1721409824"/>
        <c:scaling>
          <c:orientation val="minMax"/>
          <c:max val="51"/>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Region rank (lowest to highest)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721412704"/>
        <c:crosses val="autoZero"/>
        <c:crossBetween val="midCat"/>
      </c:valAx>
      <c:valAx>
        <c:axId val="1721412704"/>
        <c:scaling>
          <c:orientation val="minMax"/>
          <c:max val="1"/>
          <c:min val="0.60000000000000009"/>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Labour</a:t>
                </a:r>
                <a:r>
                  <a:rPr lang="en-AU" baseline="0"/>
                  <a:t> market efficiency (low to high)</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214098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median!$L$3</c:f>
              <c:strCache>
                <c:ptCount val="1"/>
                <c:pt idx="0">
                  <c:v>Capital City</c:v>
                </c:pt>
              </c:strCache>
            </c:strRef>
          </c:tx>
          <c:spPr>
            <a:ln w="38100" cap="rnd">
              <a:noFill/>
              <a:round/>
            </a:ln>
            <a:effectLst/>
          </c:spPr>
          <c:marker>
            <c:symbol val="circle"/>
            <c:size val="8"/>
            <c:spPr>
              <a:solidFill>
                <a:srgbClr val="6929C4"/>
              </a:solidFill>
              <a:ln w="9525">
                <a:solidFill>
                  <a:schemeClr val="tx1"/>
                </a:solidFill>
              </a:ln>
              <a:effectLst/>
            </c:spPr>
          </c:marker>
          <c:xVal>
            <c:numRef>
              <c:f>median!$K$4:$K$92</c:f>
              <c:numCache>
                <c:formatCode>0</c:formatCode>
                <c:ptCount val="89"/>
                <c:pt idx="0">
                  <c:v>1269.25</c:v>
                </c:pt>
                <c:pt idx="1">
                  <c:v>1244.53010033444</c:v>
                </c:pt>
                <c:pt idx="2">
                  <c:v>1230.9615384615299</c:v>
                </c:pt>
                <c:pt idx="3">
                  <c:v>1100.0606060606001</c:v>
                </c:pt>
                <c:pt idx="4">
                  <c:v>1216.3269230769199</c:v>
                </c:pt>
                <c:pt idx="5">
                  <c:v>1263.2019230769199</c:v>
                </c:pt>
                <c:pt idx="6">
                  <c:v>1315.9615384615299</c:v>
                </c:pt>
                <c:pt idx="7">
                  <c:v>1079.08807692307</c:v>
                </c:pt>
                <c:pt idx="8">
                  <c:v>1159.36622073578</c:v>
                </c:pt>
                <c:pt idx="9">
                  <c:v>1169.8365384615299</c:v>
                </c:pt>
                <c:pt idx="10">
                  <c:v>1305.07142857142</c:v>
                </c:pt>
                <c:pt idx="11">
                  <c:v>1107.9478609625601</c:v>
                </c:pt>
                <c:pt idx="12">
                  <c:v>1205.77428307123</c:v>
                </c:pt>
                <c:pt idx="13">
                  <c:v>1159.25</c:v>
                </c:pt>
                <c:pt idx="14">
                  <c:v>1539.1818561872899</c:v>
                </c:pt>
                <c:pt idx="15">
                  <c:v>1359.83206618962</c:v>
                </c:pt>
                <c:pt idx="16">
                  <c:v>1619.28</c:v>
                </c:pt>
                <c:pt idx="17">
                  <c:v>1757.8461538461499</c:v>
                </c:pt>
                <c:pt idx="18">
                  <c:v>1304.39024390243</c:v>
                </c:pt>
                <c:pt idx="19">
                  <c:v>1547.26923076923</c:v>
                </c:pt>
                <c:pt idx="20">
                  <c:v>1758.6266713581899</c:v>
                </c:pt>
                <c:pt idx="21">
                  <c:v>1546.6891025641</c:v>
                </c:pt>
                <c:pt idx="22">
                  <c:v>1322</c:v>
                </c:pt>
                <c:pt idx="23">
                  <c:v>1352.51923076923</c:v>
                </c:pt>
                <c:pt idx="24">
                  <c:v>1334.7980769230701</c:v>
                </c:pt>
                <c:pt idx="25">
                  <c:v>1556.0442307692299</c:v>
                </c:pt>
                <c:pt idx="26">
                  <c:v>1266.36170212765</c:v>
                </c:pt>
                <c:pt idx="27">
                  <c:v>1528.3461538461499</c:v>
                </c:pt>
                <c:pt idx="28">
                  <c:v>1182.5909090908999</c:v>
                </c:pt>
                <c:pt idx="29">
                  <c:v>1177.04487179487</c:v>
                </c:pt>
                <c:pt idx="30">
                  <c:v>1256.25498188405</c:v>
                </c:pt>
                <c:pt idx="31">
                  <c:v>1171.83974358974</c:v>
                </c:pt>
                <c:pt idx="32">
                  <c:v>1138.5</c:v>
                </c:pt>
                <c:pt idx="33">
                  <c:v>1538.44827586206</c:v>
                </c:pt>
                <c:pt idx="34">
                  <c:v>1405.4230769230701</c:v>
                </c:pt>
                <c:pt idx="35">
                  <c:v>1491.10526315789</c:v>
                </c:pt>
                <c:pt idx="36">
                  <c:v>1343.0822072072001</c:v>
                </c:pt>
                <c:pt idx="37">
                  <c:v>1310.1923076922999</c:v>
                </c:pt>
                <c:pt idx="38">
                  <c:v>1315.29128959276</c:v>
                </c:pt>
                <c:pt idx="39">
                  <c:v>1250</c:v>
                </c:pt>
                <c:pt idx="40">
                  <c:v>1316.2553191489301</c:v>
                </c:pt>
                <c:pt idx="41">
                  <c:v>1257.0833333333301</c:v>
                </c:pt>
                <c:pt idx="42">
                  <c:v>1109.85374493927</c:v>
                </c:pt>
                <c:pt idx="43">
                  <c:v>1137.62916666666</c:v>
                </c:pt>
                <c:pt idx="44">
                  <c:v>1116</c:v>
                </c:pt>
                <c:pt idx="45">
                  <c:v>1365.2</c:v>
                </c:pt>
                <c:pt idx="46">
                  <c:v>1411.5294117646999</c:v>
                </c:pt>
                <c:pt idx="47">
                  <c:v>1352.93881118881</c:v>
                </c:pt>
                <c:pt idx="48">
                  <c:v>1510.8461538461499</c:v>
                </c:pt>
                <c:pt idx="49">
                  <c:v>1506.9569597069501</c:v>
                </c:pt>
                <c:pt idx="50">
                  <c:v>1189.92</c:v>
                </c:pt>
                <c:pt idx="51">
                  <c:v>1159.4195189639199</c:v>
                </c:pt>
                <c:pt idx="52">
                  <c:v>1393.0961538461499</c:v>
                </c:pt>
                <c:pt idx="53">
                  <c:v>1235.2805944055899</c:v>
                </c:pt>
                <c:pt idx="54">
                  <c:v>1251.8800000000001</c:v>
                </c:pt>
                <c:pt idx="55">
                  <c:v>1225.13333333333</c:v>
                </c:pt>
                <c:pt idx="56">
                  <c:v>1446.7115384615299</c:v>
                </c:pt>
                <c:pt idx="57">
                  <c:v>1214.3461538461499</c:v>
                </c:pt>
                <c:pt idx="58">
                  <c:v>1346.1363636363601</c:v>
                </c:pt>
                <c:pt idx="59">
                  <c:v>1342.6634615384601</c:v>
                </c:pt>
                <c:pt idx="60">
                  <c:v>1193.5080645161199</c:v>
                </c:pt>
                <c:pt idx="61">
                  <c:v>1222.2127659574401</c:v>
                </c:pt>
                <c:pt idx="62">
                  <c:v>1314.3269230769199</c:v>
                </c:pt>
                <c:pt idx="63">
                  <c:v>1112.1923076922999</c:v>
                </c:pt>
                <c:pt idx="64">
                  <c:v>1302.8090172239099</c:v>
                </c:pt>
                <c:pt idx="65">
                  <c:v>1184.4761904761899</c:v>
                </c:pt>
                <c:pt idx="66">
                  <c:v>1235.9021739130401</c:v>
                </c:pt>
                <c:pt idx="67">
                  <c:v>1250.86538461538</c:v>
                </c:pt>
                <c:pt idx="68">
                  <c:v>1128.4096989966499</c:v>
                </c:pt>
                <c:pt idx="69">
                  <c:v>1214.1612068965501</c:v>
                </c:pt>
                <c:pt idx="70">
                  <c:v>1079.5566239316199</c:v>
                </c:pt>
                <c:pt idx="71">
                  <c:v>1262.2</c:v>
                </c:pt>
                <c:pt idx="72">
                  <c:v>1382.2264957264899</c:v>
                </c:pt>
                <c:pt idx="73">
                  <c:v>1566.86486486486</c:v>
                </c:pt>
                <c:pt idx="74">
                  <c:v>1387.1923076922999</c:v>
                </c:pt>
                <c:pt idx="75">
                  <c:v>1408.38461538461</c:v>
                </c:pt>
                <c:pt idx="76">
                  <c:v>1378.6095238095199</c:v>
                </c:pt>
                <c:pt idx="77">
                  <c:v>1444.6666666666599</c:v>
                </c:pt>
                <c:pt idx="78">
                  <c:v>1226.27289377289</c:v>
                </c:pt>
                <c:pt idx="81">
                  <c:v>1210.5</c:v>
                </c:pt>
                <c:pt idx="82">
                  <c:v>1128.63461538461</c:v>
                </c:pt>
                <c:pt idx="83">
                  <c:v>1116.95454545454</c:v>
                </c:pt>
                <c:pt idx="84">
                  <c:v>1142.0576923076901</c:v>
                </c:pt>
                <c:pt idx="85">
                  <c:v>1509.52884615384</c:v>
                </c:pt>
                <c:pt idx="86">
                  <c:v>1308.7980769230701</c:v>
                </c:pt>
                <c:pt idx="87">
                  <c:v>1638.23783359497</c:v>
                </c:pt>
              </c:numCache>
            </c:numRef>
          </c:xVal>
          <c:yVal>
            <c:numRef>
              <c:f>median!$L$4:$L$92</c:f>
              <c:numCache>
                <c:formatCode>General</c:formatCode>
                <c:ptCount val="89"/>
                <c:pt idx="1">
                  <c:v>8.51</c:v>
                </c:pt>
                <c:pt idx="14">
                  <c:v>5.77</c:v>
                </c:pt>
                <c:pt idx="15">
                  <c:v>7.69</c:v>
                </c:pt>
                <c:pt idx="16">
                  <c:v>5.77</c:v>
                </c:pt>
                <c:pt idx="17">
                  <c:v>5.77</c:v>
                </c:pt>
                <c:pt idx="18">
                  <c:v>6.9</c:v>
                </c:pt>
                <c:pt idx="19">
                  <c:v>5.77</c:v>
                </c:pt>
                <c:pt idx="20">
                  <c:v>5.77</c:v>
                </c:pt>
                <c:pt idx="21">
                  <c:v>6.12</c:v>
                </c:pt>
                <c:pt idx="22">
                  <c:v>7.69</c:v>
                </c:pt>
                <c:pt idx="23">
                  <c:v>7.69</c:v>
                </c:pt>
                <c:pt idx="24">
                  <c:v>6.67</c:v>
                </c:pt>
                <c:pt idx="25">
                  <c:v>5.77</c:v>
                </c:pt>
                <c:pt idx="26">
                  <c:v>7.69</c:v>
                </c:pt>
                <c:pt idx="27">
                  <c:v>6.25</c:v>
                </c:pt>
                <c:pt idx="33">
                  <c:v>5.77</c:v>
                </c:pt>
                <c:pt idx="34">
                  <c:v>5.77</c:v>
                </c:pt>
                <c:pt idx="35">
                  <c:v>5.77</c:v>
                </c:pt>
                <c:pt idx="36">
                  <c:v>7.41</c:v>
                </c:pt>
                <c:pt idx="37">
                  <c:v>7.69</c:v>
                </c:pt>
                <c:pt idx="38">
                  <c:v>6.67</c:v>
                </c:pt>
                <c:pt idx="39">
                  <c:v>7.69</c:v>
                </c:pt>
                <c:pt idx="40">
                  <c:v>7.69</c:v>
                </c:pt>
                <c:pt idx="41">
                  <c:v>7.69</c:v>
                </c:pt>
                <c:pt idx="45">
                  <c:v>7.69</c:v>
                </c:pt>
                <c:pt idx="46">
                  <c:v>7.69</c:v>
                </c:pt>
                <c:pt idx="47">
                  <c:v>7.5</c:v>
                </c:pt>
                <c:pt idx="48">
                  <c:v>6.25</c:v>
                </c:pt>
                <c:pt idx="49">
                  <c:v>6.82</c:v>
                </c:pt>
                <c:pt idx="54">
                  <c:v>9.09</c:v>
                </c:pt>
                <c:pt idx="55">
                  <c:v>9.6199999999999992</c:v>
                </c:pt>
                <c:pt idx="57">
                  <c:v>9.6199999999999992</c:v>
                </c:pt>
                <c:pt idx="58">
                  <c:v>7.69</c:v>
                </c:pt>
                <c:pt idx="64">
                  <c:v>7.14</c:v>
                </c:pt>
                <c:pt idx="65">
                  <c:v>8.51</c:v>
                </c:pt>
                <c:pt idx="66">
                  <c:v>7.69</c:v>
                </c:pt>
                <c:pt idx="67">
                  <c:v>7.69</c:v>
                </c:pt>
                <c:pt idx="72">
                  <c:v>10.53</c:v>
                </c:pt>
                <c:pt idx="73">
                  <c:v>7.69</c:v>
                </c:pt>
                <c:pt idx="74">
                  <c:v>9.3000000000000007</c:v>
                </c:pt>
                <c:pt idx="75">
                  <c:v>8.89</c:v>
                </c:pt>
                <c:pt idx="76">
                  <c:v>9.52</c:v>
                </c:pt>
                <c:pt idx="77">
                  <c:v>9.6199999999999992</c:v>
                </c:pt>
                <c:pt idx="81">
                  <c:v>7.69</c:v>
                </c:pt>
                <c:pt idx="85">
                  <c:v>9.52</c:v>
                </c:pt>
                <c:pt idx="87">
                  <c:v>5.26</c:v>
                </c:pt>
              </c:numCache>
            </c:numRef>
          </c:yVal>
          <c:smooth val="0"/>
          <c:extLst>
            <c:ext xmlns:c16="http://schemas.microsoft.com/office/drawing/2014/chart" uri="{C3380CC4-5D6E-409C-BE32-E72D297353CC}">
              <c16:uniqueId val="{00000000-87FF-4AF8-85BD-A110148C0DC8}"/>
            </c:ext>
          </c:extLst>
        </c:ser>
        <c:ser>
          <c:idx val="1"/>
          <c:order val="1"/>
          <c:tx>
            <c:strRef>
              <c:f>median!$M$3</c:f>
              <c:strCache>
                <c:ptCount val="1"/>
                <c:pt idx="0">
                  <c:v>Regional City</c:v>
                </c:pt>
              </c:strCache>
            </c:strRef>
          </c:tx>
          <c:spPr>
            <a:ln w="38100" cap="rnd">
              <a:noFill/>
              <a:round/>
            </a:ln>
            <a:effectLst/>
          </c:spPr>
          <c:marker>
            <c:symbol val="circle"/>
            <c:size val="8"/>
            <c:spPr>
              <a:solidFill>
                <a:srgbClr val="009D9A"/>
              </a:solidFill>
              <a:ln w="9525">
                <a:solidFill>
                  <a:schemeClr val="tx1"/>
                </a:solidFill>
              </a:ln>
              <a:effectLst/>
            </c:spPr>
          </c:marker>
          <c:xVal>
            <c:numRef>
              <c:f>median!$K$4:$K$92</c:f>
              <c:numCache>
                <c:formatCode>0</c:formatCode>
                <c:ptCount val="89"/>
                <c:pt idx="0">
                  <c:v>1269.25</c:v>
                </c:pt>
                <c:pt idx="1">
                  <c:v>1244.53010033444</c:v>
                </c:pt>
                <c:pt idx="2">
                  <c:v>1230.9615384615299</c:v>
                </c:pt>
                <c:pt idx="3">
                  <c:v>1100.0606060606001</c:v>
                </c:pt>
                <c:pt idx="4">
                  <c:v>1216.3269230769199</c:v>
                </c:pt>
                <c:pt idx="5">
                  <c:v>1263.2019230769199</c:v>
                </c:pt>
                <c:pt idx="6">
                  <c:v>1315.9615384615299</c:v>
                </c:pt>
                <c:pt idx="7">
                  <c:v>1079.08807692307</c:v>
                </c:pt>
                <c:pt idx="8">
                  <c:v>1159.36622073578</c:v>
                </c:pt>
                <c:pt idx="9">
                  <c:v>1169.8365384615299</c:v>
                </c:pt>
                <c:pt idx="10">
                  <c:v>1305.07142857142</c:v>
                </c:pt>
                <c:pt idx="11">
                  <c:v>1107.9478609625601</c:v>
                </c:pt>
                <c:pt idx="12">
                  <c:v>1205.77428307123</c:v>
                </c:pt>
                <c:pt idx="13">
                  <c:v>1159.25</c:v>
                </c:pt>
                <c:pt idx="14">
                  <c:v>1539.1818561872899</c:v>
                </c:pt>
                <c:pt idx="15">
                  <c:v>1359.83206618962</c:v>
                </c:pt>
                <c:pt idx="16">
                  <c:v>1619.28</c:v>
                </c:pt>
                <c:pt idx="17">
                  <c:v>1757.8461538461499</c:v>
                </c:pt>
                <c:pt idx="18">
                  <c:v>1304.39024390243</c:v>
                </c:pt>
                <c:pt idx="19">
                  <c:v>1547.26923076923</c:v>
                </c:pt>
                <c:pt idx="20">
                  <c:v>1758.6266713581899</c:v>
                </c:pt>
                <c:pt idx="21">
                  <c:v>1546.6891025641</c:v>
                </c:pt>
                <c:pt idx="22">
                  <c:v>1322</c:v>
                </c:pt>
                <c:pt idx="23">
                  <c:v>1352.51923076923</c:v>
                </c:pt>
                <c:pt idx="24">
                  <c:v>1334.7980769230701</c:v>
                </c:pt>
                <c:pt idx="25">
                  <c:v>1556.0442307692299</c:v>
                </c:pt>
                <c:pt idx="26">
                  <c:v>1266.36170212765</c:v>
                </c:pt>
                <c:pt idx="27">
                  <c:v>1528.3461538461499</c:v>
                </c:pt>
                <c:pt idx="28">
                  <c:v>1182.5909090908999</c:v>
                </c:pt>
                <c:pt idx="29">
                  <c:v>1177.04487179487</c:v>
                </c:pt>
                <c:pt idx="30">
                  <c:v>1256.25498188405</c:v>
                </c:pt>
                <c:pt idx="31">
                  <c:v>1171.83974358974</c:v>
                </c:pt>
                <c:pt idx="32">
                  <c:v>1138.5</c:v>
                </c:pt>
                <c:pt idx="33">
                  <c:v>1538.44827586206</c:v>
                </c:pt>
                <c:pt idx="34">
                  <c:v>1405.4230769230701</c:v>
                </c:pt>
                <c:pt idx="35">
                  <c:v>1491.10526315789</c:v>
                </c:pt>
                <c:pt idx="36">
                  <c:v>1343.0822072072001</c:v>
                </c:pt>
                <c:pt idx="37">
                  <c:v>1310.1923076922999</c:v>
                </c:pt>
                <c:pt idx="38">
                  <c:v>1315.29128959276</c:v>
                </c:pt>
                <c:pt idx="39">
                  <c:v>1250</c:v>
                </c:pt>
                <c:pt idx="40">
                  <c:v>1316.2553191489301</c:v>
                </c:pt>
                <c:pt idx="41">
                  <c:v>1257.0833333333301</c:v>
                </c:pt>
                <c:pt idx="42">
                  <c:v>1109.85374493927</c:v>
                </c:pt>
                <c:pt idx="43">
                  <c:v>1137.62916666666</c:v>
                </c:pt>
                <c:pt idx="44">
                  <c:v>1116</c:v>
                </c:pt>
                <c:pt idx="45">
                  <c:v>1365.2</c:v>
                </c:pt>
                <c:pt idx="46">
                  <c:v>1411.5294117646999</c:v>
                </c:pt>
                <c:pt idx="47">
                  <c:v>1352.93881118881</c:v>
                </c:pt>
                <c:pt idx="48">
                  <c:v>1510.8461538461499</c:v>
                </c:pt>
                <c:pt idx="49">
                  <c:v>1506.9569597069501</c:v>
                </c:pt>
                <c:pt idx="50">
                  <c:v>1189.92</c:v>
                </c:pt>
                <c:pt idx="51">
                  <c:v>1159.4195189639199</c:v>
                </c:pt>
                <c:pt idx="52">
                  <c:v>1393.0961538461499</c:v>
                </c:pt>
                <c:pt idx="53">
                  <c:v>1235.2805944055899</c:v>
                </c:pt>
                <c:pt idx="54">
                  <c:v>1251.8800000000001</c:v>
                </c:pt>
                <c:pt idx="55">
                  <c:v>1225.13333333333</c:v>
                </c:pt>
                <c:pt idx="56">
                  <c:v>1446.7115384615299</c:v>
                </c:pt>
                <c:pt idx="57">
                  <c:v>1214.3461538461499</c:v>
                </c:pt>
                <c:pt idx="58">
                  <c:v>1346.1363636363601</c:v>
                </c:pt>
                <c:pt idx="59">
                  <c:v>1342.6634615384601</c:v>
                </c:pt>
                <c:pt idx="60">
                  <c:v>1193.5080645161199</c:v>
                </c:pt>
                <c:pt idx="61">
                  <c:v>1222.2127659574401</c:v>
                </c:pt>
                <c:pt idx="62">
                  <c:v>1314.3269230769199</c:v>
                </c:pt>
                <c:pt idx="63">
                  <c:v>1112.1923076922999</c:v>
                </c:pt>
                <c:pt idx="64">
                  <c:v>1302.8090172239099</c:v>
                </c:pt>
                <c:pt idx="65">
                  <c:v>1184.4761904761899</c:v>
                </c:pt>
                <c:pt idx="66">
                  <c:v>1235.9021739130401</c:v>
                </c:pt>
                <c:pt idx="67">
                  <c:v>1250.86538461538</c:v>
                </c:pt>
                <c:pt idx="68">
                  <c:v>1128.4096989966499</c:v>
                </c:pt>
                <c:pt idx="69">
                  <c:v>1214.1612068965501</c:v>
                </c:pt>
                <c:pt idx="70">
                  <c:v>1079.5566239316199</c:v>
                </c:pt>
                <c:pt idx="71">
                  <c:v>1262.2</c:v>
                </c:pt>
                <c:pt idx="72">
                  <c:v>1382.2264957264899</c:v>
                </c:pt>
                <c:pt idx="73">
                  <c:v>1566.86486486486</c:v>
                </c:pt>
                <c:pt idx="74">
                  <c:v>1387.1923076922999</c:v>
                </c:pt>
                <c:pt idx="75">
                  <c:v>1408.38461538461</c:v>
                </c:pt>
                <c:pt idx="76">
                  <c:v>1378.6095238095199</c:v>
                </c:pt>
                <c:pt idx="77">
                  <c:v>1444.6666666666599</c:v>
                </c:pt>
                <c:pt idx="78">
                  <c:v>1226.27289377289</c:v>
                </c:pt>
                <c:pt idx="81">
                  <c:v>1210.5</c:v>
                </c:pt>
                <c:pt idx="82">
                  <c:v>1128.63461538461</c:v>
                </c:pt>
                <c:pt idx="83">
                  <c:v>1116.95454545454</c:v>
                </c:pt>
                <c:pt idx="84">
                  <c:v>1142.0576923076901</c:v>
                </c:pt>
                <c:pt idx="85">
                  <c:v>1509.52884615384</c:v>
                </c:pt>
                <c:pt idx="86">
                  <c:v>1308.7980769230701</c:v>
                </c:pt>
                <c:pt idx="87">
                  <c:v>1638.23783359497</c:v>
                </c:pt>
              </c:numCache>
            </c:numRef>
          </c:xVal>
          <c:yVal>
            <c:numRef>
              <c:f>median!$M$4:$M$92</c:f>
              <c:numCache>
                <c:formatCode>General</c:formatCode>
                <c:ptCount val="89"/>
                <c:pt idx="5">
                  <c:v>9.09</c:v>
                </c:pt>
                <c:pt idx="6">
                  <c:v>8.57</c:v>
                </c:pt>
                <c:pt idx="10">
                  <c:v>7.69</c:v>
                </c:pt>
                <c:pt idx="30">
                  <c:v>8</c:v>
                </c:pt>
                <c:pt idx="53">
                  <c:v>8.89</c:v>
                </c:pt>
                <c:pt idx="60">
                  <c:v>9.6199999999999992</c:v>
                </c:pt>
              </c:numCache>
            </c:numRef>
          </c:yVal>
          <c:smooth val="0"/>
          <c:extLst>
            <c:ext xmlns:c16="http://schemas.microsoft.com/office/drawing/2014/chart" uri="{C3380CC4-5D6E-409C-BE32-E72D297353CC}">
              <c16:uniqueId val="{00000001-87FF-4AF8-85BD-A110148C0DC8}"/>
            </c:ext>
          </c:extLst>
        </c:ser>
        <c:ser>
          <c:idx val="2"/>
          <c:order val="2"/>
          <c:tx>
            <c:strRef>
              <c:f>median!$N$3</c:f>
              <c:strCache>
                <c:ptCount val="1"/>
                <c:pt idx="0">
                  <c:v>Regional</c:v>
                </c:pt>
              </c:strCache>
            </c:strRef>
          </c:tx>
          <c:spPr>
            <a:ln w="38100" cap="rnd">
              <a:noFill/>
              <a:round/>
            </a:ln>
            <a:effectLst/>
          </c:spPr>
          <c:marker>
            <c:symbol val="circle"/>
            <c:size val="8"/>
            <c:spPr>
              <a:solidFill>
                <a:srgbClr val="012749"/>
              </a:solidFill>
              <a:ln w="9525">
                <a:solidFill>
                  <a:schemeClr val="tx1"/>
                </a:solidFill>
              </a:ln>
              <a:effectLst/>
            </c:spPr>
          </c:marker>
          <c:dLbls>
            <c:dLbl>
              <c:idx val="63"/>
              <c:layout>
                <c:manualLayout>
                  <c:x val="8.7987703891585292E-3"/>
                  <c:y val="-0.10386727421427737"/>
                </c:manualLayout>
              </c:layout>
              <c:tx>
                <c:rich>
                  <a:bodyPr/>
                  <a:lstStyle/>
                  <a:p>
                    <a:r>
                      <a:rPr lang="en-US"/>
                      <a:t>Wide</a:t>
                    </a:r>
                    <a:r>
                      <a:rPr lang="en-US" baseline="0"/>
                      <a:t> Bay (Qld.)</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7FF-4AF8-85BD-A110148C0D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median!$K$4:$K$92</c:f>
              <c:numCache>
                <c:formatCode>0</c:formatCode>
                <c:ptCount val="89"/>
                <c:pt idx="0">
                  <c:v>1269.25</c:v>
                </c:pt>
                <c:pt idx="1">
                  <c:v>1244.53010033444</c:v>
                </c:pt>
                <c:pt idx="2">
                  <c:v>1230.9615384615299</c:v>
                </c:pt>
                <c:pt idx="3">
                  <c:v>1100.0606060606001</c:v>
                </c:pt>
                <c:pt idx="4">
                  <c:v>1216.3269230769199</c:v>
                </c:pt>
                <c:pt idx="5">
                  <c:v>1263.2019230769199</c:v>
                </c:pt>
                <c:pt idx="6">
                  <c:v>1315.9615384615299</c:v>
                </c:pt>
                <c:pt idx="7">
                  <c:v>1079.08807692307</c:v>
                </c:pt>
                <c:pt idx="8">
                  <c:v>1159.36622073578</c:v>
                </c:pt>
                <c:pt idx="9">
                  <c:v>1169.8365384615299</c:v>
                </c:pt>
                <c:pt idx="10">
                  <c:v>1305.07142857142</c:v>
                </c:pt>
                <c:pt idx="11">
                  <c:v>1107.9478609625601</c:v>
                </c:pt>
                <c:pt idx="12">
                  <c:v>1205.77428307123</c:v>
                </c:pt>
                <c:pt idx="13">
                  <c:v>1159.25</c:v>
                </c:pt>
                <c:pt idx="14">
                  <c:v>1539.1818561872899</c:v>
                </c:pt>
                <c:pt idx="15">
                  <c:v>1359.83206618962</c:v>
                </c:pt>
                <c:pt idx="16">
                  <c:v>1619.28</c:v>
                </c:pt>
                <c:pt idx="17">
                  <c:v>1757.8461538461499</c:v>
                </c:pt>
                <c:pt idx="18">
                  <c:v>1304.39024390243</c:v>
                </c:pt>
                <c:pt idx="19">
                  <c:v>1547.26923076923</c:v>
                </c:pt>
                <c:pt idx="20">
                  <c:v>1758.6266713581899</c:v>
                </c:pt>
                <c:pt idx="21">
                  <c:v>1546.6891025641</c:v>
                </c:pt>
                <c:pt idx="22">
                  <c:v>1322</c:v>
                </c:pt>
                <c:pt idx="23">
                  <c:v>1352.51923076923</c:v>
                </c:pt>
                <c:pt idx="24">
                  <c:v>1334.7980769230701</c:v>
                </c:pt>
                <c:pt idx="25">
                  <c:v>1556.0442307692299</c:v>
                </c:pt>
                <c:pt idx="26">
                  <c:v>1266.36170212765</c:v>
                </c:pt>
                <c:pt idx="27">
                  <c:v>1528.3461538461499</c:v>
                </c:pt>
                <c:pt idx="28">
                  <c:v>1182.5909090908999</c:v>
                </c:pt>
                <c:pt idx="29">
                  <c:v>1177.04487179487</c:v>
                </c:pt>
                <c:pt idx="30">
                  <c:v>1256.25498188405</c:v>
                </c:pt>
                <c:pt idx="31">
                  <c:v>1171.83974358974</c:v>
                </c:pt>
                <c:pt idx="32">
                  <c:v>1138.5</c:v>
                </c:pt>
                <c:pt idx="33">
                  <c:v>1538.44827586206</c:v>
                </c:pt>
                <c:pt idx="34">
                  <c:v>1405.4230769230701</c:v>
                </c:pt>
                <c:pt idx="35">
                  <c:v>1491.10526315789</c:v>
                </c:pt>
                <c:pt idx="36">
                  <c:v>1343.0822072072001</c:v>
                </c:pt>
                <c:pt idx="37">
                  <c:v>1310.1923076922999</c:v>
                </c:pt>
                <c:pt idx="38">
                  <c:v>1315.29128959276</c:v>
                </c:pt>
                <c:pt idx="39">
                  <c:v>1250</c:v>
                </c:pt>
                <c:pt idx="40">
                  <c:v>1316.2553191489301</c:v>
                </c:pt>
                <c:pt idx="41">
                  <c:v>1257.0833333333301</c:v>
                </c:pt>
                <c:pt idx="42">
                  <c:v>1109.85374493927</c:v>
                </c:pt>
                <c:pt idx="43">
                  <c:v>1137.62916666666</c:v>
                </c:pt>
                <c:pt idx="44">
                  <c:v>1116</c:v>
                </c:pt>
                <c:pt idx="45">
                  <c:v>1365.2</c:v>
                </c:pt>
                <c:pt idx="46">
                  <c:v>1411.5294117646999</c:v>
                </c:pt>
                <c:pt idx="47">
                  <c:v>1352.93881118881</c:v>
                </c:pt>
                <c:pt idx="48">
                  <c:v>1510.8461538461499</c:v>
                </c:pt>
                <c:pt idx="49">
                  <c:v>1506.9569597069501</c:v>
                </c:pt>
                <c:pt idx="50">
                  <c:v>1189.92</c:v>
                </c:pt>
                <c:pt idx="51">
                  <c:v>1159.4195189639199</c:v>
                </c:pt>
                <c:pt idx="52">
                  <c:v>1393.0961538461499</c:v>
                </c:pt>
                <c:pt idx="53">
                  <c:v>1235.2805944055899</c:v>
                </c:pt>
                <c:pt idx="54">
                  <c:v>1251.8800000000001</c:v>
                </c:pt>
                <c:pt idx="55">
                  <c:v>1225.13333333333</c:v>
                </c:pt>
                <c:pt idx="56">
                  <c:v>1446.7115384615299</c:v>
                </c:pt>
                <c:pt idx="57">
                  <c:v>1214.3461538461499</c:v>
                </c:pt>
                <c:pt idx="58">
                  <c:v>1346.1363636363601</c:v>
                </c:pt>
                <c:pt idx="59">
                  <c:v>1342.6634615384601</c:v>
                </c:pt>
                <c:pt idx="60">
                  <c:v>1193.5080645161199</c:v>
                </c:pt>
                <c:pt idx="61">
                  <c:v>1222.2127659574401</c:v>
                </c:pt>
                <c:pt idx="62">
                  <c:v>1314.3269230769199</c:v>
                </c:pt>
                <c:pt idx="63">
                  <c:v>1112.1923076922999</c:v>
                </c:pt>
                <c:pt idx="64">
                  <c:v>1302.8090172239099</c:v>
                </c:pt>
                <c:pt idx="65">
                  <c:v>1184.4761904761899</c:v>
                </c:pt>
                <c:pt idx="66">
                  <c:v>1235.9021739130401</c:v>
                </c:pt>
                <c:pt idx="67">
                  <c:v>1250.86538461538</c:v>
                </c:pt>
                <c:pt idx="68">
                  <c:v>1128.4096989966499</c:v>
                </c:pt>
                <c:pt idx="69">
                  <c:v>1214.1612068965501</c:v>
                </c:pt>
                <c:pt idx="70">
                  <c:v>1079.5566239316199</c:v>
                </c:pt>
                <c:pt idx="71">
                  <c:v>1262.2</c:v>
                </c:pt>
                <c:pt idx="72">
                  <c:v>1382.2264957264899</c:v>
                </c:pt>
                <c:pt idx="73">
                  <c:v>1566.86486486486</c:v>
                </c:pt>
                <c:pt idx="74">
                  <c:v>1387.1923076922999</c:v>
                </c:pt>
                <c:pt idx="75">
                  <c:v>1408.38461538461</c:v>
                </c:pt>
                <c:pt idx="76">
                  <c:v>1378.6095238095199</c:v>
                </c:pt>
                <c:pt idx="77">
                  <c:v>1444.6666666666599</c:v>
                </c:pt>
                <c:pt idx="78">
                  <c:v>1226.27289377289</c:v>
                </c:pt>
                <c:pt idx="81">
                  <c:v>1210.5</c:v>
                </c:pt>
                <c:pt idx="82">
                  <c:v>1128.63461538461</c:v>
                </c:pt>
                <c:pt idx="83">
                  <c:v>1116.95454545454</c:v>
                </c:pt>
                <c:pt idx="84">
                  <c:v>1142.0576923076901</c:v>
                </c:pt>
                <c:pt idx="85">
                  <c:v>1509.52884615384</c:v>
                </c:pt>
                <c:pt idx="86">
                  <c:v>1308.7980769230701</c:v>
                </c:pt>
                <c:pt idx="87">
                  <c:v>1638.23783359497</c:v>
                </c:pt>
              </c:numCache>
            </c:numRef>
          </c:xVal>
          <c:yVal>
            <c:numRef>
              <c:f>median!$N$4:$N$92</c:f>
              <c:numCache>
                <c:formatCode>General</c:formatCode>
                <c:ptCount val="89"/>
                <c:pt idx="0">
                  <c:v>7.69</c:v>
                </c:pt>
                <c:pt idx="2">
                  <c:v>9.09</c:v>
                </c:pt>
                <c:pt idx="3">
                  <c:v>11.11</c:v>
                </c:pt>
                <c:pt idx="7">
                  <c:v>10</c:v>
                </c:pt>
                <c:pt idx="8">
                  <c:v>9.6199999999999992</c:v>
                </c:pt>
                <c:pt idx="9">
                  <c:v>9.6199999999999992</c:v>
                </c:pt>
                <c:pt idx="11">
                  <c:v>10</c:v>
                </c:pt>
                <c:pt idx="12">
                  <c:v>9.6199999999999992</c:v>
                </c:pt>
                <c:pt idx="13">
                  <c:v>8.57</c:v>
                </c:pt>
                <c:pt idx="28">
                  <c:v>8.89</c:v>
                </c:pt>
                <c:pt idx="29">
                  <c:v>9.09</c:v>
                </c:pt>
                <c:pt idx="31">
                  <c:v>9.09</c:v>
                </c:pt>
                <c:pt idx="32">
                  <c:v>9.52</c:v>
                </c:pt>
                <c:pt idx="43">
                  <c:v>10</c:v>
                </c:pt>
                <c:pt idx="44">
                  <c:v>9.6199999999999992</c:v>
                </c:pt>
                <c:pt idx="50">
                  <c:v>9.76</c:v>
                </c:pt>
                <c:pt idx="51">
                  <c:v>9.6199999999999992</c:v>
                </c:pt>
                <c:pt idx="52">
                  <c:v>9.6199999999999992</c:v>
                </c:pt>
                <c:pt idx="56">
                  <c:v>10.26</c:v>
                </c:pt>
                <c:pt idx="61">
                  <c:v>9.09</c:v>
                </c:pt>
                <c:pt idx="62">
                  <c:v>8.89</c:v>
                </c:pt>
                <c:pt idx="63">
                  <c:v>10.64</c:v>
                </c:pt>
                <c:pt idx="71">
                  <c:v>11.11</c:v>
                </c:pt>
                <c:pt idx="82">
                  <c:v>8.11</c:v>
                </c:pt>
              </c:numCache>
            </c:numRef>
          </c:yVal>
          <c:smooth val="0"/>
          <c:extLst>
            <c:ext xmlns:c16="http://schemas.microsoft.com/office/drawing/2014/chart" uri="{C3380CC4-5D6E-409C-BE32-E72D297353CC}">
              <c16:uniqueId val="{00000003-87FF-4AF8-85BD-A110148C0DC8}"/>
            </c:ext>
          </c:extLst>
        </c:ser>
        <c:ser>
          <c:idx val="3"/>
          <c:order val="3"/>
          <c:tx>
            <c:strRef>
              <c:f>median!$O$3</c:f>
              <c:strCache>
                <c:ptCount val="1"/>
                <c:pt idx="0">
                  <c:v>Remote</c:v>
                </c:pt>
              </c:strCache>
            </c:strRef>
          </c:tx>
          <c:spPr>
            <a:ln w="38100" cap="rnd">
              <a:noFill/>
              <a:round/>
            </a:ln>
            <a:effectLst/>
          </c:spPr>
          <c:marker>
            <c:symbol val="circle"/>
            <c:size val="5"/>
            <c:spPr>
              <a:solidFill>
                <a:srgbClr val="EE538B"/>
              </a:solidFill>
              <a:ln w="9525">
                <a:solidFill>
                  <a:schemeClr val="accent4"/>
                </a:solidFill>
              </a:ln>
              <a:effectLst/>
            </c:spPr>
          </c:marker>
          <c:dPt>
            <c:idx val="4"/>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4-87FF-4AF8-85BD-A110148C0DC8}"/>
              </c:ext>
            </c:extLst>
          </c:dPt>
          <c:dPt>
            <c:idx val="42"/>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5-87FF-4AF8-85BD-A110148C0DC8}"/>
              </c:ext>
            </c:extLst>
          </c:dPt>
          <c:dPt>
            <c:idx val="59"/>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6-87FF-4AF8-85BD-A110148C0DC8}"/>
              </c:ext>
            </c:extLst>
          </c:dPt>
          <c:dPt>
            <c:idx val="68"/>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7-87FF-4AF8-85BD-A110148C0DC8}"/>
              </c:ext>
            </c:extLst>
          </c:dPt>
          <c:dPt>
            <c:idx val="69"/>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8-87FF-4AF8-85BD-A110148C0DC8}"/>
              </c:ext>
            </c:extLst>
          </c:dPt>
          <c:dPt>
            <c:idx val="70"/>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9-87FF-4AF8-85BD-A110148C0DC8}"/>
              </c:ext>
            </c:extLst>
          </c:dPt>
          <c:dPt>
            <c:idx val="78"/>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A-87FF-4AF8-85BD-A110148C0DC8}"/>
              </c:ext>
            </c:extLst>
          </c:dPt>
          <c:dPt>
            <c:idx val="79"/>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B-87FF-4AF8-85BD-A110148C0DC8}"/>
              </c:ext>
            </c:extLst>
          </c:dPt>
          <c:dPt>
            <c:idx val="80"/>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C-87FF-4AF8-85BD-A110148C0DC8}"/>
              </c:ext>
            </c:extLst>
          </c:dPt>
          <c:dPt>
            <c:idx val="83"/>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D-87FF-4AF8-85BD-A110148C0DC8}"/>
              </c:ext>
            </c:extLst>
          </c:dPt>
          <c:dPt>
            <c:idx val="84"/>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E-87FF-4AF8-85BD-A110148C0DC8}"/>
              </c:ext>
            </c:extLst>
          </c:dPt>
          <c:dPt>
            <c:idx val="86"/>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0F-87FF-4AF8-85BD-A110148C0DC8}"/>
              </c:ext>
            </c:extLst>
          </c:dPt>
          <c:dPt>
            <c:idx val="88"/>
            <c:marker>
              <c:symbol val="circle"/>
              <c:size val="8"/>
              <c:spPr>
                <a:solidFill>
                  <a:srgbClr val="EE538B"/>
                </a:solidFill>
                <a:ln w="9525">
                  <a:solidFill>
                    <a:schemeClr val="tx1"/>
                  </a:solidFill>
                </a:ln>
                <a:effectLst/>
              </c:spPr>
            </c:marker>
            <c:bubble3D val="0"/>
            <c:extLst>
              <c:ext xmlns:c16="http://schemas.microsoft.com/office/drawing/2014/chart" uri="{C3380CC4-5D6E-409C-BE32-E72D297353CC}">
                <c16:uniqueId val="{00000010-87FF-4AF8-85BD-A110148C0DC8}"/>
              </c:ext>
            </c:extLst>
          </c:dPt>
          <c:dLbls>
            <c:dLbl>
              <c:idx val="70"/>
              <c:layout>
                <c:manualLayout>
                  <c:x val="-9.3915788839210118E-2"/>
                  <c:y val="-0.1658342096039257"/>
                </c:manualLayout>
              </c:layout>
              <c:tx>
                <c:rich>
                  <a:bodyPr/>
                  <a:lstStyle/>
                  <a:p>
                    <a:r>
                      <a:rPr lang="en-US"/>
                      <a:t>South Australia - South East (SA)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7FF-4AF8-85BD-A110148C0DC8}"/>
                </c:ext>
              </c:extLst>
            </c:dLbl>
            <c:dLbl>
              <c:idx val="83"/>
              <c:layout>
                <c:manualLayout>
                  <c:x val="-0.13074050809603574"/>
                  <c:y val="0.18547727538263817"/>
                </c:manualLayout>
              </c:layout>
              <c:tx>
                <c:rich>
                  <a:bodyPr/>
                  <a:lstStyle/>
                  <a:p>
                    <a:r>
                      <a:rPr lang="en-US"/>
                      <a:t>Tasmania - South East (Tas.)</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7FF-4AF8-85BD-A110148C0DC8}"/>
                </c:ext>
              </c:extLst>
            </c:dLbl>
            <c:dLbl>
              <c:idx val="86"/>
              <c:layout>
                <c:manualLayout>
                  <c:x val="3.0293923964074609E-2"/>
                  <c:y val="-4.4414067063909338E-2"/>
                </c:manualLayout>
              </c:layout>
              <c:tx>
                <c:rich>
                  <a:bodyPr/>
                  <a:lstStyle/>
                  <a:p>
                    <a:r>
                      <a:rPr lang="en-US"/>
                      <a:t>Northern Territory - Outback (NT)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87FF-4AF8-85BD-A110148C0DC8}"/>
                </c:ext>
              </c:extLst>
            </c:dLbl>
            <c:dLbl>
              <c:idx val="88"/>
              <c:layout>
                <c:manualLayout>
                  <c:x val="-6.3497173366834164E-2"/>
                  <c:y val="-5.0393153405771704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Western Australia - Outback (WA)</a:t>
                    </a:r>
                    <a:r>
                      <a:rPr lang="en-US" baseline="0"/>
                      <a:t> </a:t>
                    </a:r>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25210295440089481"/>
                      <c:h val="0.12516221930592006"/>
                    </c:manualLayout>
                  </c15:layout>
                  <c15:showDataLabelsRange val="0"/>
                </c:ext>
                <c:ext xmlns:c16="http://schemas.microsoft.com/office/drawing/2014/chart" uri="{C3380CC4-5D6E-409C-BE32-E72D297353CC}">
                  <c16:uniqueId val="{00000010-87FF-4AF8-85BD-A110148C0D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median!$K$4:$K$92</c:f>
              <c:numCache>
                <c:formatCode>0</c:formatCode>
                <c:ptCount val="89"/>
                <c:pt idx="0">
                  <c:v>1269.25</c:v>
                </c:pt>
                <c:pt idx="1">
                  <c:v>1244.53010033444</c:v>
                </c:pt>
                <c:pt idx="2">
                  <c:v>1230.9615384615299</c:v>
                </c:pt>
                <c:pt idx="3">
                  <c:v>1100.0606060606001</c:v>
                </c:pt>
                <c:pt idx="4">
                  <c:v>1216.3269230769199</c:v>
                </c:pt>
                <c:pt idx="5">
                  <c:v>1263.2019230769199</c:v>
                </c:pt>
                <c:pt idx="6">
                  <c:v>1315.9615384615299</c:v>
                </c:pt>
                <c:pt idx="7">
                  <c:v>1079.08807692307</c:v>
                </c:pt>
                <c:pt idx="8">
                  <c:v>1159.36622073578</c:v>
                </c:pt>
                <c:pt idx="9">
                  <c:v>1169.8365384615299</c:v>
                </c:pt>
                <c:pt idx="10">
                  <c:v>1305.07142857142</c:v>
                </c:pt>
                <c:pt idx="11">
                  <c:v>1107.9478609625601</c:v>
                </c:pt>
                <c:pt idx="12">
                  <c:v>1205.77428307123</c:v>
                </c:pt>
                <c:pt idx="13">
                  <c:v>1159.25</c:v>
                </c:pt>
                <c:pt idx="14">
                  <c:v>1539.1818561872899</c:v>
                </c:pt>
                <c:pt idx="15">
                  <c:v>1359.83206618962</c:v>
                </c:pt>
                <c:pt idx="16">
                  <c:v>1619.28</c:v>
                </c:pt>
                <c:pt idx="17">
                  <c:v>1757.8461538461499</c:v>
                </c:pt>
                <c:pt idx="18">
                  <c:v>1304.39024390243</c:v>
                </c:pt>
                <c:pt idx="19">
                  <c:v>1547.26923076923</c:v>
                </c:pt>
                <c:pt idx="20">
                  <c:v>1758.6266713581899</c:v>
                </c:pt>
                <c:pt idx="21">
                  <c:v>1546.6891025641</c:v>
                </c:pt>
                <c:pt idx="22">
                  <c:v>1322</c:v>
                </c:pt>
                <c:pt idx="23">
                  <c:v>1352.51923076923</c:v>
                </c:pt>
                <c:pt idx="24">
                  <c:v>1334.7980769230701</c:v>
                </c:pt>
                <c:pt idx="25">
                  <c:v>1556.0442307692299</c:v>
                </c:pt>
                <c:pt idx="26">
                  <c:v>1266.36170212765</c:v>
                </c:pt>
                <c:pt idx="27">
                  <c:v>1528.3461538461499</c:v>
                </c:pt>
                <c:pt idx="28">
                  <c:v>1182.5909090908999</c:v>
                </c:pt>
                <c:pt idx="29">
                  <c:v>1177.04487179487</c:v>
                </c:pt>
                <c:pt idx="30">
                  <c:v>1256.25498188405</c:v>
                </c:pt>
                <c:pt idx="31">
                  <c:v>1171.83974358974</c:v>
                </c:pt>
                <c:pt idx="32">
                  <c:v>1138.5</c:v>
                </c:pt>
                <c:pt idx="33">
                  <c:v>1538.44827586206</c:v>
                </c:pt>
                <c:pt idx="34">
                  <c:v>1405.4230769230701</c:v>
                </c:pt>
                <c:pt idx="35">
                  <c:v>1491.10526315789</c:v>
                </c:pt>
                <c:pt idx="36">
                  <c:v>1343.0822072072001</c:v>
                </c:pt>
                <c:pt idx="37">
                  <c:v>1310.1923076922999</c:v>
                </c:pt>
                <c:pt idx="38">
                  <c:v>1315.29128959276</c:v>
                </c:pt>
                <c:pt idx="39">
                  <c:v>1250</c:v>
                </c:pt>
                <c:pt idx="40">
                  <c:v>1316.2553191489301</c:v>
                </c:pt>
                <c:pt idx="41">
                  <c:v>1257.0833333333301</c:v>
                </c:pt>
                <c:pt idx="42">
                  <c:v>1109.85374493927</c:v>
                </c:pt>
                <c:pt idx="43">
                  <c:v>1137.62916666666</c:v>
                </c:pt>
                <c:pt idx="44">
                  <c:v>1116</c:v>
                </c:pt>
                <c:pt idx="45">
                  <c:v>1365.2</c:v>
                </c:pt>
                <c:pt idx="46">
                  <c:v>1411.5294117646999</c:v>
                </c:pt>
                <c:pt idx="47">
                  <c:v>1352.93881118881</c:v>
                </c:pt>
                <c:pt idx="48">
                  <c:v>1510.8461538461499</c:v>
                </c:pt>
                <c:pt idx="49">
                  <c:v>1506.9569597069501</c:v>
                </c:pt>
                <c:pt idx="50">
                  <c:v>1189.92</c:v>
                </c:pt>
                <c:pt idx="51">
                  <c:v>1159.4195189639199</c:v>
                </c:pt>
                <c:pt idx="52">
                  <c:v>1393.0961538461499</c:v>
                </c:pt>
                <c:pt idx="53">
                  <c:v>1235.2805944055899</c:v>
                </c:pt>
                <c:pt idx="54">
                  <c:v>1251.8800000000001</c:v>
                </c:pt>
                <c:pt idx="55">
                  <c:v>1225.13333333333</c:v>
                </c:pt>
                <c:pt idx="56">
                  <c:v>1446.7115384615299</c:v>
                </c:pt>
                <c:pt idx="57">
                  <c:v>1214.3461538461499</c:v>
                </c:pt>
                <c:pt idx="58">
                  <c:v>1346.1363636363601</c:v>
                </c:pt>
                <c:pt idx="59">
                  <c:v>1342.6634615384601</c:v>
                </c:pt>
                <c:pt idx="60">
                  <c:v>1193.5080645161199</c:v>
                </c:pt>
                <c:pt idx="61">
                  <c:v>1222.2127659574401</c:v>
                </c:pt>
                <c:pt idx="62">
                  <c:v>1314.3269230769199</c:v>
                </c:pt>
                <c:pt idx="63">
                  <c:v>1112.1923076922999</c:v>
                </c:pt>
                <c:pt idx="64">
                  <c:v>1302.8090172239099</c:v>
                </c:pt>
                <c:pt idx="65">
                  <c:v>1184.4761904761899</c:v>
                </c:pt>
                <c:pt idx="66">
                  <c:v>1235.9021739130401</c:v>
                </c:pt>
                <c:pt idx="67">
                  <c:v>1250.86538461538</c:v>
                </c:pt>
                <c:pt idx="68">
                  <c:v>1128.4096989966499</c:v>
                </c:pt>
                <c:pt idx="69">
                  <c:v>1214.1612068965501</c:v>
                </c:pt>
                <c:pt idx="70">
                  <c:v>1079.5566239316199</c:v>
                </c:pt>
                <c:pt idx="71">
                  <c:v>1262.2</c:v>
                </c:pt>
                <c:pt idx="72">
                  <c:v>1382.2264957264899</c:v>
                </c:pt>
                <c:pt idx="73">
                  <c:v>1566.86486486486</c:v>
                </c:pt>
                <c:pt idx="74">
                  <c:v>1387.1923076922999</c:v>
                </c:pt>
                <c:pt idx="75">
                  <c:v>1408.38461538461</c:v>
                </c:pt>
                <c:pt idx="76">
                  <c:v>1378.6095238095199</c:v>
                </c:pt>
                <c:pt idx="77">
                  <c:v>1444.6666666666599</c:v>
                </c:pt>
                <c:pt idx="78">
                  <c:v>1226.27289377289</c:v>
                </c:pt>
                <c:pt idx="81">
                  <c:v>1210.5</c:v>
                </c:pt>
                <c:pt idx="82">
                  <c:v>1128.63461538461</c:v>
                </c:pt>
                <c:pt idx="83">
                  <c:v>1116.95454545454</c:v>
                </c:pt>
                <c:pt idx="84">
                  <c:v>1142.0576923076901</c:v>
                </c:pt>
                <c:pt idx="85">
                  <c:v>1509.52884615384</c:v>
                </c:pt>
                <c:pt idx="86">
                  <c:v>1308.7980769230701</c:v>
                </c:pt>
                <c:pt idx="87">
                  <c:v>1638.23783359497</c:v>
                </c:pt>
              </c:numCache>
            </c:numRef>
          </c:xVal>
          <c:yVal>
            <c:numRef>
              <c:f>median!$O$4:$O$92</c:f>
              <c:numCache>
                <c:formatCode>General</c:formatCode>
                <c:ptCount val="89"/>
                <c:pt idx="4">
                  <c:v>9.6199999999999992</c:v>
                </c:pt>
                <c:pt idx="42">
                  <c:v>9.6199999999999992</c:v>
                </c:pt>
                <c:pt idx="59">
                  <c:v>10.64</c:v>
                </c:pt>
                <c:pt idx="68">
                  <c:v>9.6199999999999992</c:v>
                </c:pt>
                <c:pt idx="69">
                  <c:v>10.64</c:v>
                </c:pt>
                <c:pt idx="70">
                  <c:v>10.64</c:v>
                </c:pt>
                <c:pt idx="78">
                  <c:v>11.54</c:v>
                </c:pt>
                <c:pt idx="83">
                  <c:v>9.6199999999999992</c:v>
                </c:pt>
                <c:pt idx="84">
                  <c:v>9.52</c:v>
                </c:pt>
                <c:pt idx="86">
                  <c:v>13.04</c:v>
                </c:pt>
              </c:numCache>
            </c:numRef>
          </c:yVal>
          <c:smooth val="0"/>
          <c:extLst>
            <c:ext xmlns:c16="http://schemas.microsoft.com/office/drawing/2014/chart" uri="{C3380CC4-5D6E-409C-BE32-E72D297353CC}">
              <c16:uniqueId val="{00000011-87FF-4AF8-85BD-A110148C0DC8}"/>
            </c:ext>
          </c:extLst>
        </c:ser>
        <c:dLbls>
          <c:showLegendKey val="0"/>
          <c:showVal val="0"/>
          <c:showCatName val="0"/>
          <c:showSerName val="0"/>
          <c:showPercent val="0"/>
          <c:showBubbleSize val="0"/>
        </c:dLbls>
        <c:axId val="1662602800"/>
        <c:axId val="1662602320"/>
      </c:scatterChart>
      <c:valAx>
        <c:axId val="1662602800"/>
        <c:scaling>
          <c:orientation val="minMax"/>
          <c:min val="10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Median weekly income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62602320"/>
        <c:crosses val="autoZero"/>
        <c:crossBetween val="midCat"/>
      </c:valAx>
      <c:valAx>
        <c:axId val="166260232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Income volatility</a:t>
                </a:r>
                <a:r>
                  <a:rPr lang="en-AU" baseline="0"/>
                  <a:t> (low to high)</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626028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'First nations'!$K$44</c:f>
              <c:strCache>
                <c:ptCount val="1"/>
                <c:pt idx="0">
                  <c:v>Capital City</c:v>
                </c:pt>
              </c:strCache>
            </c:strRef>
          </c:tx>
          <c:spPr>
            <a:solidFill>
              <a:srgbClr val="6929C4"/>
            </a:solidFill>
            <a:ln>
              <a:solidFill>
                <a:srgbClr val="6929C4"/>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nations'!$L$43:$M$43</c:f>
              <c:strCache>
                <c:ptCount val="2"/>
                <c:pt idx="0">
                  <c:v>First Nations</c:v>
                </c:pt>
                <c:pt idx="1">
                  <c:v>All persons</c:v>
                </c:pt>
              </c:strCache>
            </c:strRef>
          </c:cat>
          <c:val>
            <c:numRef>
              <c:f>'First nations'!$L$44:$M$44</c:f>
              <c:numCache>
                <c:formatCode>0\%</c:formatCode>
                <c:ptCount val="2"/>
                <c:pt idx="0">
                  <c:v>37.999753220772334</c:v>
                </c:pt>
                <c:pt idx="1">
                  <c:v>69.192807438953196</c:v>
                </c:pt>
              </c:numCache>
            </c:numRef>
          </c:val>
          <c:extLst>
            <c:ext xmlns:c16="http://schemas.microsoft.com/office/drawing/2014/chart" uri="{C3380CC4-5D6E-409C-BE32-E72D297353CC}">
              <c16:uniqueId val="{00000000-762D-4B50-BD06-085144BA3D19}"/>
            </c:ext>
          </c:extLst>
        </c:ser>
        <c:ser>
          <c:idx val="1"/>
          <c:order val="1"/>
          <c:tx>
            <c:strRef>
              <c:f>'First nations'!$K$45</c:f>
              <c:strCache>
                <c:ptCount val="1"/>
                <c:pt idx="0">
                  <c:v>Regional City</c:v>
                </c:pt>
              </c:strCache>
            </c:strRef>
          </c:tx>
          <c:spPr>
            <a:solidFill>
              <a:srgbClr val="009D9A"/>
            </a:solidFill>
            <a:ln>
              <a:solidFill>
                <a:srgbClr val="009D9A"/>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nations'!$L$43:$M$43</c:f>
              <c:strCache>
                <c:ptCount val="2"/>
                <c:pt idx="0">
                  <c:v>First Nations</c:v>
                </c:pt>
                <c:pt idx="1">
                  <c:v>All persons</c:v>
                </c:pt>
              </c:strCache>
            </c:strRef>
          </c:cat>
          <c:val>
            <c:numRef>
              <c:f>'First nations'!$L$45:$M$45</c:f>
              <c:numCache>
                <c:formatCode>0\%</c:formatCode>
                <c:ptCount val="2"/>
                <c:pt idx="0">
                  <c:v>10.061715034721027</c:v>
                </c:pt>
                <c:pt idx="1">
                  <c:v>9.0611119481794713</c:v>
                </c:pt>
              </c:numCache>
            </c:numRef>
          </c:val>
          <c:extLst>
            <c:ext xmlns:c16="http://schemas.microsoft.com/office/drawing/2014/chart" uri="{C3380CC4-5D6E-409C-BE32-E72D297353CC}">
              <c16:uniqueId val="{00000001-762D-4B50-BD06-085144BA3D19}"/>
            </c:ext>
          </c:extLst>
        </c:ser>
        <c:ser>
          <c:idx val="2"/>
          <c:order val="2"/>
          <c:tx>
            <c:strRef>
              <c:f>'First nations'!$K$46</c:f>
              <c:strCache>
                <c:ptCount val="1"/>
                <c:pt idx="0">
                  <c:v>Regional</c:v>
                </c:pt>
              </c:strCache>
            </c:strRef>
          </c:tx>
          <c:spPr>
            <a:solidFill>
              <a:srgbClr val="012749"/>
            </a:solidFill>
            <a:ln>
              <a:solidFill>
                <a:srgbClr val="012749"/>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nations'!$L$43:$M$43</c:f>
              <c:strCache>
                <c:ptCount val="2"/>
                <c:pt idx="0">
                  <c:v>First Nations</c:v>
                </c:pt>
                <c:pt idx="1">
                  <c:v>All persons</c:v>
                </c:pt>
              </c:strCache>
            </c:strRef>
          </c:cat>
          <c:val>
            <c:numRef>
              <c:f>'First nations'!$L$46:$M$46</c:f>
              <c:numCache>
                <c:formatCode>0\%</c:formatCode>
                <c:ptCount val="2"/>
                <c:pt idx="0">
                  <c:v>30.402998569894145</c:v>
                </c:pt>
                <c:pt idx="1">
                  <c:v>16.751991744407377</c:v>
                </c:pt>
              </c:numCache>
            </c:numRef>
          </c:val>
          <c:extLst>
            <c:ext xmlns:c16="http://schemas.microsoft.com/office/drawing/2014/chart" uri="{C3380CC4-5D6E-409C-BE32-E72D297353CC}">
              <c16:uniqueId val="{00000002-762D-4B50-BD06-085144BA3D19}"/>
            </c:ext>
          </c:extLst>
        </c:ser>
        <c:ser>
          <c:idx val="3"/>
          <c:order val="3"/>
          <c:tx>
            <c:strRef>
              <c:f>'First nations'!$K$47</c:f>
              <c:strCache>
                <c:ptCount val="1"/>
                <c:pt idx="0">
                  <c:v>Remote</c:v>
                </c:pt>
              </c:strCache>
            </c:strRef>
          </c:tx>
          <c:spPr>
            <a:solidFill>
              <a:srgbClr val="EE538B"/>
            </a:solidFill>
            <a:ln>
              <a:solidFill>
                <a:srgbClr val="EE538B"/>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nations'!$L$43:$M$43</c:f>
              <c:strCache>
                <c:ptCount val="2"/>
                <c:pt idx="0">
                  <c:v>First Nations</c:v>
                </c:pt>
                <c:pt idx="1">
                  <c:v>All persons</c:v>
                </c:pt>
              </c:strCache>
            </c:strRef>
          </c:cat>
          <c:val>
            <c:numRef>
              <c:f>'First nations'!$L$47:$M$47</c:f>
              <c:numCache>
                <c:formatCode>0\%</c:formatCode>
                <c:ptCount val="2"/>
                <c:pt idx="0">
                  <c:v>21.535533174612485</c:v>
                </c:pt>
                <c:pt idx="1">
                  <c:v>4.9940888684599543</c:v>
                </c:pt>
              </c:numCache>
            </c:numRef>
          </c:val>
          <c:extLst>
            <c:ext xmlns:c16="http://schemas.microsoft.com/office/drawing/2014/chart" uri="{C3380CC4-5D6E-409C-BE32-E72D297353CC}">
              <c16:uniqueId val="{00000003-762D-4B50-BD06-085144BA3D19}"/>
            </c:ext>
          </c:extLst>
        </c:ser>
        <c:dLbls>
          <c:dLblPos val="ctr"/>
          <c:showLegendKey val="0"/>
          <c:showVal val="1"/>
          <c:showCatName val="0"/>
          <c:showSerName val="0"/>
          <c:showPercent val="0"/>
          <c:showBubbleSize val="0"/>
        </c:dLbls>
        <c:gapWidth val="150"/>
        <c:overlap val="100"/>
        <c:axId val="866141583"/>
        <c:axId val="866140143"/>
      </c:barChart>
      <c:catAx>
        <c:axId val="8661415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66140143"/>
        <c:crosses val="autoZero"/>
        <c:auto val="1"/>
        <c:lblAlgn val="ctr"/>
        <c:lblOffset val="100"/>
        <c:noMultiLvlLbl val="0"/>
      </c:catAx>
      <c:valAx>
        <c:axId val="866140143"/>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solidFill>
                      <a:sysClr val="windowText" lastClr="000000"/>
                    </a:solidFill>
                  </a:rPr>
                  <a:t>% of working age population by remoteness</a:t>
                </a:r>
              </a:p>
            </c:rich>
          </c:tx>
          <c:layout>
            <c:manualLayout>
              <c:xMode val="edge"/>
              <c:yMode val="edge"/>
              <c:x val="0.32328988693467342"/>
              <c:y val="0.7618925920837116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866141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'ERP Chart'!$AF$12</c:f>
              <c:strCache>
                <c:ptCount val="1"/>
                <c:pt idx="0">
                  <c:v>Capital City</c:v>
                </c:pt>
              </c:strCache>
            </c:strRef>
          </c:tx>
          <c:spPr>
            <a:ln w="28575" cap="rnd">
              <a:solidFill>
                <a:schemeClr val="accent1"/>
              </a:solidFill>
              <a:round/>
            </a:ln>
            <a:effectLst/>
          </c:spPr>
          <c:marker>
            <c:symbol val="none"/>
          </c:marker>
          <c:cat>
            <c:numRef>
              <c:f>'ERP Chart'!$AG$11:$BB$11</c:f>
              <c:numCache>
                <c:formatCode>General</c:formatCod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numCache>
            </c:numRef>
          </c:cat>
          <c:val>
            <c:numRef>
              <c:f>'ERP Chart'!$AG$12:$BB$12</c:f>
              <c:numCache>
                <c:formatCode>0.0</c:formatCode>
                <c:ptCount val="22"/>
                <c:pt idx="0">
                  <c:v>1.2015831757600237</c:v>
                </c:pt>
                <c:pt idx="1">
                  <c:v>1.211777247792245</c:v>
                </c:pt>
                <c:pt idx="2">
                  <c:v>1.1517858381475454</c:v>
                </c:pt>
                <c:pt idx="3">
                  <c:v>1.3147257029772597</c:v>
                </c:pt>
                <c:pt idx="4">
                  <c:v>1.4843330665052834</c:v>
                </c:pt>
                <c:pt idx="5">
                  <c:v>2.1009949624289703</c:v>
                </c:pt>
                <c:pt idx="6">
                  <c:v>2.269591181626085</c:v>
                </c:pt>
                <c:pt idx="7">
                  <c:v>2.348128517974768</c:v>
                </c:pt>
                <c:pt idx="8">
                  <c:v>1.7297376360890349</c:v>
                </c:pt>
                <c:pt idx="9">
                  <c:v>1.5753765418679455</c:v>
                </c:pt>
                <c:pt idx="10">
                  <c:v>2.0396595645464588</c:v>
                </c:pt>
                <c:pt idx="11">
                  <c:v>2.0390290764604746</c:v>
                </c:pt>
                <c:pt idx="12">
                  <c:v>1.8410164931902617</c:v>
                </c:pt>
                <c:pt idx="13">
                  <c:v>1.8237342905818466</c:v>
                </c:pt>
                <c:pt idx="14">
                  <c:v>1.9481707468444576</c:v>
                </c:pt>
                <c:pt idx="15">
                  <c:v>1.8951977141829834</c:v>
                </c:pt>
                <c:pt idx="16">
                  <c:v>1.657241832144507</c:v>
                </c:pt>
                <c:pt idx="17">
                  <c:v>1.6406578628811896</c:v>
                </c:pt>
                <c:pt idx="18">
                  <c:v>1.2724692548175431</c:v>
                </c:pt>
                <c:pt idx="19">
                  <c:v>-0.2661113708407048</c:v>
                </c:pt>
                <c:pt idx="20">
                  <c:v>1.3006688796468824</c:v>
                </c:pt>
                <c:pt idx="21">
                  <c:v>2.9596885722654065</c:v>
                </c:pt>
              </c:numCache>
            </c:numRef>
          </c:val>
          <c:smooth val="0"/>
          <c:extLst>
            <c:ext xmlns:c16="http://schemas.microsoft.com/office/drawing/2014/chart" uri="{C3380CC4-5D6E-409C-BE32-E72D297353CC}">
              <c16:uniqueId val="{00000000-C032-40B5-B8C7-2A4066CF8AF8}"/>
            </c:ext>
          </c:extLst>
        </c:ser>
        <c:ser>
          <c:idx val="1"/>
          <c:order val="1"/>
          <c:tx>
            <c:strRef>
              <c:f>'ERP Chart'!$AF$13</c:f>
              <c:strCache>
                <c:ptCount val="1"/>
                <c:pt idx="0">
                  <c:v>Coastal</c:v>
                </c:pt>
              </c:strCache>
            </c:strRef>
          </c:tx>
          <c:spPr>
            <a:ln w="28575" cap="rnd">
              <a:solidFill>
                <a:schemeClr val="accent2"/>
              </a:solidFill>
              <a:round/>
            </a:ln>
            <a:effectLst/>
          </c:spPr>
          <c:marker>
            <c:symbol val="none"/>
          </c:marker>
          <c:cat>
            <c:numRef>
              <c:f>'ERP Chart'!$AG$11:$BB$11</c:f>
              <c:numCache>
                <c:formatCode>General</c:formatCod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numCache>
            </c:numRef>
          </c:cat>
          <c:val>
            <c:numRef>
              <c:f>'ERP Chart'!$AG$13:$BB$13</c:f>
              <c:numCache>
                <c:formatCode>0.0</c:formatCode>
                <c:ptCount val="22"/>
                <c:pt idx="0">
                  <c:v>1.4029006846457248</c:v>
                </c:pt>
                <c:pt idx="1">
                  <c:v>1.4952803227846534</c:v>
                </c:pt>
                <c:pt idx="2">
                  <c:v>1.3764827646417066</c:v>
                </c:pt>
                <c:pt idx="3">
                  <c:v>1.3834534730964743</c:v>
                </c:pt>
                <c:pt idx="4">
                  <c:v>1.3902962195735613</c:v>
                </c:pt>
                <c:pt idx="5">
                  <c:v>1.672006448241925</c:v>
                </c:pt>
                <c:pt idx="6">
                  <c:v>1.7994377818403073</c:v>
                </c:pt>
                <c:pt idx="7">
                  <c:v>1.7436558009402026</c:v>
                </c:pt>
                <c:pt idx="8">
                  <c:v>1.3812904608910381</c:v>
                </c:pt>
                <c:pt idx="9">
                  <c:v>1.1733346858268101</c:v>
                </c:pt>
                <c:pt idx="10">
                  <c:v>1.3539525479124404</c:v>
                </c:pt>
                <c:pt idx="11">
                  <c:v>1.270963082308918</c:v>
                </c:pt>
                <c:pt idx="12">
                  <c:v>1.0497886232263332</c:v>
                </c:pt>
                <c:pt idx="13">
                  <c:v>0.93403525837532086</c:v>
                </c:pt>
                <c:pt idx="14">
                  <c:v>1.0426917690920634</c:v>
                </c:pt>
                <c:pt idx="15">
                  <c:v>1.3707036421740426</c:v>
                </c:pt>
                <c:pt idx="16">
                  <c:v>1.4073494773998219</c:v>
                </c:pt>
                <c:pt idx="17">
                  <c:v>1.3758570520024715</c:v>
                </c:pt>
                <c:pt idx="18">
                  <c:v>1.3900377198504454</c:v>
                </c:pt>
                <c:pt idx="19">
                  <c:v>1.2009831491179623</c:v>
                </c:pt>
                <c:pt idx="20">
                  <c:v>1.4796095437493939</c:v>
                </c:pt>
                <c:pt idx="21">
                  <c:v>1.5987039524498314</c:v>
                </c:pt>
              </c:numCache>
            </c:numRef>
          </c:val>
          <c:smooth val="0"/>
          <c:extLst>
            <c:ext xmlns:c16="http://schemas.microsoft.com/office/drawing/2014/chart" uri="{C3380CC4-5D6E-409C-BE32-E72D297353CC}">
              <c16:uniqueId val="{00000001-C032-40B5-B8C7-2A4066CF8AF8}"/>
            </c:ext>
          </c:extLst>
        </c:ser>
        <c:ser>
          <c:idx val="2"/>
          <c:order val="2"/>
          <c:tx>
            <c:strRef>
              <c:f>'ERP Chart'!$AF$14</c:f>
              <c:strCache>
                <c:ptCount val="1"/>
                <c:pt idx="0">
                  <c:v>Inland</c:v>
                </c:pt>
              </c:strCache>
            </c:strRef>
          </c:tx>
          <c:spPr>
            <a:ln w="28575" cap="rnd">
              <a:solidFill>
                <a:schemeClr val="accent3"/>
              </a:solidFill>
              <a:round/>
            </a:ln>
            <a:effectLst/>
          </c:spPr>
          <c:marker>
            <c:symbol val="none"/>
          </c:marker>
          <c:cat>
            <c:numRef>
              <c:f>'ERP Chart'!$AG$11:$BB$11</c:f>
              <c:numCache>
                <c:formatCode>General</c:formatCod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numCache>
            </c:numRef>
          </c:cat>
          <c:val>
            <c:numRef>
              <c:f>'ERP Chart'!$AG$14:$BB$14</c:f>
              <c:numCache>
                <c:formatCode>0.0</c:formatCode>
                <c:ptCount val="22"/>
                <c:pt idx="0">
                  <c:v>0.37168717046711652</c:v>
                </c:pt>
                <c:pt idx="1">
                  <c:v>0.2372526587464785</c:v>
                </c:pt>
                <c:pt idx="2">
                  <c:v>9.288250112120533E-2</c:v>
                </c:pt>
                <c:pt idx="3">
                  <c:v>0.43244922793972407</c:v>
                </c:pt>
                <c:pt idx="4">
                  <c:v>0.60950160380894847</c:v>
                </c:pt>
                <c:pt idx="5">
                  <c:v>0.73424007167925964</c:v>
                </c:pt>
                <c:pt idx="6">
                  <c:v>1.084178635843025</c:v>
                </c:pt>
                <c:pt idx="7">
                  <c:v>1.2375861859855064</c:v>
                </c:pt>
                <c:pt idx="8">
                  <c:v>1.00496532793235</c:v>
                </c:pt>
                <c:pt idx="9">
                  <c:v>0.83153992900149021</c:v>
                </c:pt>
                <c:pt idx="10">
                  <c:v>0.9609057453424219</c:v>
                </c:pt>
                <c:pt idx="11">
                  <c:v>0.8933870590636328</c:v>
                </c:pt>
                <c:pt idx="12">
                  <c:v>0.40852041362013924</c:v>
                </c:pt>
                <c:pt idx="13">
                  <c:v>0.24248632034438167</c:v>
                </c:pt>
                <c:pt idx="14">
                  <c:v>0.30280781579121729</c:v>
                </c:pt>
                <c:pt idx="15">
                  <c:v>0.79551761807630239</c:v>
                </c:pt>
                <c:pt idx="16">
                  <c:v>0.77038873975749933</c:v>
                </c:pt>
                <c:pt idx="17">
                  <c:v>0.75720558375347302</c:v>
                </c:pt>
                <c:pt idx="18">
                  <c:v>0.72904875602632924</c:v>
                </c:pt>
                <c:pt idx="19">
                  <c:v>0.52616645790295458</c:v>
                </c:pt>
                <c:pt idx="20">
                  <c:v>0.73183659575601911</c:v>
                </c:pt>
                <c:pt idx="21">
                  <c:v>0.89250355115073621</c:v>
                </c:pt>
              </c:numCache>
            </c:numRef>
          </c:val>
          <c:smooth val="0"/>
          <c:extLst>
            <c:ext xmlns:c16="http://schemas.microsoft.com/office/drawing/2014/chart" uri="{C3380CC4-5D6E-409C-BE32-E72D297353CC}">
              <c16:uniqueId val="{00000002-C032-40B5-B8C7-2A4066CF8AF8}"/>
            </c:ext>
          </c:extLst>
        </c:ser>
        <c:ser>
          <c:idx val="3"/>
          <c:order val="3"/>
          <c:tx>
            <c:strRef>
              <c:f>'ERP Chart'!$AF$15</c:f>
              <c:strCache>
                <c:ptCount val="1"/>
                <c:pt idx="0">
                  <c:v>Australia</c:v>
                </c:pt>
              </c:strCache>
            </c:strRef>
          </c:tx>
          <c:spPr>
            <a:ln w="28575" cap="rnd">
              <a:solidFill>
                <a:schemeClr val="accent4"/>
              </a:solidFill>
              <a:round/>
            </a:ln>
            <a:effectLst/>
          </c:spPr>
          <c:marker>
            <c:symbol val="none"/>
          </c:marker>
          <c:cat>
            <c:numRef>
              <c:f>'ERP Chart'!$AG$11:$BB$11</c:f>
              <c:numCache>
                <c:formatCode>General</c:formatCode>
                <c:ptCount val="22"/>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numCache>
            </c:numRef>
          </c:cat>
          <c:val>
            <c:numRef>
              <c:f>'ERP Chart'!$AG$15:$BB$15</c:f>
              <c:numCache>
                <c:formatCode>0.0</c:formatCode>
                <c:ptCount val="22"/>
                <c:pt idx="0">
                  <c:v>1.1440333108150513</c:v>
                </c:pt>
                <c:pt idx="1">
                  <c:v>1.1568328835647401</c:v>
                </c:pt>
                <c:pt idx="2">
                  <c:v>1.074934471262412</c:v>
                </c:pt>
                <c:pt idx="3">
                  <c:v>1.2247298688056851</c:v>
                </c:pt>
                <c:pt idx="4">
                  <c:v>1.3585970134873504</c:v>
                </c:pt>
                <c:pt idx="5">
                  <c:v>1.8417516316833193</c:v>
                </c:pt>
                <c:pt idx="6">
                  <c:v>2.0241245015873544</c:v>
                </c:pt>
                <c:pt idx="7">
                  <c:v>2.0822149578438198</c:v>
                </c:pt>
                <c:pt idx="8">
                  <c:v>1.5678703693075002</c:v>
                </c:pt>
                <c:pt idx="9">
                  <c:v>1.3992261168540798</c:v>
                </c:pt>
                <c:pt idx="10">
                  <c:v>1.7611485108520952</c:v>
                </c:pt>
                <c:pt idx="11">
                  <c:v>1.7360485961994687</c:v>
                </c:pt>
                <c:pt idx="12">
                  <c:v>1.502745855490506</c:v>
                </c:pt>
                <c:pt idx="13">
                  <c:v>1.4496232399768827</c:v>
                </c:pt>
                <c:pt idx="14">
                  <c:v>1.5742025474896115</c:v>
                </c:pt>
                <c:pt idx="15">
                  <c:v>1.6604627515619752</c:v>
                </c:pt>
                <c:pt idx="16">
                  <c:v>1.5072427513525666</c:v>
                </c:pt>
                <c:pt idx="17">
                  <c:v>1.4884595592450367</c:v>
                </c:pt>
                <c:pt idx="18">
                  <c:v>1.2410663487485651</c:v>
                </c:pt>
                <c:pt idx="19">
                  <c:v>0.14099438704791023</c:v>
                </c:pt>
                <c:pt idx="20">
                  <c:v>1.2808320925512096</c:v>
                </c:pt>
                <c:pt idx="21">
                  <c:v>2.4389531351464155</c:v>
                </c:pt>
              </c:numCache>
            </c:numRef>
          </c:val>
          <c:smooth val="0"/>
          <c:extLst>
            <c:ext xmlns:c16="http://schemas.microsoft.com/office/drawing/2014/chart" uri="{C3380CC4-5D6E-409C-BE32-E72D297353CC}">
              <c16:uniqueId val="{00000003-C032-40B5-B8C7-2A4066CF8AF8}"/>
            </c:ext>
          </c:extLst>
        </c:ser>
        <c:dLbls>
          <c:showLegendKey val="0"/>
          <c:showVal val="0"/>
          <c:showCatName val="0"/>
          <c:showSerName val="0"/>
          <c:showPercent val="0"/>
          <c:showBubbleSize val="0"/>
        </c:dLbls>
        <c:smooth val="0"/>
        <c:axId val="1093635663"/>
        <c:axId val="1093633743"/>
      </c:lineChart>
      <c:catAx>
        <c:axId val="109363566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93633743"/>
        <c:crosses val="autoZero"/>
        <c:auto val="1"/>
        <c:lblAlgn val="ctr"/>
        <c:lblOffset val="100"/>
        <c:noMultiLvlLbl val="0"/>
      </c:catAx>
      <c:valAx>
        <c:axId val="1093633743"/>
        <c:scaling>
          <c:orientation val="minMax"/>
          <c:max val="3"/>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Annual population growth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93635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90629703465551"/>
          <c:y val="2.2306419887454468E-2"/>
          <c:w val="0.83358065678683357"/>
          <c:h val="0.77806432732493802"/>
        </c:manualLayout>
      </c:layout>
      <c:barChart>
        <c:barDir val="col"/>
        <c:grouping val="stacked"/>
        <c:varyColors val="0"/>
        <c:ser>
          <c:idx val="0"/>
          <c:order val="0"/>
          <c:tx>
            <c:strRef>
              <c:f>'Pop components'!$AG$54</c:f>
              <c:strCache>
                <c:ptCount val="1"/>
                <c:pt idx="0">
                  <c:v>Natural Increase</c:v>
                </c:pt>
              </c:strCache>
            </c:strRef>
          </c:tx>
          <c:spPr>
            <a:solidFill>
              <a:schemeClr val="accent1"/>
            </a:solidFill>
            <a:ln>
              <a:noFill/>
            </a:ln>
            <a:effectLst/>
          </c:spPr>
          <c:invertIfNegative val="0"/>
          <c:cat>
            <c:multiLvlStrRef>
              <c:f>'Pop components'!$AH$52:$AU$53</c:f>
              <c:multiLvlStrCache>
                <c:ptCount val="14"/>
                <c:lvl>
                  <c:pt idx="0">
                    <c:v>2017</c:v>
                  </c:pt>
                  <c:pt idx="1">
                    <c:v>2018</c:v>
                  </c:pt>
                  <c:pt idx="2">
                    <c:v>2019</c:v>
                  </c:pt>
                  <c:pt idx="3">
                    <c:v>2020</c:v>
                  </c:pt>
                  <c:pt idx="4">
                    <c:v>2021</c:v>
                  </c:pt>
                  <c:pt idx="5">
                    <c:v>2022</c:v>
                  </c:pt>
                  <c:pt idx="6">
                    <c:v>2023</c:v>
                  </c:pt>
                  <c:pt idx="7">
                    <c:v>2017</c:v>
                  </c:pt>
                  <c:pt idx="8">
                    <c:v>2018</c:v>
                  </c:pt>
                  <c:pt idx="9">
                    <c:v>2019</c:v>
                  </c:pt>
                  <c:pt idx="10">
                    <c:v>2020</c:v>
                  </c:pt>
                  <c:pt idx="11">
                    <c:v>2021</c:v>
                  </c:pt>
                  <c:pt idx="12">
                    <c:v>2022</c:v>
                  </c:pt>
                  <c:pt idx="13">
                    <c:v>2023</c:v>
                  </c:pt>
                </c:lvl>
                <c:lvl>
                  <c:pt idx="0">
                    <c:v>Coastal</c:v>
                  </c:pt>
                  <c:pt idx="7">
                    <c:v>Inland</c:v>
                  </c:pt>
                </c:lvl>
              </c:multiLvlStrCache>
            </c:multiLvlStrRef>
          </c:cat>
          <c:val>
            <c:numRef>
              <c:f>'Pop components'!$AH$54:$AU$54</c:f>
              <c:numCache>
                <c:formatCode>0.0</c:formatCode>
                <c:ptCount val="14"/>
                <c:pt idx="0">
                  <c:v>0.3022019940288464</c:v>
                </c:pt>
                <c:pt idx="1">
                  <c:v>0.28236251593586742</c:v>
                </c:pt>
                <c:pt idx="2">
                  <c:v>0.28220062778091692</c:v>
                </c:pt>
                <c:pt idx="3">
                  <c:v>0.24539879467288434</c:v>
                </c:pt>
                <c:pt idx="4">
                  <c:v>0.28349135296409606</c:v>
                </c:pt>
                <c:pt idx="5">
                  <c:v>0.23061172976679536</c:v>
                </c:pt>
                <c:pt idx="6">
                  <c:v>0.15432877054515509</c:v>
                </c:pt>
                <c:pt idx="7">
                  <c:v>0.41657352566521721</c:v>
                </c:pt>
                <c:pt idx="8">
                  <c:v>0.41342661507525763</c:v>
                </c:pt>
                <c:pt idx="9">
                  <c:v>0.41189491916252785</c:v>
                </c:pt>
                <c:pt idx="10">
                  <c:v>0.37994498170276714</c:v>
                </c:pt>
                <c:pt idx="11">
                  <c:v>0.39332790820595587</c:v>
                </c:pt>
                <c:pt idx="12">
                  <c:v>0.35197115983910521</c:v>
                </c:pt>
                <c:pt idx="13">
                  <c:v>0.28245365117812327</c:v>
                </c:pt>
              </c:numCache>
            </c:numRef>
          </c:val>
          <c:extLst>
            <c:ext xmlns:c16="http://schemas.microsoft.com/office/drawing/2014/chart" uri="{C3380CC4-5D6E-409C-BE32-E72D297353CC}">
              <c16:uniqueId val="{00000000-6B48-4383-B50C-08F56B7243B5}"/>
            </c:ext>
          </c:extLst>
        </c:ser>
        <c:ser>
          <c:idx val="1"/>
          <c:order val="1"/>
          <c:tx>
            <c:strRef>
              <c:f>'Pop components'!$AG$55</c:f>
              <c:strCache>
                <c:ptCount val="1"/>
                <c:pt idx="0">
                  <c:v>Net Internal Migration</c:v>
                </c:pt>
              </c:strCache>
            </c:strRef>
          </c:tx>
          <c:spPr>
            <a:solidFill>
              <a:schemeClr val="accent2"/>
            </a:solidFill>
            <a:ln>
              <a:noFill/>
            </a:ln>
            <a:effectLst/>
          </c:spPr>
          <c:invertIfNegative val="0"/>
          <c:cat>
            <c:multiLvlStrRef>
              <c:f>'Pop components'!$AH$52:$AU$53</c:f>
              <c:multiLvlStrCache>
                <c:ptCount val="14"/>
                <c:lvl>
                  <c:pt idx="0">
                    <c:v>2017</c:v>
                  </c:pt>
                  <c:pt idx="1">
                    <c:v>2018</c:v>
                  </c:pt>
                  <c:pt idx="2">
                    <c:v>2019</c:v>
                  </c:pt>
                  <c:pt idx="3">
                    <c:v>2020</c:v>
                  </c:pt>
                  <c:pt idx="4">
                    <c:v>2021</c:v>
                  </c:pt>
                  <c:pt idx="5">
                    <c:v>2022</c:v>
                  </c:pt>
                  <c:pt idx="6">
                    <c:v>2023</c:v>
                  </c:pt>
                  <c:pt idx="7">
                    <c:v>2017</c:v>
                  </c:pt>
                  <c:pt idx="8">
                    <c:v>2018</c:v>
                  </c:pt>
                  <c:pt idx="9">
                    <c:v>2019</c:v>
                  </c:pt>
                  <c:pt idx="10">
                    <c:v>2020</c:v>
                  </c:pt>
                  <c:pt idx="11">
                    <c:v>2021</c:v>
                  </c:pt>
                  <c:pt idx="12">
                    <c:v>2022</c:v>
                  </c:pt>
                  <c:pt idx="13">
                    <c:v>2023</c:v>
                  </c:pt>
                </c:lvl>
                <c:lvl>
                  <c:pt idx="0">
                    <c:v>Coastal</c:v>
                  </c:pt>
                  <c:pt idx="7">
                    <c:v>Inland</c:v>
                  </c:pt>
                </c:lvl>
              </c:multiLvlStrCache>
            </c:multiLvlStrRef>
          </c:cat>
          <c:val>
            <c:numRef>
              <c:f>'Pop components'!$AH$55:$AU$55</c:f>
              <c:numCache>
                <c:formatCode>0.0</c:formatCode>
                <c:ptCount val="14"/>
                <c:pt idx="0">
                  <c:v>0.33207432707646306</c:v>
                </c:pt>
                <c:pt idx="1">
                  <c:v>0.45783855913622518</c:v>
                </c:pt>
                <c:pt idx="2">
                  <c:v>0.41445643525570652</c:v>
                </c:pt>
                <c:pt idx="3">
                  <c:v>0.62150507140439204</c:v>
                </c:pt>
                <c:pt idx="4">
                  <c:v>0.84021413918139443</c:v>
                </c:pt>
                <c:pt idx="5">
                  <c:v>0.7896887051147935</c:v>
                </c:pt>
                <c:pt idx="6">
                  <c:v>0.49622479231872924</c:v>
                </c:pt>
                <c:pt idx="7">
                  <c:v>-0.3201511683213713</c:v>
                </c:pt>
                <c:pt idx="8">
                  <c:v>-0.29465149156689063</c:v>
                </c:pt>
                <c:pt idx="9">
                  <c:v>-0.30091358008021862</c:v>
                </c:pt>
                <c:pt idx="10">
                  <c:v>-0.18695646345840786</c:v>
                </c:pt>
                <c:pt idx="11">
                  <c:v>3.8040094333507544E-2</c:v>
                </c:pt>
                <c:pt idx="12">
                  <c:v>6.1775130435613957E-3</c:v>
                </c:pt>
                <c:pt idx="13">
                  <c:v>-8.852644112408535E-2</c:v>
                </c:pt>
              </c:numCache>
            </c:numRef>
          </c:val>
          <c:extLst>
            <c:ext xmlns:c16="http://schemas.microsoft.com/office/drawing/2014/chart" uri="{C3380CC4-5D6E-409C-BE32-E72D297353CC}">
              <c16:uniqueId val="{00000001-6B48-4383-B50C-08F56B7243B5}"/>
            </c:ext>
          </c:extLst>
        </c:ser>
        <c:ser>
          <c:idx val="2"/>
          <c:order val="2"/>
          <c:tx>
            <c:strRef>
              <c:f>'Pop components'!$AG$56</c:f>
              <c:strCache>
                <c:ptCount val="1"/>
                <c:pt idx="0">
                  <c:v>Net Overseas Migration</c:v>
                </c:pt>
              </c:strCache>
            </c:strRef>
          </c:tx>
          <c:spPr>
            <a:solidFill>
              <a:schemeClr val="accent3"/>
            </a:solidFill>
            <a:ln>
              <a:noFill/>
            </a:ln>
            <a:effectLst/>
          </c:spPr>
          <c:invertIfNegative val="0"/>
          <c:cat>
            <c:multiLvlStrRef>
              <c:f>'Pop components'!$AH$52:$AU$53</c:f>
              <c:multiLvlStrCache>
                <c:ptCount val="14"/>
                <c:lvl>
                  <c:pt idx="0">
                    <c:v>2017</c:v>
                  </c:pt>
                  <c:pt idx="1">
                    <c:v>2018</c:v>
                  </c:pt>
                  <c:pt idx="2">
                    <c:v>2019</c:v>
                  </c:pt>
                  <c:pt idx="3">
                    <c:v>2020</c:v>
                  </c:pt>
                  <c:pt idx="4">
                    <c:v>2021</c:v>
                  </c:pt>
                  <c:pt idx="5">
                    <c:v>2022</c:v>
                  </c:pt>
                  <c:pt idx="6">
                    <c:v>2023</c:v>
                  </c:pt>
                  <c:pt idx="7">
                    <c:v>2017</c:v>
                  </c:pt>
                  <c:pt idx="8">
                    <c:v>2018</c:v>
                  </c:pt>
                  <c:pt idx="9">
                    <c:v>2019</c:v>
                  </c:pt>
                  <c:pt idx="10">
                    <c:v>2020</c:v>
                  </c:pt>
                  <c:pt idx="11">
                    <c:v>2021</c:v>
                  </c:pt>
                  <c:pt idx="12">
                    <c:v>2022</c:v>
                  </c:pt>
                  <c:pt idx="13">
                    <c:v>2023</c:v>
                  </c:pt>
                </c:lvl>
                <c:lvl>
                  <c:pt idx="0">
                    <c:v>Coastal</c:v>
                  </c:pt>
                  <c:pt idx="7">
                    <c:v>Inland</c:v>
                  </c:pt>
                </c:lvl>
              </c:multiLvlStrCache>
            </c:multiLvlStrRef>
          </c:cat>
          <c:val>
            <c:numRef>
              <c:f>'Pop components'!$AH$56:$AU$56</c:f>
              <c:numCache>
                <c:formatCode>0.0</c:formatCode>
                <c:ptCount val="14"/>
                <c:pt idx="0">
                  <c:v>0.52568312025445407</c:v>
                </c:pt>
                <c:pt idx="1">
                  <c:v>0.46259390908642101</c:v>
                </c:pt>
                <c:pt idx="2">
                  <c:v>0.48594654480583982</c:v>
                </c:pt>
                <c:pt idx="3">
                  <c:v>0.40490712829022357</c:v>
                </c:pt>
                <c:pt idx="4">
                  <c:v>-7.4175031787429818E-2</c:v>
                </c:pt>
                <c:pt idx="5">
                  <c:v>0.43773586462892006</c:v>
                </c:pt>
                <c:pt idx="6">
                  <c:v>0.92299402215063797</c:v>
                </c:pt>
                <c:pt idx="7">
                  <c:v>0.41505026567558295</c:v>
                </c:pt>
                <c:pt idx="8">
                  <c:v>0.37824378339015119</c:v>
                </c:pt>
                <c:pt idx="9">
                  <c:v>0.38785333810414319</c:v>
                </c:pt>
                <c:pt idx="10">
                  <c:v>0.30971994882434506</c:v>
                </c:pt>
                <c:pt idx="11">
                  <c:v>-3.6002893565890301E-2</c:v>
                </c:pt>
                <c:pt idx="12">
                  <c:v>0.36837098613332175</c:v>
                </c:pt>
                <c:pt idx="13">
                  <c:v>0.69068117980343413</c:v>
                </c:pt>
              </c:numCache>
            </c:numRef>
          </c:val>
          <c:extLst>
            <c:ext xmlns:c16="http://schemas.microsoft.com/office/drawing/2014/chart" uri="{C3380CC4-5D6E-409C-BE32-E72D297353CC}">
              <c16:uniqueId val="{00000002-6B48-4383-B50C-08F56B7243B5}"/>
            </c:ext>
          </c:extLst>
        </c:ser>
        <c:dLbls>
          <c:showLegendKey val="0"/>
          <c:showVal val="0"/>
          <c:showCatName val="0"/>
          <c:showSerName val="0"/>
          <c:showPercent val="0"/>
          <c:showBubbleSize val="0"/>
        </c:dLbls>
        <c:gapWidth val="150"/>
        <c:overlap val="100"/>
        <c:axId val="381526623"/>
        <c:axId val="381550623"/>
      </c:barChart>
      <c:catAx>
        <c:axId val="3815266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1550623"/>
        <c:crosses val="autoZero"/>
        <c:auto val="1"/>
        <c:lblAlgn val="ctr"/>
        <c:lblOffset val="100"/>
        <c:noMultiLvlLbl val="0"/>
      </c:catAx>
      <c:valAx>
        <c:axId val="381550623"/>
        <c:scaling>
          <c:orientation val="minMax"/>
          <c:max val="1.5"/>
          <c:min val="-0.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Annual percentage (%) increase in population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81526623"/>
        <c:crosses val="autoZero"/>
        <c:crossBetween val="between"/>
      </c:valAx>
      <c:spPr>
        <a:noFill/>
        <a:ln>
          <a:noFill/>
        </a:ln>
        <a:effectLst/>
      </c:spPr>
    </c:plotArea>
    <c:legend>
      <c:legendPos val="b"/>
      <c:layout>
        <c:manualLayout>
          <c:xMode val="edge"/>
          <c:yMode val="edge"/>
          <c:x val="0.1703804433248918"/>
          <c:y val="0.93195091327214652"/>
          <c:w val="0.71506744995648386"/>
          <c:h val="6.757283390087023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'Ageing Pop'!$P$33</c:f>
              <c:strCache>
                <c:ptCount val="1"/>
                <c:pt idx="0">
                  <c:v>15-24 years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'Ageing Pop'!$O$40:$O$43</c:f>
              <c:strCache>
                <c:ptCount val="4"/>
                <c:pt idx="0">
                  <c:v>Remote</c:v>
                </c:pt>
                <c:pt idx="1">
                  <c:v>Regional</c:v>
                </c:pt>
                <c:pt idx="2">
                  <c:v>Regional City</c:v>
                </c:pt>
                <c:pt idx="3">
                  <c:v>Metropolitan City</c:v>
                </c:pt>
              </c:strCache>
            </c:strRef>
          </c:cat>
          <c:val>
            <c:numRef>
              <c:f>'Ageing Pop'!$P$40:$P$43</c:f>
              <c:numCache>
                <c:formatCode>0%</c:formatCode>
                <c:ptCount val="4"/>
                <c:pt idx="0">
                  <c:v>0.13041357298917761</c:v>
                </c:pt>
                <c:pt idx="1">
                  <c:v>0.13338084360943875</c:v>
                </c:pt>
                <c:pt idx="2">
                  <c:v>0.15880583238964283</c:v>
                </c:pt>
                <c:pt idx="3">
                  <c:v>0.15992234697449706</c:v>
                </c:pt>
              </c:numCache>
            </c:numRef>
          </c:val>
          <c:extLst>
            <c:ext xmlns:c16="http://schemas.microsoft.com/office/drawing/2014/chart" uri="{C3380CC4-5D6E-409C-BE32-E72D297353CC}">
              <c16:uniqueId val="{00000000-0496-4E55-A791-CEC4055FA70D}"/>
            </c:ext>
          </c:extLst>
        </c:ser>
        <c:ser>
          <c:idx val="1"/>
          <c:order val="1"/>
          <c:tx>
            <c:strRef>
              <c:f>'Ageing Pop'!$Q$33</c:f>
              <c:strCache>
                <c:ptCount val="1"/>
                <c:pt idx="0">
                  <c:v>25-44 years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'Ageing Pop'!$O$40:$O$43</c:f>
              <c:strCache>
                <c:ptCount val="4"/>
                <c:pt idx="0">
                  <c:v>Remote</c:v>
                </c:pt>
                <c:pt idx="1">
                  <c:v>Regional</c:v>
                </c:pt>
                <c:pt idx="2">
                  <c:v>Regional City</c:v>
                </c:pt>
                <c:pt idx="3">
                  <c:v>Metropolitan City</c:v>
                </c:pt>
              </c:strCache>
            </c:strRef>
          </c:cat>
          <c:val>
            <c:numRef>
              <c:f>'Ageing Pop'!$Q$40:$Q$43</c:f>
              <c:numCache>
                <c:formatCode>0%</c:formatCode>
                <c:ptCount val="4"/>
                <c:pt idx="0">
                  <c:v>0.4649542990023609</c:v>
                </c:pt>
                <c:pt idx="1">
                  <c:v>0.42937234514249667</c:v>
                </c:pt>
                <c:pt idx="2">
                  <c:v>0.46407370646436363</c:v>
                </c:pt>
                <c:pt idx="3">
                  <c:v>0.5252149046004837</c:v>
                </c:pt>
              </c:numCache>
            </c:numRef>
          </c:val>
          <c:extLst>
            <c:ext xmlns:c16="http://schemas.microsoft.com/office/drawing/2014/chart" uri="{C3380CC4-5D6E-409C-BE32-E72D297353CC}">
              <c16:uniqueId val="{00000001-0496-4E55-A791-CEC4055FA70D}"/>
            </c:ext>
          </c:extLst>
        </c:ser>
        <c:ser>
          <c:idx val="2"/>
          <c:order val="2"/>
          <c:tx>
            <c:strRef>
              <c:f>'Ageing Pop'!$R$33</c:f>
              <c:strCache>
                <c:ptCount val="1"/>
                <c:pt idx="0">
                  <c:v>45-54 years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'Ageing Pop'!$O$40:$O$43</c:f>
              <c:strCache>
                <c:ptCount val="4"/>
                <c:pt idx="0">
                  <c:v>Remote</c:v>
                </c:pt>
                <c:pt idx="1">
                  <c:v>Regional</c:v>
                </c:pt>
                <c:pt idx="2">
                  <c:v>Regional City</c:v>
                </c:pt>
                <c:pt idx="3">
                  <c:v>Metropolitan City</c:v>
                </c:pt>
              </c:strCache>
            </c:strRef>
          </c:cat>
          <c:val>
            <c:numRef>
              <c:f>'Ageing Pop'!$R$40:$R$43</c:f>
              <c:numCache>
                <c:formatCode>0%</c:formatCode>
                <c:ptCount val="4"/>
                <c:pt idx="0">
                  <c:v>0.15669650647332836</c:v>
                </c:pt>
                <c:pt idx="1">
                  <c:v>0.16996536325152994</c:v>
                </c:pt>
                <c:pt idx="2">
                  <c:v>0.1357213690762954</c:v>
                </c:pt>
                <c:pt idx="3">
                  <c:v>0.12894329448558611</c:v>
                </c:pt>
              </c:numCache>
            </c:numRef>
          </c:val>
          <c:extLst>
            <c:ext xmlns:c16="http://schemas.microsoft.com/office/drawing/2014/chart" uri="{C3380CC4-5D6E-409C-BE32-E72D297353CC}">
              <c16:uniqueId val="{00000002-0496-4E55-A791-CEC4055FA70D}"/>
            </c:ext>
          </c:extLst>
        </c:ser>
        <c:ser>
          <c:idx val="3"/>
          <c:order val="3"/>
          <c:tx>
            <c:strRef>
              <c:f>'Ageing Pop'!$S$33</c:f>
              <c:strCache>
                <c:ptCount val="1"/>
                <c:pt idx="0">
                  <c:v>65 years and over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'Ageing Pop'!$O$40:$O$43</c:f>
              <c:strCache>
                <c:ptCount val="4"/>
                <c:pt idx="0">
                  <c:v>Remote</c:v>
                </c:pt>
                <c:pt idx="1">
                  <c:v>Regional</c:v>
                </c:pt>
                <c:pt idx="2">
                  <c:v>Regional City</c:v>
                </c:pt>
                <c:pt idx="3">
                  <c:v>Metropolitan City</c:v>
                </c:pt>
              </c:strCache>
            </c:strRef>
          </c:cat>
          <c:val>
            <c:numRef>
              <c:f>'Ageing Pop'!$S$40:$S$43</c:f>
              <c:numCache>
                <c:formatCode>0%</c:formatCode>
                <c:ptCount val="4"/>
                <c:pt idx="0">
                  <c:v>0.24793562153513324</c:v>
                </c:pt>
                <c:pt idx="1">
                  <c:v>0.26728144799653453</c:v>
                </c:pt>
                <c:pt idx="2">
                  <c:v>0.24139909206969812</c:v>
                </c:pt>
                <c:pt idx="3">
                  <c:v>0.18591945393943268</c:v>
                </c:pt>
              </c:numCache>
            </c:numRef>
          </c:val>
          <c:extLst>
            <c:ext xmlns:c16="http://schemas.microsoft.com/office/drawing/2014/chart" uri="{C3380CC4-5D6E-409C-BE32-E72D297353CC}">
              <c16:uniqueId val="{00000003-0496-4E55-A791-CEC4055FA70D}"/>
            </c:ext>
          </c:extLst>
        </c:ser>
        <c:dLbls>
          <c:dLblPos val="ctr"/>
          <c:showLegendKey val="0"/>
          <c:showVal val="1"/>
          <c:showCatName val="0"/>
          <c:showSerName val="0"/>
          <c:showPercent val="0"/>
          <c:showBubbleSize val="0"/>
        </c:dLbls>
        <c:gapWidth val="182"/>
        <c:overlap val="100"/>
        <c:axId val="1167106655"/>
        <c:axId val="1167132575"/>
      </c:barChart>
      <c:catAx>
        <c:axId val="11671066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67132575"/>
        <c:crosses val="autoZero"/>
        <c:auto val="1"/>
        <c:lblAlgn val="ctr"/>
        <c:lblOffset val="100"/>
        <c:noMultiLvlLbl val="0"/>
      </c:catAx>
      <c:valAx>
        <c:axId val="1167132575"/>
        <c:scaling>
          <c:orientation val="minMax"/>
          <c:max val="1"/>
        </c:scaling>
        <c:delete val="0"/>
        <c:axPos val="b"/>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167106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C445EDE30F41718968622BBF37206F"/>
        <w:category>
          <w:name w:val="General"/>
          <w:gallery w:val="placeholder"/>
        </w:category>
        <w:types>
          <w:type w:val="bbPlcHdr"/>
        </w:types>
        <w:behaviors>
          <w:behavior w:val="content"/>
        </w:behaviors>
        <w:guid w:val="{3EFA744C-5BA9-4043-A6A3-D22DD1691B9B}"/>
      </w:docPartPr>
      <w:docPartBody>
        <w:p w:rsidR="005A0B81" w:rsidRDefault="005A0B81">
          <w:r w:rsidRPr="000A0CC2">
            <w:rPr>
              <w:rStyle w:val="PlaceholderText"/>
            </w:rPr>
            <w:t>[Title]</w:t>
          </w:r>
        </w:p>
      </w:docPartBody>
    </w:docPart>
    <w:docPart>
      <w:docPartPr>
        <w:name w:val="E4DB317D2DA340B1AF9BACDEE3AB05B6"/>
        <w:category>
          <w:name w:val="General"/>
          <w:gallery w:val="placeholder"/>
        </w:category>
        <w:types>
          <w:type w:val="bbPlcHdr"/>
        </w:types>
        <w:behaviors>
          <w:behavior w:val="content"/>
        </w:behaviors>
        <w:guid w:val="{46A77693-D3E8-468C-B253-5FB8596E7280}"/>
      </w:docPartPr>
      <w:docPartBody>
        <w:p w:rsidR="00C337DD" w:rsidRDefault="00C337DD">
          <w:r w:rsidRPr="00322167">
            <w:rPr>
              <w:rStyle w:val="PlaceholderText"/>
            </w:rPr>
            <w:t>[Title]</w:t>
          </w:r>
        </w:p>
      </w:docPartBody>
    </w:docPart>
    <w:docPart>
      <w:docPartPr>
        <w:name w:val="67C83F8B313A4651B2543B727AB5D6AA"/>
        <w:category>
          <w:name w:val="General"/>
          <w:gallery w:val="placeholder"/>
        </w:category>
        <w:types>
          <w:type w:val="bbPlcHdr"/>
        </w:types>
        <w:behaviors>
          <w:behavior w:val="content"/>
        </w:behaviors>
        <w:guid w:val="{EB22C36B-D1C3-428C-A5A9-FE6750EF161C}"/>
      </w:docPartPr>
      <w:docPartBody>
        <w:p w:rsidR="00637867" w:rsidRDefault="00C337DD">
          <w:pPr>
            <w:pStyle w:val="67C83F8B313A4651B2543B727AB5D6AA"/>
          </w:pPr>
          <w:r w:rsidRPr="0032216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37945"/>
    <w:rsid w:val="00037A10"/>
    <w:rsid w:val="000523CE"/>
    <w:rsid w:val="00065907"/>
    <w:rsid w:val="00080B54"/>
    <w:rsid w:val="00085653"/>
    <w:rsid w:val="000C1A23"/>
    <w:rsid w:val="000C795A"/>
    <w:rsid w:val="000D4E06"/>
    <w:rsid w:val="000E07CE"/>
    <w:rsid w:val="000F26A4"/>
    <w:rsid w:val="000F2FD3"/>
    <w:rsid w:val="00107471"/>
    <w:rsid w:val="001236DB"/>
    <w:rsid w:val="00145384"/>
    <w:rsid w:val="001526C1"/>
    <w:rsid w:val="00162E2F"/>
    <w:rsid w:val="00172C44"/>
    <w:rsid w:val="001925DB"/>
    <w:rsid w:val="001B056D"/>
    <w:rsid w:val="001C5487"/>
    <w:rsid w:val="001D73E1"/>
    <w:rsid w:val="001E3254"/>
    <w:rsid w:val="0024287A"/>
    <w:rsid w:val="0026777F"/>
    <w:rsid w:val="00267845"/>
    <w:rsid w:val="00287EC9"/>
    <w:rsid w:val="00295B94"/>
    <w:rsid w:val="002A65C4"/>
    <w:rsid w:val="002A7E4B"/>
    <w:rsid w:val="002B3256"/>
    <w:rsid w:val="002E718B"/>
    <w:rsid w:val="0030404C"/>
    <w:rsid w:val="0031469E"/>
    <w:rsid w:val="00327B40"/>
    <w:rsid w:val="003322D8"/>
    <w:rsid w:val="0033731B"/>
    <w:rsid w:val="00345A51"/>
    <w:rsid w:val="00357D0C"/>
    <w:rsid w:val="00362E7D"/>
    <w:rsid w:val="003743C7"/>
    <w:rsid w:val="0038119E"/>
    <w:rsid w:val="003D2C65"/>
    <w:rsid w:val="003D34C1"/>
    <w:rsid w:val="003E02AF"/>
    <w:rsid w:val="003E04FF"/>
    <w:rsid w:val="003E2B6F"/>
    <w:rsid w:val="00401B4A"/>
    <w:rsid w:val="004075DF"/>
    <w:rsid w:val="0040771B"/>
    <w:rsid w:val="00433E17"/>
    <w:rsid w:val="0044656B"/>
    <w:rsid w:val="0045705F"/>
    <w:rsid w:val="004627C0"/>
    <w:rsid w:val="004756E3"/>
    <w:rsid w:val="00475DED"/>
    <w:rsid w:val="00490163"/>
    <w:rsid w:val="004A22F9"/>
    <w:rsid w:val="004B1257"/>
    <w:rsid w:val="004D0246"/>
    <w:rsid w:val="004D5C9F"/>
    <w:rsid w:val="004E02A2"/>
    <w:rsid w:val="004E49B6"/>
    <w:rsid w:val="005314FA"/>
    <w:rsid w:val="00535BF7"/>
    <w:rsid w:val="00571421"/>
    <w:rsid w:val="00591A1D"/>
    <w:rsid w:val="00597EC7"/>
    <w:rsid w:val="005A0B81"/>
    <w:rsid w:val="005A290B"/>
    <w:rsid w:val="005C6C3B"/>
    <w:rsid w:val="006058B2"/>
    <w:rsid w:val="00632713"/>
    <w:rsid w:val="00637867"/>
    <w:rsid w:val="00642804"/>
    <w:rsid w:val="00655161"/>
    <w:rsid w:val="0066452D"/>
    <w:rsid w:val="006751BA"/>
    <w:rsid w:val="0067546B"/>
    <w:rsid w:val="00691D84"/>
    <w:rsid w:val="006C2226"/>
    <w:rsid w:val="006D4267"/>
    <w:rsid w:val="006E4777"/>
    <w:rsid w:val="006E696D"/>
    <w:rsid w:val="006F5C90"/>
    <w:rsid w:val="00715918"/>
    <w:rsid w:val="00720059"/>
    <w:rsid w:val="00723DF9"/>
    <w:rsid w:val="00726CE6"/>
    <w:rsid w:val="007346A8"/>
    <w:rsid w:val="00757F4A"/>
    <w:rsid w:val="00777A52"/>
    <w:rsid w:val="007A60C9"/>
    <w:rsid w:val="007B4E51"/>
    <w:rsid w:val="007D4393"/>
    <w:rsid w:val="007E065F"/>
    <w:rsid w:val="0083315B"/>
    <w:rsid w:val="00835666"/>
    <w:rsid w:val="00837FA0"/>
    <w:rsid w:val="00854604"/>
    <w:rsid w:val="00857DC5"/>
    <w:rsid w:val="00860898"/>
    <w:rsid w:val="00863CEC"/>
    <w:rsid w:val="00887072"/>
    <w:rsid w:val="00897FDF"/>
    <w:rsid w:val="008D4E72"/>
    <w:rsid w:val="008F01A9"/>
    <w:rsid w:val="009027AD"/>
    <w:rsid w:val="00906919"/>
    <w:rsid w:val="00912F3B"/>
    <w:rsid w:val="00923285"/>
    <w:rsid w:val="00923EE9"/>
    <w:rsid w:val="00926E6F"/>
    <w:rsid w:val="00930265"/>
    <w:rsid w:val="00931AC6"/>
    <w:rsid w:val="009334D2"/>
    <w:rsid w:val="009611CA"/>
    <w:rsid w:val="0097210A"/>
    <w:rsid w:val="0097305E"/>
    <w:rsid w:val="009A7D43"/>
    <w:rsid w:val="009C24D5"/>
    <w:rsid w:val="009F3726"/>
    <w:rsid w:val="009F4029"/>
    <w:rsid w:val="00A105F6"/>
    <w:rsid w:val="00A1340C"/>
    <w:rsid w:val="00A248C5"/>
    <w:rsid w:val="00A61BE3"/>
    <w:rsid w:val="00A959E2"/>
    <w:rsid w:val="00AA1C7D"/>
    <w:rsid w:val="00AA227F"/>
    <w:rsid w:val="00AA4810"/>
    <w:rsid w:val="00AA5976"/>
    <w:rsid w:val="00AB25EA"/>
    <w:rsid w:val="00AB264A"/>
    <w:rsid w:val="00AC66E6"/>
    <w:rsid w:val="00AD0DDE"/>
    <w:rsid w:val="00AD338E"/>
    <w:rsid w:val="00AD6E76"/>
    <w:rsid w:val="00AD70BE"/>
    <w:rsid w:val="00AF77B4"/>
    <w:rsid w:val="00B054F0"/>
    <w:rsid w:val="00B458F6"/>
    <w:rsid w:val="00B81776"/>
    <w:rsid w:val="00B846A1"/>
    <w:rsid w:val="00B92B83"/>
    <w:rsid w:val="00BA153C"/>
    <w:rsid w:val="00BC1066"/>
    <w:rsid w:val="00BC6C50"/>
    <w:rsid w:val="00BD07AB"/>
    <w:rsid w:val="00BD4C51"/>
    <w:rsid w:val="00BD5BA0"/>
    <w:rsid w:val="00C0213A"/>
    <w:rsid w:val="00C12BFD"/>
    <w:rsid w:val="00C15203"/>
    <w:rsid w:val="00C337DD"/>
    <w:rsid w:val="00C42EB7"/>
    <w:rsid w:val="00C50713"/>
    <w:rsid w:val="00C572D6"/>
    <w:rsid w:val="00CB635C"/>
    <w:rsid w:val="00CC1B38"/>
    <w:rsid w:val="00CE4A44"/>
    <w:rsid w:val="00D3054F"/>
    <w:rsid w:val="00D367F5"/>
    <w:rsid w:val="00D41CF7"/>
    <w:rsid w:val="00D65DFF"/>
    <w:rsid w:val="00D86F71"/>
    <w:rsid w:val="00D925AD"/>
    <w:rsid w:val="00DA7ABB"/>
    <w:rsid w:val="00DD20C2"/>
    <w:rsid w:val="00DE63D8"/>
    <w:rsid w:val="00E10253"/>
    <w:rsid w:val="00E145D6"/>
    <w:rsid w:val="00E25656"/>
    <w:rsid w:val="00E33D2F"/>
    <w:rsid w:val="00E36FD6"/>
    <w:rsid w:val="00E41B76"/>
    <w:rsid w:val="00E554F9"/>
    <w:rsid w:val="00E76D88"/>
    <w:rsid w:val="00E962D2"/>
    <w:rsid w:val="00EA296E"/>
    <w:rsid w:val="00EA637B"/>
    <w:rsid w:val="00EA797C"/>
    <w:rsid w:val="00EA7AFB"/>
    <w:rsid w:val="00EB2D89"/>
    <w:rsid w:val="00EC5087"/>
    <w:rsid w:val="00EC590E"/>
    <w:rsid w:val="00EF6149"/>
    <w:rsid w:val="00F121CA"/>
    <w:rsid w:val="00F17AFF"/>
    <w:rsid w:val="00F261AF"/>
    <w:rsid w:val="00F4264E"/>
    <w:rsid w:val="00F44DFE"/>
    <w:rsid w:val="00F53FC9"/>
    <w:rsid w:val="00F56958"/>
    <w:rsid w:val="00F844A6"/>
    <w:rsid w:val="00FA6F12"/>
    <w:rsid w:val="00FB1F71"/>
    <w:rsid w:val="00FD33D6"/>
    <w:rsid w:val="00FD5F57"/>
    <w:rsid w:val="00FE310A"/>
    <w:rsid w:val="00FF7C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53F9F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7DD"/>
    <w:rPr>
      <w:color w:val="808080"/>
    </w:rPr>
  </w:style>
  <w:style w:type="paragraph" w:customStyle="1" w:styleId="67C83F8B313A4651B2543B727AB5D6AA">
    <w:name w:val="67C83F8B313A4651B2543B727AB5D6A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JSA colours">
    <a:dk1>
      <a:sysClr val="windowText" lastClr="000000"/>
    </a:dk1>
    <a:lt1>
      <a:srgbClr val="FFFFFF"/>
    </a:lt1>
    <a:dk2>
      <a:srgbClr val="44546A"/>
    </a:dk2>
    <a:lt2>
      <a:srgbClr val="E7E6E6"/>
    </a:lt2>
    <a:accent1>
      <a:srgbClr val="6929C4"/>
    </a:accent1>
    <a:accent2>
      <a:srgbClr val="009D9A"/>
    </a:accent2>
    <a:accent3>
      <a:srgbClr val="002060"/>
    </a:accent3>
    <a:accent4>
      <a:srgbClr val="EE538B"/>
    </a:accent4>
    <a:accent5>
      <a:srgbClr val="1192E8"/>
    </a:accent5>
    <a:accent6>
      <a:srgbClr val="9F1853"/>
    </a:accent6>
    <a:hlink>
      <a:srgbClr val="005D5D"/>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JSA colours">
    <a:dk1>
      <a:sysClr val="windowText" lastClr="000000"/>
    </a:dk1>
    <a:lt1>
      <a:srgbClr val="FFFFFF"/>
    </a:lt1>
    <a:dk2>
      <a:srgbClr val="44546A"/>
    </a:dk2>
    <a:lt2>
      <a:srgbClr val="E7E6E6"/>
    </a:lt2>
    <a:accent1>
      <a:srgbClr val="6929C4"/>
    </a:accent1>
    <a:accent2>
      <a:srgbClr val="009D9A"/>
    </a:accent2>
    <a:accent3>
      <a:srgbClr val="002060"/>
    </a:accent3>
    <a:accent4>
      <a:srgbClr val="EE538B"/>
    </a:accent4>
    <a:accent5>
      <a:srgbClr val="1192E8"/>
    </a:accent5>
    <a:accent6>
      <a:srgbClr val="9F1853"/>
    </a:accent6>
    <a:hlink>
      <a:srgbClr val="005D5D"/>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JSA colours">
    <a:dk1>
      <a:sysClr val="windowText" lastClr="000000"/>
    </a:dk1>
    <a:lt1>
      <a:srgbClr val="FFFFFF"/>
    </a:lt1>
    <a:dk2>
      <a:srgbClr val="44546A"/>
    </a:dk2>
    <a:lt2>
      <a:srgbClr val="E7E6E6"/>
    </a:lt2>
    <a:accent1>
      <a:srgbClr val="6929C4"/>
    </a:accent1>
    <a:accent2>
      <a:srgbClr val="009D9A"/>
    </a:accent2>
    <a:accent3>
      <a:srgbClr val="002060"/>
    </a:accent3>
    <a:accent4>
      <a:srgbClr val="EE538B"/>
    </a:accent4>
    <a:accent5>
      <a:srgbClr val="1192E8"/>
    </a:accent5>
    <a:accent6>
      <a:srgbClr val="9F1853"/>
    </a:accent6>
    <a:hlink>
      <a:srgbClr val="005D5D"/>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2dc7d0-ebe8-463d-9526-0b9a67aad5dc" xsi:nil="true"/>
    <lcf76f155ced4ddcb4097134ff3c332f xmlns="ab20247e-6a0c-49af-8cbd-2b7571a2fff6">
      <Terms xmlns="http://schemas.microsoft.com/office/infopath/2007/PartnerControls"/>
    </lcf76f155ced4ddcb4097134ff3c332f>
    <SharedWithUsers xmlns="e52dc7d0-ebe8-463d-9526-0b9a67aad5dc">
      <UserInfo>
        <DisplayName>SANDERSON,Jack</DisplayName>
        <AccountId>11</AccountId>
        <AccountType/>
      </UserInfo>
      <UserInfo>
        <DisplayName>HICKSON,Sarah</DisplayName>
        <AccountId>12</AccountId>
        <AccountType/>
      </UserInfo>
      <UserInfo>
        <DisplayName>MADDEN,Simon</DisplayName>
        <AccountId>23</AccountId>
        <AccountType/>
      </UserInfo>
      <UserInfo>
        <DisplayName>SABALINGAM,Brinthan</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2B81D2A8C074844941223011A4426D8" ma:contentTypeVersion="13" ma:contentTypeDescription="Create a new document." ma:contentTypeScope="" ma:versionID="3f8d806a17110daf4e1c9e4c392d46bc">
  <xsd:schema xmlns:xsd="http://www.w3.org/2001/XMLSchema" xmlns:xs="http://www.w3.org/2001/XMLSchema" xmlns:p="http://schemas.microsoft.com/office/2006/metadata/properties" xmlns:ns2="ab20247e-6a0c-49af-8cbd-2b7571a2fff6" xmlns:ns3="e52dc7d0-ebe8-463d-9526-0b9a67aad5dc" targetNamespace="http://schemas.microsoft.com/office/2006/metadata/properties" ma:root="true" ma:fieldsID="410abcf18fc6f26eff31f1124f453f40" ns2:_="" ns3:_="">
    <xsd:import namespace="ab20247e-6a0c-49af-8cbd-2b7571a2fff6"/>
    <xsd:import namespace="e52dc7d0-ebe8-463d-9526-0b9a67aad5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0247e-6a0c-49af-8cbd-2b7571a2f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2dc7d0-ebe8-463d-9526-0b9a67aad5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4b38d1b-7891-4943-9719-c8494824accb}" ma:internalName="TaxCatchAll" ma:showField="CatchAllData" ma:web="e52dc7d0-ebe8-463d-9526-0b9a67aad5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083749-92F8-4312-917A-7ED321D5BB6C}">
  <ds:schemaRefs>
    <ds:schemaRef ds:uri="http://purl.org/dc/dcmitype/"/>
    <ds:schemaRef ds:uri="http://www.w3.org/XML/1998/namespace"/>
    <ds:schemaRef ds:uri="e52dc7d0-ebe8-463d-9526-0b9a67aad5dc"/>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ab20247e-6a0c-49af-8cbd-2b7571a2fff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customXml/itemProps3.xml><?xml version="1.0" encoding="utf-8"?>
<ds:datastoreItem xmlns:ds="http://schemas.openxmlformats.org/officeDocument/2006/customXml" ds:itemID="{8185EC28-9243-4932-9397-35C4FA856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0247e-6a0c-49af-8cbd-2b7571a2fff6"/>
    <ds:schemaRef ds:uri="e52dc7d0-ebe8-463d-9526-0b9a67aad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767044-9AD2-45C6-9990-EA8601577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31265</Words>
  <Characters>177586</Characters>
  <Application>Microsoft Office Word</Application>
  <DocSecurity>0</DocSecurity>
  <Lines>3946</Lines>
  <Paragraphs>2008</Paragraphs>
  <ScaleCrop>false</ScaleCrop>
  <Company>JSA</Company>
  <LinksUpToDate>false</LinksUpToDate>
  <CharactersWithSpaces>206843</CharactersWithSpaces>
  <SharedDoc>false</SharedDoc>
  <HLinks>
    <vt:vector size="948" baseType="variant">
      <vt:variant>
        <vt:i4>2556018</vt:i4>
      </vt:variant>
      <vt:variant>
        <vt:i4>438</vt:i4>
      </vt:variant>
      <vt:variant>
        <vt:i4>0</vt:i4>
      </vt:variant>
      <vt:variant>
        <vt:i4>5</vt:i4>
      </vt:variant>
      <vt:variant>
        <vt:lpwstr>https://www.jobsandskills.gov.au/data/regional-labour-market-indicator</vt:lpwstr>
      </vt:variant>
      <vt:variant>
        <vt:lpwstr/>
      </vt:variant>
      <vt:variant>
        <vt:i4>3932222</vt:i4>
      </vt:variant>
      <vt:variant>
        <vt:i4>435</vt:i4>
      </vt:variant>
      <vt:variant>
        <vt:i4>0</vt:i4>
      </vt:variant>
      <vt:variant>
        <vt:i4>5</vt:i4>
      </vt:variant>
      <vt:variant>
        <vt:lpwstr>https://www.abs.gov.au/statistics/statistical-geography/australian-statistical-geography-standard-asgs</vt:lpwstr>
      </vt:variant>
      <vt:variant>
        <vt:lpwstr/>
      </vt:variant>
      <vt:variant>
        <vt:i4>4587586</vt:i4>
      </vt:variant>
      <vt:variant>
        <vt:i4>432</vt:i4>
      </vt:variant>
      <vt:variant>
        <vt:i4>0</vt:i4>
      </vt:variant>
      <vt:variant>
        <vt:i4>5</vt:i4>
      </vt:variant>
      <vt:variant>
        <vt:lpwstr>https://www.homeaffairs.gov.au/reports-and-pubs/PDFs/supporting_strong_and_sustainable_regions.pdf</vt:lpwstr>
      </vt:variant>
      <vt:variant>
        <vt:lpwstr/>
      </vt:variant>
      <vt:variant>
        <vt:i4>2555959</vt:i4>
      </vt:variant>
      <vt:variant>
        <vt:i4>429</vt:i4>
      </vt:variant>
      <vt:variant>
        <vt:i4>0</vt:i4>
      </vt:variant>
      <vt:variant>
        <vt:i4>5</vt:i4>
      </vt:variant>
      <vt:variant>
        <vt:lpwstr>https://www.homeaffairs.gov.au/reports-and-pubs/files/review-migration-system-final-report.pdf</vt:lpwstr>
      </vt:variant>
      <vt:variant>
        <vt:lpwstr/>
      </vt:variant>
      <vt:variant>
        <vt:i4>1179735</vt:i4>
      </vt:variant>
      <vt:variant>
        <vt:i4>426</vt:i4>
      </vt:variant>
      <vt:variant>
        <vt:i4>0</vt:i4>
      </vt:variant>
      <vt:variant>
        <vt:i4>5</vt:i4>
      </vt:variant>
      <vt:variant>
        <vt:lpwstr>https://desbt.qld.gov.au/training/skills-strategy</vt:lpwstr>
      </vt:variant>
      <vt:variant>
        <vt:lpwstr/>
      </vt:variant>
      <vt:variant>
        <vt:i4>2752571</vt:i4>
      </vt:variant>
      <vt:variant>
        <vt:i4>423</vt:i4>
      </vt:variant>
      <vt:variant>
        <vt:i4>0</vt:i4>
      </vt:variant>
      <vt:variant>
        <vt:i4>5</vt:i4>
      </vt:variant>
      <vt:variant>
        <vt:lpwstr>https://vdc.edu.au/vdc-news/skilled-thriving-connected-new-vet-policy-from-south-australia/</vt:lpwstr>
      </vt:variant>
      <vt:variant>
        <vt:lpwstr/>
      </vt:variant>
      <vt:variant>
        <vt:i4>6553716</vt:i4>
      </vt:variant>
      <vt:variant>
        <vt:i4>420</vt:i4>
      </vt:variant>
      <vt:variant>
        <vt:i4>0</vt:i4>
      </vt:variant>
      <vt:variant>
        <vt:i4>5</vt:i4>
      </vt:variant>
      <vt:variant>
        <vt:lpwstr>https://sharedservicescentre.sharhttps/www.vic.gov.au/victorian-skills-plan-2022/new-era-skillsepoint.com/sites/JSA-RegionalWorkforceAssessmentSection-TEAM/Shared Documents/General/Regional Jobs and Skills Road Map/Old</vt:lpwstr>
      </vt:variant>
      <vt:variant>
        <vt:lpwstr/>
      </vt:variant>
      <vt:variant>
        <vt:i4>5373969</vt:i4>
      </vt:variant>
      <vt:variant>
        <vt:i4>417</vt:i4>
      </vt:variant>
      <vt:variant>
        <vt:i4>0</vt:i4>
      </vt:variant>
      <vt:variant>
        <vt:i4>5</vt:i4>
      </vt:variant>
      <vt:variant>
        <vt:lpwstr>https://education.nsw.gov.au/about-us/strategies-and-reports/our-reports-and-reviews/nsw-vocational-education-and-training-review</vt:lpwstr>
      </vt:variant>
      <vt:variant>
        <vt:lpwstr/>
      </vt:variant>
      <vt:variant>
        <vt:i4>6422588</vt:i4>
      </vt:variant>
      <vt:variant>
        <vt:i4>414</vt:i4>
      </vt:variant>
      <vt:variant>
        <vt:i4>0</vt:i4>
      </vt:variant>
      <vt:variant>
        <vt:i4>5</vt:i4>
      </vt:variant>
      <vt:variant>
        <vt:lpwstr>https://www.dewr.gov.au/australian-apprenticeships/resources/strategic-review-australian-apprenticeships-incentive-system-background-paper</vt:lpwstr>
      </vt:variant>
      <vt:variant>
        <vt:lpwstr/>
      </vt:variant>
      <vt:variant>
        <vt:i4>6422588</vt:i4>
      </vt:variant>
      <vt:variant>
        <vt:i4>411</vt:i4>
      </vt:variant>
      <vt:variant>
        <vt:i4>0</vt:i4>
      </vt:variant>
      <vt:variant>
        <vt:i4>5</vt:i4>
      </vt:variant>
      <vt:variant>
        <vt:lpwstr>https://www.dewr.gov.au/australian-apprenticeships/resources/strategic-review-australian-apprenticeships-incentive-system-background-paper</vt:lpwstr>
      </vt:variant>
      <vt:variant>
        <vt:lpwstr/>
      </vt:variant>
      <vt:variant>
        <vt:i4>15</vt:i4>
      </vt:variant>
      <vt:variant>
        <vt:i4>408</vt:i4>
      </vt:variant>
      <vt:variant>
        <vt:i4>0</vt:i4>
      </vt:variant>
      <vt:variant>
        <vt:i4>5</vt:i4>
      </vt:variant>
      <vt:variant>
        <vt:lpwstr>https://www.aph.gov.au/Parliamentary_Business/Committees/House/Employment_Education_and_Training/VETInquiry/Submissions</vt:lpwstr>
      </vt:variant>
      <vt:variant>
        <vt:lpwstr/>
      </vt:variant>
      <vt:variant>
        <vt:i4>7340089</vt:i4>
      </vt:variant>
      <vt:variant>
        <vt:i4>405</vt:i4>
      </vt:variant>
      <vt:variant>
        <vt:i4>0</vt:i4>
      </vt:variant>
      <vt:variant>
        <vt:i4>5</vt:i4>
      </vt:variant>
      <vt:variant>
        <vt:lpwstr>https://www.dewr.gov.au/skills-reform/fee-free-tafe</vt:lpwstr>
      </vt:variant>
      <vt:variant>
        <vt:lpwstr/>
      </vt:variant>
      <vt:variant>
        <vt:i4>2621541</vt:i4>
      </vt:variant>
      <vt:variant>
        <vt:i4>402</vt:i4>
      </vt:variant>
      <vt:variant>
        <vt:i4>0</vt:i4>
      </vt:variant>
      <vt:variant>
        <vt:i4>5</vt:i4>
      </vt:variant>
      <vt:variant>
        <vt:lpwstr>https://www.dewr.gov.au/skills-reform/skills-reform-priorities/national-skills-agreement-vision-and-principles</vt:lpwstr>
      </vt:variant>
      <vt:variant>
        <vt:lpwstr/>
      </vt:variant>
      <vt:variant>
        <vt:i4>7143467</vt:i4>
      </vt:variant>
      <vt:variant>
        <vt:i4>399</vt:i4>
      </vt:variant>
      <vt:variant>
        <vt:i4>0</vt:i4>
      </vt:variant>
      <vt:variant>
        <vt:i4>5</vt:i4>
      </vt:variant>
      <vt:variant>
        <vt:lpwstr>https://www.dewr.gov.au/skills-reform/national-skills-agreement</vt:lpwstr>
      </vt:variant>
      <vt:variant>
        <vt:lpwstr/>
      </vt:variant>
      <vt:variant>
        <vt:i4>1441810</vt:i4>
      </vt:variant>
      <vt:variant>
        <vt:i4>396</vt:i4>
      </vt:variant>
      <vt:variant>
        <vt:i4>0</vt:i4>
      </vt:variant>
      <vt:variant>
        <vt:i4>5</vt:i4>
      </vt:variant>
      <vt:variant>
        <vt:lpwstr>https://www.education.gov.au/australian-universities-accord/accord-202425-budget-measures/post-budget-implementation-consultation-papers</vt:lpwstr>
      </vt:variant>
      <vt:variant>
        <vt:lpwstr/>
      </vt:variant>
      <vt:variant>
        <vt:i4>131154</vt:i4>
      </vt:variant>
      <vt:variant>
        <vt:i4>393</vt:i4>
      </vt:variant>
      <vt:variant>
        <vt:i4>0</vt:i4>
      </vt:variant>
      <vt:variant>
        <vt:i4>5</vt:i4>
      </vt:variant>
      <vt:variant>
        <vt:lpwstr>https://course-search.scu.edu.au/s/search.html?collection=scu~scu-dep&amp;f.Tabs|scu~dep-courses=Courses</vt:lpwstr>
      </vt:variant>
      <vt:variant>
        <vt:lpwstr/>
      </vt:variant>
      <vt:variant>
        <vt:i4>7012466</vt:i4>
      </vt:variant>
      <vt:variant>
        <vt:i4>390</vt:i4>
      </vt:variant>
      <vt:variant>
        <vt:i4>0</vt:i4>
      </vt:variant>
      <vt:variant>
        <vt:i4>5</vt:i4>
      </vt:variant>
      <vt:variant>
        <vt:lpwstr>https://about.csu.edu.au/locations/campuses/port-macquarie</vt:lpwstr>
      </vt:variant>
      <vt:variant>
        <vt:lpwstr/>
      </vt:variant>
      <vt:variant>
        <vt:i4>327749</vt:i4>
      </vt:variant>
      <vt:variant>
        <vt:i4>387</vt:i4>
      </vt:variant>
      <vt:variant>
        <vt:i4>0</vt:i4>
      </vt:variant>
      <vt:variant>
        <vt:i4>5</vt:i4>
      </vt:variant>
      <vt:variant>
        <vt:lpwstr>https://www.jobsandskills.gov.au/data/skills-shortages-analysis/skills-priority-list</vt:lpwstr>
      </vt:variant>
      <vt:variant>
        <vt:lpwstr/>
      </vt:variant>
      <vt:variant>
        <vt:i4>3211375</vt:i4>
      </vt:variant>
      <vt:variant>
        <vt:i4>384</vt:i4>
      </vt:variant>
      <vt:variant>
        <vt:i4>0</vt:i4>
      </vt:variant>
      <vt:variant>
        <vt:i4>5</vt:i4>
      </vt:variant>
      <vt:variant>
        <vt:lpwstr>https://www.health.gov.au/our-work/specialist-training-program?language=en&amp;utm_source=health.gov.au&amp;utm_medium=callout-auto-custom&amp;utm_campaign=digital_transformation</vt:lpwstr>
      </vt:variant>
      <vt:variant>
        <vt:lpwstr/>
      </vt:variant>
      <vt:variant>
        <vt:i4>786507</vt:i4>
      </vt:variant>
      <vt:variant>
        <vt:i4>381</vt:i4>
      </vt:variant>
      <vt:variant>
        <vt:i4>0</vt:i4>
      </vt:variant>
      <vt:variant>
        <vt:i4>5</vt:i4>
      </vt:variant>
      <vt:variant>
        <vt:lpwstr>https://www.run.edu.au/about-us/</vt:lpwstr>
      </vt:variant>
      <vt:variant>
        <vt:lpwstr/>
      </vt:variant>
      <vt:variant>
        <vt:i4>6750312</vt:i4>
      </vt:variant>
      <vt:variant>
        <vt:i4>378</vt:i4>
      </vt:variant>
      <vt:variant>
        <vt:i4>0</vt:i4>
      </vt:variant>
      <vt:variant>
        <vt:i4>5</vt:i4>
      </vt:variant>
      <vt:variant>
        <vt:lpwstr>http://www.tareeuni.org.au/tuc-eduventure-program</vt:lpwstr>
      </vt:variant>
      <vt:variant>
        <vt:lpwstr>eduventure-faq</vt:lpwstr>
      </vt:variant>
      <vt:variant>
        <vt:i4>7340089</vt:i4>
      </vt:variant>
      <vt:variant>
        <vt:i4>375</vt:i4>
      </vt:variant>
      <vt:variant>
        <vt:i4>0</vt:i4>
      </vt:variant>
      <vt:variant>
        <vt:i4>5</vt:i4>
      </vt:variant>
      <vt:variant>
        <vt:lpwstr>https://www.dewr.gov.au/skills-reform/fee-free-tafe</vt:lpwstr>
      </vt:variant>
      <vt:variant>
        <vt:lpwstr/>
      </vt:variant>
      <vt:variant>
        <vt:i4>1114118</vt:i4>
      </vt:variant>
      <vt:variant>
        <vt:i4>372</vt:i4>
      </vt:variant>
      <vt:variant>
        <vt:i4>0</vt:i4>
      </vt:variant>
      <vt:variant>
        <vt:i4>5</vt:i4>
      </vt:variant>
      <vt:variant>
        <vt:lpwstr>https://mnclhd.health.nsw.gov.au/wp-content/uploads/MNCLHD-Strategic-Plan-web-spread-28-July-22-.pdf</vt:lpwstr>
      </vt:variant>
      <vt:variant>
        <vt:lpwstr/>
      </vt:variant>
      <vt:variant>
        <vt:i4>6029399</vt:i4>
      </vt:variant>
      <vt:variant>
        <vt:i4>369</vt:i4>
      </vt:variant>
      <vt:variant>
        <vt:i4>0</vt:i4>
      </vt:variant>
      <vt:variant>
        <vt:i4>5</vt:i4>
      </vt:variant>
      <vt:variant>
        <vt:lpwstr>https://www.health.gov.au/our-work/national-rural-generalist-pathway</vt:lpwstr>
      </vt:variant>
      <vt:variant>
        <vt:lpwstr/>
      </vt:variant>
      <vt:variant>
        <vt:i4>5505046</vt:i4>
      </vt:variant>
      <vt:variant>
        <vt:i4>366</vt:i4>
      </vt:variant>
      <vt:variant>
        <vt:i4>0</vt:i4>
      </vt:variant>
      <vt:variant>
        <vt:i4>5</vt:i4>
      </vt:variant>
      <vt:variant>
        <vt:lpwstr>https://www.health.gov.au/our-work/onrhc</vt:lpwstr>
      </vt:variant>
      <vt:variant>
        <vt:lpwstr/>
      </vt:variant>
      <vt:variant>
        <vt:i4>2293811</vt:i4>
      </vt:variant>
      <vt:variant>
        <vt:i4>363</vt:i4>
      </vt:variant>
      <vt:variant>
        <vt:i4>0</vt:i4>
      </vt:variant>
      <vt:variant>
        <vt:i4>5</vt:i4>
      </vt:variant>
      <vt:variant>
        <vt:lpwstr>https://www.health.gov.au/topics/rural-health-workforce/stronger-rural-health-strategy?utm_source=health.gov.au&amp;utm_medium=callout-auto-custom&amp;utm_campaign=digital_transformation</vt:lpwstr>
      </vt:variant>
      <vt:variant>
        <vt:lpwstr/>
      </vt:variant>
      <vt:variant>
        <vt:i4>5439575</vt:i4>
      </vt:variant>
      <vt:variant>
        <vt:i4>360</vt:i4>
      </vt:variant>
      <vt:variant>
        <vt:i4>0</vt:i4>
      </vt:variant>
      <vt:variant>
        <vt:i4>5</vt:i4>
      </vt:variant>
      <vt:variant>
        <vt:lpwstr>https://www.health.gov.au/our-work/national-medical-workforce-strategy-2021-2031</vt:lpwstr>
      </vt:variant>
      <vt:variant>
        <vt:lpwstr/>
      </vt:variant>
      <vt:variant>
        <vt:i4>3735611</vt:i4>
      </vt:variant>
      <vt:variant>
        <vt:i4>357</vt:i4>
      </vt:variant>
      <vt:variant>
        <vt:i4>0</vt:i4>
      </vt:variant>
      <vt:variant>
        <vt:i4>5</vt:i4>
      </vt:variant>
      <vt:variant>
        <vt:lpwstr>https://www.health.gov.au/topics/rural-health-workforce/classifications/dws</vt:lpwstr>
      </vt:variant>
      <vt:variant>
        <vt:lpwstr/>
      </vt:variant>
      <vt:variant>
        <vt:i4>4063291</vt:i4>
      </vt:variant>
      <vt:variant>
        <vt:i4>354</vt:i4>
      </vt:variant>
      <vt:variant>
        <vt:i4>0</vt:i4>
      </vt:variant>
      <vt:variant>
        <vt:i4>5</vt:i4>
      </vt:variant>
      <vt:variant>
        <vt:lpwstr>https://www.health.gov.au/topics/rural-health-workforce/classifications/dpa</vt:lpwstr>
      </vt:variant>
      <vt:variant>
        <vt:lpwstr/>
      </vt:variant>
      <vt:variant>
        <vt:i4>2555933</vt:i4>
      </vt:variant>
      <vt:variant>
        <vt:i4>351</vt:i4>
      </vt:variant>
      <vt:variant>
        <vt:i4>0</vt:i4>
      </vt:variant>
      <vt:variant>
        <vt:i4>5</vt:i4>
      </vt:variant>
      <vt:variant>
        <vt:lpwstr/>
      </vt:variant>
      <vt:variant>
        <vt:lpwstr>_Taree_Universities_–</vt:lpwstr>
      </vt:variant>
      <vt:variant>
        <vt:i4>1966146</vt:i4>
      </vt:variant>
      <vt:variant>
        <vt:i4>348</vt:i4>
      </vt:variant>
      <vt:variant>
        <vt:i4>0</vt:i4>
      </vt:variant>
      <vt:variant>
        <vt:i4>5</vt:i4>
      </vt:variant>
      <vt:variant>
        <vt:lpwstr>https://www.jobsandskills.gov.au/studies/early-childhood-education-and-care-study</vt:lpwstr>
      </vt:variant>
      <vt:variant>
        <vt:lpwstr/>
      </vt:variant>
      <vt:variant>
        <vt:i4>3342384</vt:i4>
      </vt:variant>
      <vt:variant>
        <vt:i4>345</vt:i4>
      </vt:variant>
      <vt:variant>
        <vt:i4>0</vt:i4>
      </vt:variant>
      <vt:variant>
        <vt:i4>5</vt:i4>
      </vt:variant>
      <vt:variant>
        <vt:lpwstr>https://www.accc.gov.au/inquiries-and-consultations/childcare-inquiry-2023</vt:lpwstr>
      </vt:variant>
      <vt:variant>
        <vt:lpwstr/>
      </vt:variant>
      <vt:variant>
        <vt:i4>5701645</vt:i4>
      </vt:variant>
      <vt:variant>
        <vt:i4>342</vt:i4>
      </vt:variant>
      <vt:variant>
        <vt:i4>0</vt:i4>
      </vt:variant>
      <vt:variant>
        <vt:i4>5</vt:i4>
      </vt:variant>
      <vt:variant>
        <vt:lpwstr>https://rdasydney.org.au/mid-north-coast-childcare-in-crisis/</vt:lpwstr>
      </vt:variant>
      <vt:variant>
        <vt:lpwstr/>
      </vt:variant>
      <vt:variant>
        <vt:i4>8257591</vt:i4>
      </vt:variant>
      <vt:variant>
        <vt:i4>339</vt:i4>
      </vt:variant>
      <vt:variant>
        <vt:i4>0</vt:i4>
      </vt:variant>
      <vt:variant>
        <vt:i4>5</vt:i4>
      </vt:variant>
      <vt:variant>
        <vt:lpwstr>https://www.jobsandskills.gov.au/data/small-area-labour-markets</vt:lpwstr>
      </vt:variant>
      <vt:variant>
        <vt:lpwstr/>
      </vt:variant>
      <vt:variant>
        <vt:i4>2555933</vt:i4>
      </vt:variant>
      <vt:variant>
        <vt:i4>336</vt:i4>
      </vt:variant>
      <vt:variant>
        <vt:i4>0</vt:i4>
      </vt:variant>
      <vt:variant>
        <vt:i4>5</vt:i4>
      </vt:variant>
      <vt:variant>
        <vt:lpwstr/>
      </vt:variant>
      <vt:variant>
        <vt:lpwstr>_Taree_Universities_–</vt:lpwstr>
      </vt:variant>
      <vt:variant>
        <vt:i4>3211375</vt:i4>
      </vt:variant>
      <vt:variant>
        <vt:i4>333</vt:i4>
      </vt:variant>
      <vt:variant>
        <vt:i4>0</vt:i4>
      </vt:variant>
      <vt:variant>
        <vt:i4>5</vt:i4>
      </vt:variant>
      <vt:variant>
        <vt:lpwstr>https://www.ncver.edu.au/research-and-statistics/publications/all-publications/vet-qualification-completion-rates-2022</vt:lpwstr>
      </vt:variant>
      <vt:variant>
        <vt:lpwstr/>
      </vt:variant>
      <vt:variant>
        <vt:i4>3211375</vt:i4>
      </vt:variant>
      <vt:variant>
        <vt:i4>330</vt:i4>
      </vt:variant>
      <vt:variant>
        <vt:i4>0</vt:i4>
      </vt:variant>
      <vt:variant>
        <vt:i4>5</vt:i4>
      </vt:variant>
      <vt:variant>
        <vt:lpwstr>https://www.ncver.edu.au/research-and-statistics/publications/all-publications/vet-qualification-completion-rates-2022</vt:lpwstr>
      </vt:variant>
      <vt:variant>
        <vt:lpwstr/>
      </vt:variant>
      <vt:variant>
        <vt:i4>1507342</vt:i4>
      </vt:variant>
      <vt:variant>
        <vt:i4>327</vt:i4>
      </vt:variant>
      <vt:variant>
        <vt:i4>0</vt:i4>
      </vt:variant>
      <vt:variant>
        <vt:i4>5</vt:i4>
      </vt:variant>
      <vt:variant>
        <vt:lpwstr>https://app.powerbi.com/groups/me/apps/66412578-c889-4fc5-81f6-2dc8ff807b9f/reports/5bfb8e15-b93e-4ee4-b6fb-d7a7454b5edf/ReportSectionbed3f929ee7db17a86ae?ctid=dd0cfd15-4558-4b12-8bad-ea26984fc417&amp;experience=power-bi</vt:lpwstr>
      </vt:variant>
      <vt:variant>
        <vt:lpwstr/>
      </vt:variant>
      <vt:variant>
        <vt:i4>4718601</vt:i4>
      </vt:variant>
      <vt:variant>
        <vt:i4>324</vt:i4>
      </vt:variant>
      <vt:variant>
        <vt:i4>0</vt:i4>
      </vt:variant>
      <vt:variant>
        <vt:i4>5</vt:i4>
      </vt:variant>
      <vt:variant>
        <vt:lpwstr>https://app.powerbi.com/groups/me/apps/66412578-c889-4fc5-81f6-2dc8ff807b9f/reports/5bfb8e15-b93e-4ee4-b6fb-d7a7454b5edf/ReportSectionb4614750c93744847354?ctid=dd0cfd15-4558-4b12-8bad-ea26984fc417&amp;experience=power-bi</vt:lpwstr>
      </vt:variant>
      <vt:variant>
        <vt:lpwstr/>
      </vt:variant>
      <vt:variant>
        <vt:i4>4915290</vt:i4>
      </vt:variant>
      <vt:variant>
        <vt:i4>321</vt:i4>
      </vt:variant>
      <vt:variant>
        <vt:i4>0</vt:i4>
      </vt:variant>
      <vt:variant>
        <vt:i4>5</vt:i4>
      </vt:variant>
      <vt:variant>
        <vt:lpwstr>https://app.powerbi.com/groups/me/apps/66412578-c889-4fc5-81f6-2dc8ff807b9f/reports/5bfb8e15-b93e-4ee4-b6fb-d7a7454b5edf/ReportSectionb31a2a2a74657c659528?ctid=dd0cfd15-4558-4b12-8bad-ea26984fc417&amp;experience=power-bi</vt:lpwstr>
      </vt:variant>
      <vt:variant>
        <vt:lpwstr/>
      </vt:variant>
      <vt:variant>
        <vt:i4>6946915</vt:i4>
      </vt:variant>
      <vt:variant>
        <vt:i4>318</vt:i4>
      </vt:variant>
      <vt:variant>
        <vt:i4>0</vt:i4>
      </vt:variant>
      <vt:variant>
        <vt:i4>5</vt:i4>
      </vt:variant>
      <vt:variant>
        <vt:lpwstr>https://www.jobsandskills.gov.au/publications/vocational-education-and-training-regional-rural-and-remote-australia</vt:lpwstr>
      </vt:variant>
      <vt:variant>
        <vt:lpwstr>:~:text=The%20report%2C%20Vocational%20education%20and,and%20analysis%20in%20this%20area.</vt:lpwstr>
      </vt:variant>
      <vt:variant>
        <vt:i4>262157</vt:i4>
      </vt:variant>
      <vt:variant>
        <vt:i4>315</vt:i4>
      </vt:variant>
      <vt:variant>
        <vt:i4>0</vt:i4>
      </vt:variant>
      <vt:variant>
        <vt:i4>5</vt:i4>
      </vt:variant>
      <vt:variant>
        <vt:lpwstr>https://www.tcsisupport.gov.au/node/7907</vt:lpwstr>
      </vt:variant>
      <vt:variant>
        <vt:lpwstr/>
      </vt:variant>
      <vt:variant>
        <vt:i4>852004</vt:i4>
      </vt:variant>
      <vt:variant>
        <vt:i4>312</vt:i4>
      </vt:variant>
      <vt:variant>
        <vt:i4>0</vt:i4>
      </vt:variant>
      <vt:variant>
        <vt:i4>5</vt:i4>
      </vt:variant>
      <vt:variant>
        <vt:lpwstr/>
      </vt:variant>
      <vt:variant>
        <vt:lpwstr>_Regional_Study_Hubs</vt:lpwstr>
      </vt:variant>
      <vt:variant>
        <vt:i4>6291514</vt:i4>
      </vt:variant>
      <vt:variant>
        <vt:i4>309</vt:i4>
      </vt:variant>
      <vt:variant>
        <vt:i4>0</vt:i4>
      </vt:variant>
      <vt:variant>
        <vt:i4>5</vt:i4>
      </vt:variant>
      <vt:variant>
        <vt:lpwstr>https://ministers.education.gov.au/clare/ten-new-study-hubs-regional-australia</vt:lpwstr>
      </vt:variant>
      <vt:variant>
        <vt:lpwstr/>
      </vt:variant>
      <vt:variant>
        <vt:i4>4456559</vt:i4>
      </vt:variant>
      <vt:variant>
        <vt:i4>306</vt:i4>
      </vt:variant>
      <vt:variant>
        <vt:i4>0</vt:i4>
      </vt:variant>
      <vt:variant>
        <vt:i4>5</vt:i4>
      </vt:variant>
      <vt:variant>
        <vt:lpwstr/>
      </vt:variant>
      <vt:variant>
        <vt:lpwstr>_Access_to_and</vt:lpwstr>
      </vt:variant>
      <vt:variant>
        <vt:i4>1703967</vt:i4>
      </vt:variant>
      <vt:variant>
        <vt:i4>303</vt:i4>
      </vt:variant>
      <vt:variant>
        <vt:i4>0</vt:i4>
      </vt:variant>
      <vt:variant>
        <vt:i4>5</vt:i4>
      </vt:variant>
      <vt:variant>
        <vt:lpwstr>https://www.newcastle.edu.au/campus-life</vt:lpwstr>
      </vt:variant>
      <vt:variant>
        <vt:lpwstr/>
      </vt:variant>
      <vt:variant>
        <vt:i4>2818093</vt:i4>
      </vt:variant>
      <vt:variant>
        <vt:i4>300</vt:i4>
      </vt:variant>
      <vt:variant>
        <vt:i4>0</vt:i4>
      </vt:variant>
      <vt:variant>
        <vt:i4>5</vt:i4>
      </vt:variant>
      <vt:variant>
        <vt:lpwstr>https://www.uow.edu.au/about/locations/</vt:lpwstr>
      </vt:variant>
      <vt:variant>
        <vt:lpwstr/>
      </vt:variant>
      <vt:variant>
        <vt:i4>3539054</vt:i4>
      </vt:variant>
      <vt:variant>
        <vt:i4>297</vt:i4>
      </vt:variant>
      <vt:variant>
        <vt:i4>0</vt:i4>
      </vt:variant>
      <vt:variant>
        <vt:i4>5</vt:i4>
      </vt:variant>
      <vt:variant>
        <vt:lpwstr>https://www.latrobe.edu.au/campuses</vt:lpwstr>
      </vt:variant>
      <vt:variant>
        <vt:lpwstr/>
      </vt:variant>
      <vt:variant>
        <vt:i4>5570624</vt:i4>
      </vt:variant>
      <vt:variant>
        <vt:i4>294</vt:i4>
      </vt:variant>
      <vt:variant>
        <vt:i4>0</vt:i4>
      </vt:variant>
      <vt:variant>
        <vt:i4>5</vt:i4>
      </vt:variant>
      <vt:variant>
        <vt:lpwstr>https://www.deakin.edu.au/about-deakin/locations/campuses</vt:lpwstr>
      </vt:variant>
      <vt:variant>
        <vt:lpwstr/>
      </vt:variant>
      <vt:variant>
        <vt:i4>7471145</vt:i4>
      </vt:variant>
      <vt:variant>
        <vt:i4>291</vt:i4>
      </vt:variant>
      <vt:variant>
        <vt:i4>0</vt:i4>
      </vt:variant>
      <vt:variant>
        <vt:i4>5</vt:i4>
      </vt:variant>
      <vt:variant>
        <vt:lpwstr>https://www.flinders.edu.au/campus/other-locations</vt:lpwstr>
      </vt:variant>
      <vt:variant>
        <vt:lpwstr/>
      </vt:variant>
      <vt:variant>
        <vt:i4>6094903</vt:i4>
      </vt:variant>
      <vt:variant>
        <vt:i4>288</vt:i4>
      </vt:variant>
      <vt:variant>
        <vt:i4>0</vt:i4>
      </vt:variant>
      <vt:variant>
        <vt:i4>5</vt:i4>
      </vt:variant>
      <vt:variant>
        <vt:lpwstr>https://ask.australian.unisa.edu.au/app/answers/detail/a_id/402/~/where-are-the-unisa-campuses-located</vt:lpwstr>
      </vt:variant>
      <vt:variant>
        <vt:lpwstr>:~:text=UniSA%20has%20four%20metropolitan%20campuses,in%20Whyalla%20and%20Mount%20Gambier.</vt:lpwstr>
      </vt:variant>
      <vt:variant>
        <vt:i4>1835099</vt:i4>
      </vt:variant>
      <vt:variant>
        <vt:i4>285</vt:i4>
      </vt:variant>
      <vt:variant>
        <vt:i4>0</vt:i4>
      </vt:variant>
      <vt:variant>
        <vt:i4>5</vt:i4>
      </vt:variant>
      <vt:variant>
        <vt:lpwstr>https://www.uwa.edu.au/about-us/location-and-campuses</vt:lpwstr>
      </vt:variant>
      <vt:variant>
        <vt:lpwstr/>
      </vt:variant>
      <vt:variant>
        <vt:i4>3801134</vt:i4>
      </vt:variant>
      <vt:variant>
        <vt:i4>281</vt:i4>
      </vt:variant>
      <vt:variant>
        <vt:i4>0</vt:i4>
      </vt:variant>
      <vt:variant>
        <vt:i4>5</vt:i4>
      </vt:variant>
      <vt:variant>
        <vt:lpwstr>https://www.jcu.edu.au/</vt:lpwstr>
      </vt:variant>
      <vt:variant>
        <vt:lpwstr/>
      </vt:variant>
      <vt:variant>
        <vt:i4>6488096</vt:i4>
      </vt:variant>
      <vt:variant>
        <vt:i4>278</vt:i4>
      </vt:variant>
      <vt:variant>
        <vt:i4>0</vt:i4>
      </vt:variant>
      <vt:variant>
        <vt:i4>5</vt:i4>
      </vt:variant>
      <vt:variant>
        <vt:lpwstr>https://federation.edu.au/about-us/our-campuses</vt:lpwstr>
      </vt:variant>
      <vt:variant>
        <vt:lpwstr/>
      </vt:variant>
      <vt:variant>
        <vt:i4>2818088</vt:i4>
      </vt:variant>
      <vt:variant>
        <vt:i4>275</vt:i4>
      </vt:variant>
      <vt:variant>
        <vt:i4>0</vt:i4>
      </vt:variant>
      <vt:variant>
        <vt:i4>5</vt:i4>
      </vt:variant>
      <vt:variant>
        <vt:lpwstr>https://fmcentral.csu.edu.au/SISfm-Enquiry/CSU/gmap/index.html</vt:lpwstr>
      </vt:variant>
      <vt:variant>
        <vt:lpwstr/>
      </vt:variant>
      <vt:variant>
        <vt:i4>7733371</vt:i4>
      </vt:variant>
      <vt:variant>
        <vt:i4>272</vt:i4>
      </vt:variant>
      <vt:variant>
        <vt:i4>0</vt:i4>
      </vt:variant>
      <vt:variant>
        <vt:i4>5</vt:i4>
      </vt:variant>
      <vt:variant>
        <vt:lpwstr>https://www.scu.edu.au/experience/explore-our-campuses/</vt:lpwstr>
      </vt:variant>
      <vt:variant>
        <vt:lpwstr/>
      </vt:variant>
      <vt:variant>
        <vt:i4>7143526</vt:i4>
      </vt:variant>
      <vt:variant>
        <vt:i4>269</vt:i4>
      </vt:variant>
      <vt:variant>
        <vt:i4>0</vt:i4>
      </vt:variant>
      <vt:variant>
        <vt:i4>5</vt:i4>
      </vt:variant>
      <vt:variant>
        <vt:lpwstr>https://www.une.edu.au/campus-life</vt:lpwstr>
      </vt:variant>
      <vt:variant>
        <vt:lpwstr/>
      </vt:variant>
      <vt:variant>
        <vt:i4>4456540</vt:i4>
      </vt:variant>
      <vt:variant>
        <vt:i4>266</vt:i4>
      </vt:variant>
      <vt:variant>
        <vt:i4>0</vt:i4>
      </vt:variant>
      <vt:variant>
        <vt:i4>5</vt:i4>
      </vt:variant>
      <vt:variant>
        <vt:lpwstr>https://www.unisq.edu.au/</vt:lpwstr>
      </vt:variant>
      <vt:variant>
        <vt:lpwstr/>
      </vt:variant>
      <vt:variant>
        <vt:i4>65621</vt:i4>
      </vt:variant>
      <vt:variant>
        <vt:i4>263</vt:i4>
      </vt:variant>
      <vt:variant>
        <vt:i4>0</vt:i4>
      </vt:variant>
      <vt:variant>
        <vt:i4>5</vt:i4>
      </vt:variant>
      <vt:variant>
        <vt:lpwstr>https://www.cqu.edu.au/about-us/locations</vt:lpwstr>
      </vt:variant>
      <vt:variant>
        <vt:lpwstr/>
      </vt:variant>
      <vt:variant>
        <vt:i4>3604537</vt:i4>
      </vt:variant>
      <vt:variant>
        <vt:i4>260</vt:i4>
      </vt:variant>
      <vt:variant>
        <vt:i4>0</vt:i4>
      </vt:variant>
      <vt:variant>
        <vt:i4>5</vt:i4>
      </vt:variant>
      <vt:variant>
        <vt:lpwstr>https://www.usc.edu.au/about/locations</vt:lpwstr>
      </vt:variant>
      <vt:variant>
        <vt:lpwstr/>
      </vt:variant>
      <vt:variant>
        <vt:i4>5308502</vt:i4>
      </vt:variant>
      <vt:variant>
        <vt:i4>255</vt:i4>
      </vt:variant>
      <vt:variant>
        <vt:i4>0</vt:i4>
      </vt:variant>
      <vt:variant>
        <vt:i4>5</vt:i4>
      </vt:variant>
      <vt:variant>
        <vt:lpwstr>https://www.cdu.edu.au/about-cdu</vt:lpwstr>
      </vt:variant>
      <vt:variant>
        <vt:lpwstr/>
      </vt:variant>
      <vt:variant>
        <vt:i4>393291</vt:i4>
      </vt:variant>
      <vt:variant>
        <vt:i4>252</vt:i4>
      </vt:variant>
      <vt:variant>
        <vt:i4>0</vt:i4>
      </vt:variant>
      <vt:variant>
        <vt:i4>5</vt:i4>
      </vt:variant>
      <vt:variant>
        <vt:lpwstr>https://www.utas.edu.au/about</vt:lpwstr>
      </vt:variant>
      <vt:variant>
        <vt:lpwstr/>
      </vt:variant>
      <vt:variant>
        <vt:i4>6226008</vt:i4>
      </vt:variant>
      <vt:variant>
        <vt:i4>249</vt:i4>
      </vt:variant>
      <vt:variant>
        <vt:i4>0</vt:i4>
      </vt:variant>
      <vt:variant>
        <vt:i4>5</vt:i4>
      </vt:variant>
      <vt:variant>
        <vt:lpwstr>https://www.jcu.edu.au/about-jcu</vt:lpwstr>
      </vt:variant>
      <vt:variant>
        <vt:lpwstr/>
      </vt:variant>
      <vt:variant>
        <vt:i4>6291509</vt:i4>
      </vt:variant>
      <vt:variant>
        <vt:i4>246</vt:i4>
      </vt:variant>
      <vt:variant>
        <vt:i4>0</vt:i4>
      </vt:variant>
      <vt:variant>
        <vt:i4>5</vt:i4>
      </vt:variant>
      <vt:variant>
        <vt:lpwstr>https://federation.edu.au/about-us</vt:lpwstr>
      </vt:variant>
      <vt:variant>
        <vt:lpwstr/>
      </vt:variant>
      <vt:variant>
        <vt:i4>4849757</vt:i4>
      </vt:variant>
      <vt:variant>
        <vt:i4>243</vt:i4>
      </vt:variant>
      <vt:variant>
        <vt:i4>0</vt:i4>
      </vt:variant>
      <vt:variant>
        <vt:i4>5</vt:i4>
      </vt:variant>
      <vt:variant>
        <vt:lpwstr>https://about.csu.edu.au/</vt:lpwstr>
      </vt:variant>
      <vt:variant>
        <vt:lpwstr/>
      </vt:variant>
      <vt:variant>
        <vt:i4>4194319</vt:i4>
      </vt:variant>
      <vt:variant>
        <vt:i4>240</vt:i4>
      </vt:variant>
      <vt:variant>
        <vt:i4>0</vt:i4>
      </vt:variant>
      <vt:variant>
        <vt:i4>5</vt:i4>
      </vt:variant>
      <vt:variant>
        <vt:lpwstr>https://www.scu.edu.au/about/</vt:lpwstr>
      </vt:variant>
      <vt:variant>
        <vt:lpwstr/>
      </vt:variant>
      <vt:variant>
        <vt:i4>6094938</vt:i4>
      </vt:variant>
      <vt:variant>
        <vt:i4>237</vt:i4>
      </vt:variant>
      <vt:variant>
        <vt:i4>0</vt:i4>
      </vt:variant>
      <vt:variant>
        <vt:i4>5</vt:i4>
      </vt:variant>
      <vt:variant>
        <vt:lpwstr>https://www.une.edu.au/about-une</vt:lpwstr>
      </vt:variant>
      <vt:variant>
        <vt:lpwstr/>
      </vt:variant>
      <vt:variant>
        <vt:i4>852051</vt:i4>
      </vt:variant>
      <vt:variant>
        <vt:i4>234</vt:i4>
      </vt:variant>
      <vt:variant>
        <vt:i4>0</vt:i4>
      </vt:variant>
      <vt:variant>
        <vt:i4>5</vt:i4>
      </vt:variant>
      <vt:variant>
        <vt:lpwstr>https://usq.edu.au/about-usq</vt:lpwstr>
      </vt:variant>
      <vt:variant>
        <vt:lpwstr/>
      </vt:variant>
      <vt:variant>
        <vt:i4>2555954</vt:i4>
      </vt:variant>
      <vt:variant>
        <vt:i4>231</vt:i4>
      </vt:variant>
      <vt:variant>
        <vt:i4>0</vt:i4>
      </vt:variant>
      <vt:variant>
        <vt:i4>5</vt:i4>
      </vt:variant>
      <vt:variant>
        <vt:lpwstr>https://www.cqu.edu.au/about-us</vt:lpwstr>
      </vt:variant>
      <vt:variant>
        <vt:lpwstr/>
      </vt:variant>
      <vt:variant>
        <vt:i4>5242911</vt:i4>
      </vt:variant>
      <vt:variant>
        <vt:i4>228</vt:i4>
      </vt:variant>
      <vt:variant>
        <vt:i4>0</vt:i4>
      </vt:variant>
      <vt:variant>
        <vt:i4>5</vt:i4>
      </vt:variant>
      <vt:variant>
        <vt:lpwstr>https://www.usc.edu.au/about</vt:lpwstr>
      </vt:variant>
      <vt:variant>
        <vt:lpwstr/>
      </vt:variant>
      <vt:variant>
        <vt:i4>7405690</vt:i4>
      </vt:variant>
      <vt:variant>
        <vt:i4>225</vt:i4>
      </vt:variant>
      <vt:variant>
        <vt:i4>0</vt:i4>
      </vt:variant>
      <vt:variant>
        <vt:i4>5</vt:i4>
      </vt:variant>
      <vt:variant>
        <vt:lpwstr>http://www.run.edu.au/about-us/member-universities/</vt:lpwstr>
      </vt:variant>
      <vt:variant>
        <vt:lpwstr/>
      </vt:variant>
      <vt:variant>
        <vt:i4>786507</vt:i4>
      </vt:variant>
      <vt:variant>
        <vt:i4>222</vt:i4>
      </vt:variant>
      <vt:variant>
        <vt:i4>0</vt:i4>
      </vt:variant>
      <vt:variant>
        <vt:i4>5</vt:i4>
      </vt:variant>
      <vt:variant>
        <vt:lpwstr>https://www.run.edu.au/about-us/</vt:lpwstr>
      </vt:variant>
      <vt:variant>
        <vt:lpwstr/>
      </vt:variant>
      <vt:variant>
        <vt:i4>6815845</vt:i4>
      </vt:variant>
      <vt:variant>
        <vt:i4>219</vt:i4>
      </vt:variant>
      <vt:variant>
        <vt:i4>0</vt:i4>
      </vt:variant>
      <vt:variant>
        <vt:i4>5</vt:i4>
      </vt:variant>
      <vt:variant>
        <vt:lpwstr>https://immi.homeaffairs.gov.au/visas/getting-a-visa/visa-listing/work-holiday-417</vt:lpwstr>
      </vt:variant>
      <vt:variant>
        <vt:lpwstr/>
      </vt:variant>
      <vt:variant>
        <vt:i4>6488186</vt:i4>
      </vt:variant>
      <vt:variant>
        <vt:i4>216</vt:i4>
      </vt:variant>
      <vt:variant>
        <vt:i4>0</vt:i4>
      </vt:variant>
      <vt:variant>
        <vt:i4>5</vt:i4>
      </vt:variant>
      <vt:variant>
        <vt:lpwstr>https://www.jobsandskills.gov.au/data/nero</vt:lpwstr>
      </vt:variant>
      <vt:variant>
        <vt:lpwstr/>
      </vt:variant>
      <vt:variant>
        <vt:i4>327749</vt:i4>
      </vt:variant>
      <vt:variant>
        <vt:i4>213</vt:i4>
      </vt:variant>
      <vt:variant>
        <vt:i4>0</vt:i4>
      </vt:variant>
      <vt:variant>
        <vt:i4>5</vt:i4>
      </vt:variant>
      <vt:variant>
        <vt:lpwstr>https://www.jobsandskills.gov.au/data/skills-shortages-analysis/skills-priority-list</vt:lpwstr>
      </vt:variant>
      <vt:variant>
        <vt:lpwstr/>
      </vt:variant>
      <vt:variant>
        <vt:i4>589835</vt:i4>
      </vt:variant>
      <vt:variant>
        <vt:i4>210</vt:i4>
      </vt:variant>
      <vt:variant>
        <vt:i4>0</vt:i4>
      </vt:variant>
      <vt:variant>
        <vt:i4>5</vt:i4>
      </vt:variant>
      <vt:variant>
        <vt:lpwstr>https://www.jobsandskills.gov.au/data/recruitment-experiences-and-outlook-survey</vt:lpwstr>
      </vt:variant>
      <vt:variant>
        <vt:lpwstr/>
      </vt:variant>
      <vt:variant>
        <vt:i4>983044</vt:i4>
      </vt:variant>
      <vt:variant>
        <vt:i4>207</vt:i4>
      </vt:variant>
      <vt:variant>
        <vt:i4>0</vt:i4>
      </vt:variant>
      <vt:variant>
        <vt:i4>5</vt:i4>
      </vt:variant>
      <vt:variant>
        <vt:lpwstr>https://www.jobsandskills.gov.au/data/internet-vacancy-index</vt:lpwstr>
      </vt:variant>
      <vt:variant>
        <vt:lpwstr/>
      </vt:variant>
      <vt:variant>
        <vt:i4>1245244</vt:i4>
      </vt:variant>
      <vt:variant>
        <vt:i4>200</vt:i4>
      </vt:variant>
      <vt:variant>
        <vt:i4>0</vt:i4>
      </vt:variant>
      <vt:variant>
        <vt:i4>5</vt:i4>
      </vt:variant>
      <vt:variant>
        <vt:lpwstr/>
      </vt:variant>
      <vt:variant>
        <vt:lpwstr>_Toc177393338</vt:lpwstr>
      </vt:variant>
      <vt:variant>
        <vt:i4>1245244</vt:i4>
      </vt:variant>
      <vt:variant>
        <vt:i4>194</vt:i4>
      </vt:variant>
      <vt:variant>
        <vt:i4>0</vt:i4>
      </vt:variant>
      <vt:variant>
        <vt:i4>5</vt:i4>
      </vt:variant>
      <vt:variant>
        <vt:lpwstr/>
      </vt:variant>
      <vt:variant>
        <vt:lpwstr>_Toc177393337</vt:lpwstr>
      </vt:variant>
      <vt:variant>
        <vt:i4>1245244</vt:i4>
      </vt:variant>
      <vt:variant>
        <vt:i4>188</vt:i4>
      </vt:variant>
      <vt:variant>
        <vt:i4>0</vt:i4>
      </vt:variant>
      <vt:variant>
        <vt:i4>5</vt:i4>
      </vt:variant>
      <vt:variant>
        <vt:lpwstr/>
      </vt:variant>
      <vt:variant>
        <vt:lpwstr>_Toc177393336</vt:lpwstr>
      </vt:variant>
      <vt:variant>
        <vt:i4>1245244</vt:i4>
      </vt:variant>
      <vt:variant>
        <vt:i4>182</vt:i4>
      </vt:variant>
      <vt:variant>
        <vt:i4>0</vt:i4>
      </vt:variant>
      <vt:variant>
        <vt:i4>5</vt:i4>
      </vt:variant>
      <vt:variant>
        <vt:lpwstr/>
      </vt:variant>
      <vt:variant>
        <vt:lpwstr>_Toc177393335</vt:lpwstr>
      </vt:variant>
      <vt:variant>
        <vt:i4>1245244</vt:i4>
      </vt:variant>
      <vt:variant>
        <vt:i4>176</vt:i4>
      </vt:variant>
      <vt:variant>
        <vt:i4>0</vt:i4>
      </vt:variant>
      <vt:variant>
        <vt:i4>5</vt:i4>
      </vt:variant>
      <vt:variant>
        <vt:lpwstr/>
      </vt:variant>
      <vt:variant>
        <vt:lpwstr>_Toc177393334</vt:lpwstr>
      </vt:variant>
      <vt:variant>
        <vt:i4>1245244</vt:i4>
      </vt:variant>
      <vt:variant>
        <vt:i4>170</vt:i4>
      </vt:variant>
      <vt:variant>
        <vt:i4>0</vt:i4>
      </vt:variant>
      <vt:variant>
        <vt:i4>5</vt:i4>
      </vt:variant>
      <vt:variant>
        <vt:lpwstr/>
      </vt:variant>
      <vt:variant>
        <vt:lpwstr>_Toc177393333</vt:lpwstr>
      </vt:variant>
      <vt:variant>
        <vt:i4>1245244</vt:i4>
      </vt:variant>
      <vt:variant>
        <vt:i4>164</vt:i4>
      </vt:variant>
      <vt:variant>
        <vt:i4>0</vt:i4>
      </vt:variant>
      <vt:variant>
        <vt:i4>5</vt:i4>
      </vt:variant>
      <vt:variant>
        <vt:lpwstr/>
      </vt:variant>
      <vt:variant>
        <vt:lpwstr>_Toc177393332</vt:lpwstr>
      </vt:variant>
      <vt:variant>
        <vt:i4>1245244</vt:i4>
      </vt:variant>
      <vt:variant>
        <vt:i4>158</vt:i4>
      </vt:variant>
      <vt:variant>
        <vt:i4>0</vt:i4>
      </vt:variant>
      <vt:variant>
        <vt:i4>5</vt:i4>
      </vt:variant>
      <vt:variant>
        <vt:lpwstr/>
      </vt:variant>
      <vt:variant>
        <vt:lpwstr>_Toc177393331</vt:lpwstr>
      </vt:variant>
      <vt:variant>
        <vt:i4>1245244</vt:i4>
      </vt:variant>
      <vt:variant>
        <vt:i4>152</vt:i4>
      </vt:variant>
      <vt:variant>
        <vt:i4>0</vt:i4>
      </vt:variant>
      <vt:variant>
        <vt:i4>5</vt:i4>
      </vt:variant>
      <vt:variant>
        <vt:lpwstr/>
      </vt:variant>
      <vt:variant>
        <vt:lpwstr>_Toc177393330</vt:lpwstr>
      </vt:variant>
      <vt:variant>
        <vt:i4>1179708</vt:i4>
      </vt:variant>
      <vt:variant>
        <vt:i4>146</vt:i4>
      </vt:variant>
      <vt:variant>
        <vt:i4>0</vt:i4>
      </vt:variant>
      <vt:variant>
        <vt:i4>5</vt:i4>
      </vt:variant>
      <vt:variant>
        <vt:lpwstr/>
      </vt:variant>
      <vt:variant>
        <vt:lpwstr>_Toc177393329</vt:lpwstr>
      </vt:variant>
      <vt:variant>
        <vt:i4>1179708</vt:i4>
      </vt:variant>
      <vt:variant>
        <vt:i4>140</vt:i4>
      </vt:variant>
      <vt:variant>
        <vt:i4>0</vt:i4>
      </vt:variant>
      <vt:variant>
        <vt:i4>5</vt:i4>
      </vt:variant>
      <vt:variant>
        <vt:lpwstr/>
      </vt:variant>
      <vt:variant>
        <vt:lpwstr>_Toc177393328</vt:lpwstr>
      </vt:variant>
      <vt:variant>
        <vt:i4>1179708</vt:i4>
      </vt:variant>
      <vt:variant>
        <vt:i4>134</vt:i4>
      </vt:variant>
      <vt:variant>
        <vt:i4>0</vt:i4>
      </vt:variant>
      <vt:variant>
        <vt:i4>5</vt:i4>
      </vt:variant>
      <vt:variant>
        <vt:lpwstr/>
      </vt:variant>
      <vt:variant>
        <vt:lpwstr>_Toc177393327</vt:lpwstr>
      </vt:variant>
      <vt:variant>
        <vt:i4>1179708</vt:i4>
      </vt:variant>
      <vt:variant>
        <vt:i4>128</vt:i4>
      </vt:variant>
      <vt:variant>
        <vt:i4>0</vt:i4>
      </vt:variant>
      <vt:variant>
        <vt:i4>5</vt:i4>
      </vt:variant>
      <vt:variant>
        <vt:lpwstr/>
      </vt:variant>
      <vt:variant>
        <vt:lpwstr>_Toc177393326</vt:lpwstr>
      </vt:variant>
      <vt:variant>
        <vt:i4>1179708</vt:i4>
      </vt:variant>
      <vt:variant>
        <vt:i4>122</vt:i4>
      </vt:variant>
      <vt:variant>
        <vt:i4>0</vt:i4>
      </vt:variant>
      <vt:variant>
        <vt:i4>5</vt:i4>
      </vt:variant>
      <vt:variant>
        <vt:lpwstr/>
      </vt:variant>
      <vt:variant>
        <vt:lpwstr>_Toc177393325</vt:lpwstr>
      </vt:variant>
      <vt:variant>
        <vt:i4>1179708</vt:i4>
      </vt:variant>
      <vt:variant>
        <vt:i4>116</vt:i4>
      </vt:variant>
      <vt:variant>
        <vt:i4>0</vt:i4>
      </vt:variant>
      <vt:variant>
        <vt:i4>5</vt:i4>
      </vt:variant>
      <vt:variant>
        <vt:lpwstr/>
      </vt:variant>
      <vt:variant>
        <vt:lpwstr>_Toc177393324</vt:lpwstr>
      </vt:variant>
      <vt:variant>
        <vt:i4>1179708</vt:i4>
      </vt:variant>
      <vt:variant>
        <vt:i4>110</vt:i4>
      </vt:variant>
      <vt:variant>
        <vt:i4>0</vt:i4>
      </vt:variant>
      <vt:variant>
        <vt:i4>5</vt:i4>
      </vt:variant>
      <vt:variant>
        <vt:lpwstr/>
      </vt:variant>
      <vt:variant>
        <vt:lpwstr>_Toc177393323</vt:lpwstr>
      </vt:variant>
      <vt:variant>
        <vt:i4>1179708</vt:i4>
      </vt:variant>
      <vt:variant>
        <vt:i4>104</vt:i4>
      </vt:variant>
      <vt:variant>
        <vt:i4>0</vt:i4>
      </vt:variant>
      <vt:variant>
        <vt:i4>5</vt:i4>
      </vt:variant>
      <vt:variant>
        <vt:lpwstr/>
      </vt:variant>
      <vt:variant>
        <vt:lpwstr>_Toc177393322</vt:lpwstr>
      </vt:variant>
      <vt:variant>
        <vt:i4>1179708</vt:i4>
      </vt:variant>
      <vt:variant>
        <vt:i4>98</vt:i4>
      </vt:variant>
      <vt:variant>
        <vt:i4>0</vt:i4>
      </vt:variant>
      <vt:variant>
        <vt:i4>5</vt:i4>
      </vt:variant>
      <vt:variant>
        <vt:lpwstr/>
      </vt:variant>
      <vt:variant>
        <vt:lpwstr>_Toc177393321</vt:lpwstr>
      </vt:variant>
      <vt:variant>
        <vt:i4>1179708</vt:i4>
      </vt:variant>
      <vt:variant>
        <vt:i4>92</vt:i4>
      </vt:variant>
      <vt:variant>
        <vt:i4>0</vt:i4>
      </vt:variant>
      <vt:variant>
        <vt:i4>5</vt:i4>
      </vt:variant>
      <vt:variant>
        <vt:lpwstr/>
      </vt:variant>
      <vt:variant>
        <vt:lpwstr>_Toc177393320</vt:lpwstr>
      </vt:variant>
      <vt:variant>
        <vt:i4>1114172</vt:i4>
      </vt:variant>
      <vt:variant>
        <vt:i4>86</vt:i4>
      </vt:variant>
      <vt:variant>
        <vt:i4>0</vt:i4>
      </vt:variant>
      <vt:variant>
        <vt:i4>5</vt:i4>
      </vt:variant>
      <vt:variant>
        <vt:lpwstr/>
      </vt:variant>
      <vt:variant>
        <vt:lpwstr>_Toc177393319</vt:lpwstr>
      </vt:variant>
      <vt:variant>
        <vt:i4>1114172</vt:i4>
      </vt:variant>
      <vt:variant>
        <vt:i4>80</vt:i4>
      </vt:variant>
      <vt:variant>
        <vt:i4>0</vt:i4>
      </vt:variant>
      <vt:variant>
        <vt:i4>5</vt:i4>
      </vt:variant>
      <vt:variant>
        <vt:lpwstr/>
      </vt:variant>
      <vt:variant>
        <vt:lpwstr>_Toc177393318</vt:lpwstr>
      </vt:variant>
      <vt:variant>
        <vt:i4>1114172</vt:i4>
      </vt:variant>
      <vt:variant>
        <vt:i4>74</vt:i4>
      </vt:variant>
      <vt:variant>
        <vt:i4>0</vt:i4>
      </vt:variant>
      <vt:variant>
        <vt:i4>5</vt:i4>
      </vt:variant>
      <vt:variant>
        <vt:lpwstr/>
      </vt:variant>
      <vt:variant>
        <vt:lpwstr>_Toc177393317</vt:lpwstr>
      </vt:variant>
      <vt:variant>
        <vt:i4>1114172</vt:i4>
      </vt:variant>
      <vt:variant>
        <vt:i4>68</vt:i4>
      </vt:variant>
      <vt:variant>
        <vt:i4>0</vt:i4>
      </vt:variant>
      <vt:variant>
        <vt:i4>5</vt:i4>
      </vt:variant>
      <vt:variant>
        <vt:lpwstr/>
      </vt:variant>
      <vt:variant>
        <vt:lpwstr>_Toc177393316</vt:lpwstr>
      </vt:variant>
      <vt:variant>
        <vt:i4>1114172</vt:i4>
      </vt:variant>
      <vt:variant>
        <vt:i4>62</vt:i4>
      </vt:variant>
      <vt:variant>
        <vt:i4>0</vt:i4>
      </vt:variant>
      <vt:variant>
        <vt:i4>5</vt:i4>
      </vt:variant>
      <vt:variant>
        <vt:lpwstr/>
      </vt:variant>
      <vt:variant>
        <vt:lpwstr>_Toc177393315</vt:lpwstr>
      </vt:variant>
      <vt:variant>
        <vt:i4>1114172</vt:i4>
      </vt:variant>
      <vt:variant>
        <vt:i4>56</vt:i4>
      </vt:variant>
      <vt:variant>
        <vt:i4>0</vt:i4>
      </vt:variant>
      <vt:variant>
        <vt:i4>5</vt:i4>
      </vt:variant>
      <vt:variant>
        <vt:lpwstr/>
      </vt:variant>
      <vt:variant>
        <vt:lpwstr>_Toc177393314</vt:lpwstr>
      </vt:variant>
      <vt:variant>
        <vt:i4>1114172</vt:i4>
      </vt:variant>
      <vt:variant>
        <vt:i4>50</vt:i4>
      </vt:variant>
      <vt:variant>
        <vt:i4>0</vt:i4>
      </vt:variant>
      <vt:variant>
        <vt:i4>5</vt:i4>
      </vt:variant>
      <vt:variant>
        <vt:lpwstr/>
      </vt:variant>
      <vt:variant>
        <vt:lpwstr>_Toc177393313</vt:lpwstr>
      </vt:variant>
      <vt:variant>
        <vt:i4>1114172</vt:i4>
      </vt:variant>
      <vt:variant>
        <vt:i4>44</vt:i4>
      </vt:variant>
      <vt:variant>
        <vt:i4>0</vt:i4>
      </vt:variant>
      <vt:variant>
        <vt:i4>5</vt:i4>
      </vt:variant>
      <vt:variant>
        <vt:lpwstr/>
      </vt:variant>
      <vt:variant>
        <vt:lpwstr>_Toc177393312</vt:lpwstr>
      </vt:variant>
      <vt:variant>
        <vt:i4>1114172</vt:i4>
      </vt:variant>
      <vt:variant>
        <vt:i4>38</vt:i4>
      </vt:variant>
      <vt:variant>
        <vt:i4>0</vt:i4>
      </vt:variant>
      <vt:variant>
        <vt:i4>5</vt:i4>
      </vt:variant>
      <vt:variant>
        <vt:lpwstr/>
      </vt:variant>
      <vt:variant>
        <vt:lpwstr>_Toc177393311</vt:lpwstr>
      </vt:variant>
      <vt:variant>
        <vt:i4>1114172</vt:i4>
      </vt:variant>
      <vt:variant>
        <vt:i4>32</vt:i4>
      </vt:variant>
      <vt:variant>
        <vt:i4>0</vt:i4>
      </vt:variant>
      <vt:variant>
        <vt:i4>5</vt:i4>
      </vt:variant>
      <vt:variant>
        <vt:lpwstr/>
      </vt:variant>
      <vt:variant>
        <vt:lpwstr>_Toc177393310</vt:lpwstr>
      </vt:variant>
      <vt:variant>
        <vt:i4>1048636</vt:i4>
      </vt:variant>
      <vt:variant>
        <vt:i4>26</vt:i4>
      </vt:variant>
      <vt:variant>
        <vt:i4>0</vt:i4>
      </vt:variant>
      <vt:variant>
        <vt:i4>5</vt:i4>
      </vt:variant>
      <vt:variant>
        <vt:lpwstr/>
      </vt:variant>
      <vt:variant>
        <vt:lpwstr>_Toc177393309</vt:lpwstr>
      </vt:variant>
      <vt:variant>
        <vt:i4>1048636</vt:i4>
      </vt:variant>
      <vt:variant>
        <vt:i4>20</vt:i4>
      </vt:variant>
      <vt:variant>
        <vt:i4>0</vt:i4>
      </vt:variant>
      <vt:variant>
        <vt:i4>5</vt:i4>
      </vt:variant>
      <vt:variant>
        <vt:lpwstr/>
      </vt:variant>
      <vt:variant>
        <vt:lpwstr>_Toc177393308</vt:lpwstr>
      </vt:variant>
      <vt:variant>
        <vt:i4>1048636</vt:i4>
      </vt:variant>
      <vt:variant>
        <vt:i4>14</vt:i4>
      </vt:variant>
      <vt:variant>
        <vt:i4>0</vt:i4>
      </vt:variant>
      <vt:variant>
        <vt:i4>5</vt:i4>
      </vt:variant>
      <vt:variant>
        <vt:lpwstr/>
      </vt:variant>
      <vt:variant>
        <vt:lpwstr>_Toc177393307</vt:lpwstr>
      </vt:variant>
      <vt:variant>
        <vt:i4>1048636</vt:i4>
      </vt:variant>
      <vt:variant>
        <vt:i4>8</vt:i4>
      </vt:variant>
      <vt:variant>
        <vt:i4>0</vt:i4>
      </vt:variant>
      <vt:variant>
        <vt:i4>5</vt:i4>
      </vt:variant>
      <vt:variant>
        <vt:lpwstr/>
      </vt:variant>
      <vt:variant>
        <vt:lpwstr>_Toc177393306</vt:lpwstr>
      </vt:variant>
      <vt:variant>
        <vt:i4>1048636</vt:i4>
      </vt:variant>
      <vt:variant>
        <vt:i4>2</vt:i4>
      </vt:variant>
      <vt:variant>
        <vt:i4>0</vt:i4>
      </vt:variant>
      <vt:variant>
        <vt:i4>5</vt:i4>
      </vt:variant>
      <vt:variant>
        <vt:lpwstr/>
      </vt:variant>
      <vt:variant>
        <vt:lpwstr>_Toc177393305</vt:lpwstr>
      </vt:variant>
      <vt:variant>
        <vt:i4>2883705</vt:i4>
      </vt:variant>
      <vt:variant>
        <vt:i4>138</vt:i4>
      </vt:variant>
      <vt:variant>
        <vt:i4>0</vt:i4>
      </vt:variant>
      <vt:variant>
        <vt:i4>5</vt:i4>
      </vt:variant>
      <vt:variant>
        <vt:lpwstr>https://able.adelaide.edu.au/housing-research/data-gateway/aria</vt:lpwstr>
      </vt:variant>
      <vt:variant>
        <vt:lpwstr/>
      </vt:variant>
      <vt:variant>
        <vt:i4>2162720</vt:i4>
      </vt:variant>
      <vt:variant>
        <vt:i4>135</vt:i4>
      </vt:variant>
      <vt:variant>
        <vt:i4>0</vt:i4>
      </vt:variant>
      <vt:variant>
        <vt:i4>5</vt:i4>
      </vt:variant>
      <vt:variant>
        <vt:lpwstr>https://www.education.gov.au/australian-universities-accord/resources/final-report</vt:lpwstr>
      </vt:variant>
      <vt:variant>
        <vt:lpwstr/>
      </vt:variant>
      <vt:variant>
        <vt:i4>2162720</vt:i4>
      </vt:variant>
      <vt:variant>
        <vt:i4>132</vt:i4>
      </vt:variant>
      <vt:variant>
        <vt:i4>0</vt:i4>
      </vt:variant>
      <vt:variant>
        <vt:i4>5</vt:i4>
      </vt:variant>
      <vt:variant>
        <vt:lpwstr>https://www.education.gov.au/australian-universities-accord/resources/final-report</vt:lpwstr>
      </vt:variant>
      <vt:variant>
        <vt:lpwstr/>
      </vt:variant>
      <vt:variant>
        <vt:i4>4063332</vt:i4>
      </vt:variant>
      <vt:variant>
        <vt:i4>129</vt:i4>
      </vt:variant>
      <vt:variant>
        <vt:i4>0</vt:i4>
      </vt:variant>
      <vt:variant>
        <vt:i4>5</vt:i4>
      </vt:variant>
      <vt:variant>
        <vt:lpwstr>https://course-search.scu.edu.au/s/search.html?f.Location%7Clocation=Coffs+Harbour&amp;f.Tabs%7Cscu%7Edep-courses=Courses&amp;collection=scu%7Escu-dep</vt:lpwstr>
      </vt:variant>
      <vt:variant>
        <vt:lpwstr/>
      </vt:variant>
      <vt:variant>
        <vt:i4>2162694</vt:i4>
      </vt:variant>
      <vt:variant>
        <vt:i4>126</vt:i4>
      </vt:variant>
      <vt:variant>
        <vt:i4>0</vt:i4>
      </vt:variant>
      <vt:variant>
        <vt:i4>5</vt:i4>
      </vt:variant>
      <vt:variant>
        <vt:lpwstr>https://study.csu.edu.au/courses?cid=Google|na|na|na|pros|Sitelink|na&amp;ef_id=CjwKCAjw88yxBhBWEiwA7cm6pbGpsXw-Z7W3J7zULqQw2NzTzXXdsGdIy64M1osbC8A7EJ4URWDPihoC2m8QAvD_BwE:G:s&amp;s_kwcid=AL!875!3!567847113765!e!!g!!charles%20sturt%20university%20port%20macquarie&amp;gad_source=1&amp;gclid=CjwKCAjw88yxBhBWEiwA7cm6pbGpsXw-Z7W3J7zULqQw2NzTzXXdsGdIy64M1osbC8A7EJ4URWDPihoC2m8QAvD_BwE</vt:lpwstr>
      </vt:variant>
      <vt:variant>
        <vt:lpwstr/>
      </vt:variant>
      <vt:variant>
        <vt:i4>2162720</vt:i4>
      </vt:variant>
      <vt:variant>
        <vt:i4>123</vt:i4>
      </vt:variant>
      <vt:variant>
        <vt:i4>0</vt:i4>
      </vt:variant>
      <vt:variant>
        <vt:i4>5</vt:i4>
      </vt:variant>
      <vt:variant>
        <vt:lpwstr>https://www.education.gov.au/australian-universities-accord/resources/final-report</vt:lpwstr>
      </vt:variant>
      <vt:variant>
        <vt:lpwstr/>
      </vt:variant>
      <vt:variant>
        <vt:i4>2162720</vt:i4>
      </vt:variant>
      <vt:variant>
        <vt:i4>120</vt:i4>
      </vt:variant>
      <vt:variant>
        <vt:i4>0</vt:i4>
      </vt:variant>
      <vt:variant>
        <vt:i4>5</vt:i4>
      </vt:variant>
      <vt:variant>
        <vt:lpwstr>https://www.education.gov.au/australian-universities-accord/resources/final-report</vt:lpwstr>
      </vt:variant>
      <vt:variant>
        <vt:lpwstr/>
      </vt:variant>
      <vt:variant>
        <vt:i4>5832814</vt:i4>
      </vt:variant>
      <vt:variant>
        <vt:i4>117</vt:i4>
      </vt:variant>
      <vt:variant>
        <vt:i4>0</vt:i4>
      </vt:variant>
      <vt:variant>
        <vt:i4>5</vt:i4>
      </vt:variant>
      <vt:variant>
        <vt:lpwstr>https://rdamnc.org.au/wp-content/uploads/RDA_Regional_Plan_P10.pdf</vt:lpwstr>
      </vt:variant>
      <vt:variant>
        <vt:lpwstr/>
      </vt:variant>
      <vt:variant>
        <vt:i4>3801195</vt:i4>
      </vt:variant>
      <vt:variant>
        <vt:i4>114</vt:i4>
      </vt:variant>
      <vt:variant>
        <vt:i4>0</vt:i4>
      </vt:variant>
      <vt:variant>
        <vt:i4>5</vt:i4>
      </vt:variant>
      <vt:variant>
        <vt:lpwstr>\\emp.application.enet\50038325\WF Branch\4 Regional Workforce Assessment\Local Jobs Plan work\15. LJP In Depth Profiles\1. Mid North Coast\Conversion to case study\training.gov.au</vt:lpwstr>
      </vt:variant>
      <vt:variant>
        <vt:lpwstr/>
      </vt:variant>
      <vt:variant>
        <vt:i4>6750302</vt:i4>
      </vt:variant>
      <vt:variant>
        <vt:i4>111</vt:i4>
      </vt:variant>
      <vt:variant>
        <vt:i4>0</vt:i4>
      </vt:variant>
      <vt:variant>
        <vt:i4>5</vt:i4>
      </vt:variant>
      <vt:variant>
        <vt:lpwstr>\\emp.application.enet\50038325\WF Branch\4 Regional Workforce Assessment\Local Jobs Plan work\15. LJP In Depth Profiles\1. Mid North Coast\Conversion to case study\www.tafensw.ed.au\locations</vt:lpwstr>
      </vt:variant>
      <vt:variant>
        <vt:lpwstr/>
      </vt:variant>
      <vt:variant>
        <vt:i4>327755</vt:i4>
      </vt:variant>
      <vt:variant>
        <vt:i4>108</vt:i4>
      </vt:variant>
      <vt:variant>
        <vt:i4>0</vt:i4>
      </vt:variant>
      <vt:variant>
        <vt:i4>5</vt:i4>
      </vt:variant>
      <vt:variant>
        <vt:lpwstr>https://www.health.gov.au/sites/default/files/documents/2022/03/national-medical-workforce-strategy-2021-2031.pdf</vt:lpwstr>
      </vt:variant>
      <vt:variant>
        <vt:lpwstr/>
      </vt:variant>
      <vt:variant>
        <vt:i4>3801137</vt:i4>
      </vt:variant>
      <vt:variant>
        <vt:i4>105</vt:i4>
      </vt:variant>
      <vt:variant>
        <vt:i4>0</vt:i4>
      </vt:variant>
      <vt:variant>
        <vt:i4>5</vt:i4>
      </vt:variant>
      <vt:variant>
        <vt:lpwstr>https://www.jobsandskills.gov.au/jobs-and-skills-atlas</vt:lpwstr>
      </vt:variant>
      <vt:variant>
        <vt:lpwstr/>
      </vt:variant>
      <vt:variant>
        <vt:i4>2162720</vt:i4>
      </vt:variant>
      <vt:variant>
        <vt:i4>102</vt:i4>
      </vt:variant>
      <vt:variant>
        <vt:i4>0</vt:i4>
      </vt:variant>
      <vt:variant>
        <vt:i4>5</vt:i4>
      </vt:variant>
      <vt:variant>
        <vt:lpwstr>https://www.education.gov.au/australian-universities-accord/resources/final-report</vt:lpwstr>
      </vt:variant>
      <vt:variant>
        <vt:lpwstr/>
      </vt:variant>
      <vt:variant>
        <vt:i4>4849694</vt:i4>
      </vt:variant>
      <vt:variant>
        <vt:i4>99</vt:i4>
      </vt:variant>
      <vt:variant>
        <vt:i4>0</vt:i4>
      </vt:variant>
      <vt:variant>
        <vt:i4>5</vt:i4>
      </vt:variant>
      <vt:variant>
        <vt:lpwstr>https://www.jobsandskills.gov.au/sites/default/files/2024-04/Recruitment snapshot Mid North Coast.pdf</vt:lpwstr>
      </vt:variant>
      <vt:variant>
        <vt:lpwstr/>
      </vt:variant>
      <vt:variant>
        <vt:i4>3145782</vt:i4>
      </vt:variant>
      <vt:variant>
        <vt:i4>96</vt:i4>
      </vt:variant>
      <vt:variant>
        <vt:i4>0</vt:i4>
      </vt:variant>
      <vt:variant>
        <vt:i4>5</vt:i4>
      </vt:variant>
      <vt:variant>
        <vt:lpwstr>https://www.newsofthearea.com.au/stark-realities-of-mid-north-coast-childcare-crisis-laid-bare</vt:lpwstr>
      </vt:variant>
      <vt:variant>
        <vt:lpwstr/>
      </vt:variant>
      <vt:variant>
        <vt:i4>1310802</vt:i4>
      </vt:variant>
      <vt:variant>
        <vt:i4>93</vt:i4>
      </vt:variant>
      <vt:variant>
        <vt:i4>0</vt:i4>
      </vt:variant>
      <vt:variant>
        <vt:i4>5</vt:i4>
      </vt:variant>
      <vt:variant>
        <vt:lpwstr>https://www.dewr.gov.au/local-jobs/resources/mid-north-coast-local-jobs-plan</vt:lpwstr>
      </vt:variant>
      <vt:variant>
        <vt:lpwstr/>
      </vt:variant>
      <vt:variant>
        <vt:i4>2818155</vt:i4>
      </vt:variant>
      <vt:variant>
        <vt:i4>90</vt:i4>
      </vt:variant>
      <vt:variant>
        <vt:i4>0</vt:i4>
      </vt:variant>
      <vt:variant>
        <vt:i4>5</vt:i4>
      </vt:variant>
      <vt:variant>
        <vt:lpwstr>https://www.jobsandskills.gov.au/sites/default/files/2024-02/Employment Region Maps.pdf</vt:lpwstr>
      </vt:variant>
      <vt:variant>
        <vt:lpwstr/>
      </vt:variant>
      <vt:variant>
        <vt:i4>6946857</vt:i4>
      </vt:variant>
      <vt:variant>
        <vt:i4>87</vt:i4>
      </vt:variant>
      <vt:variant>
        <vt:i4>0</vt:i4>
      </vt:variant>
      <vt:variant>
        <vt:i4>5</vt:i4>
      </vt:variant>
      <vt:variant>
        <vt:lpwstr>https://parlinfo.aph.gov.au/parlInfo/download/committees/commrep/27065/toc_pdf/Employment, Education and Training Committee_2023_07_27.pdf;fileType=application%2Fpdf</vt:lpwstr>
      </vt:variant>
      <vt:variant>
        <vt:lpwstr>search=%22committees/commrep/27065/0000%22</vt:lpwstr>
      </vt:variant>
      <vt:variant>
        <vt:i4>6225992</vt:i4>
      </vt:variant>
      <vt:variant>
        <vt:i4>84</vt:i4>
      </vt:variant>
      <vt:variant>
        <vt:i4>0</vt:i4>
      </vt:variant>
      <vt:variant>
        <vt:i4>5</vt:i4>
      </vt:variant>
      <vt:variant>
        <vt:lpwstr>https://www.ncver.edu.au/__data/assets/pdf_file/0042/9684582/SOS_data_dictionary_updated.pdf</vt:lpwstr>
      </vt:variant>
      <vt:variant>
        <vt:lpwstr/>
      </vt:variant>
      <vt:variant>
        <vt:i4>6684784</vt:i4>
      </vt:variant>
      <vt:variant>
        <vt:i4>81</vt:i4>
      </vt:variant>
      <vt:variant>
        <vt:i4>0</vt:i4>
      </vt:variant>
      <vt:variant>
        <vt:i4>5</vt:i4>
      </vt:variant>
      <vt:variant>
        <vt:lpwstr>https://education.nsw.gov.au/content/dam/main-education/skills/nsw-vet-review/NSW_VET_Review_Discussion_Paper.pdf</vt:lpwstr>
      </vt:variant>
      <vt:variant>
        <vt:lpwstr/>
      </vt:variant>
      <vt:variant>
        <vt:i4>2162720</vt:i4>
      </vt:variant>
      <vt:variant>
        <vt:i4>78</vt:i4>
      </vt:variant>
      <vt:variant>
        <vt:i4>0</vt:i4>
      </vt:variant>
      <vt:variant>
        <vt:i4>5</vt:i4>
      </vt:variant>
      <vt:variant>
        <vt:lpwstr>https://www.education.gov.au/australian-universities-accord/resources/final-report</vt:lpwstr>
      </vt:variant>
      <vt:variant>
        <vt:lpwstr/>
      </vt:variant>
      <vt:variant>
        <vt:i4>2162720</vt:i4>
      </vt:variant>
      <vt:variant>
        <vt:i4>75</vt:i4>
      </vt:variant>
      <vt:variant>
        <vt:i4>0</vt:i4>
      </vt:variant>
      <vt:variant>
        <vt:i4>5</vt:i4>
      </vt:variant>
      <vt:variant>
        <vt:lpwstr>https://www.education.gov.au/australian-universities-accord/resources/final-report</vt:lpwstr>
      </vt:variant>
      <vt:variant>
        <vt:lpwstr/>
      </vt:variant>
      <vt:variant>
        <vt:i4>6881343</vt:i4>
      </vt:variant>
      <vt:variant>
        <vt:i4>72</vt:i4>
      </vt:variant>
      <vt:variant>
        <vt:i4>0</vt:i4>
      </vt:variant>
      <vt:variant>
        <vt:i4>5</vt:i4>
      </vt:variant>
      <vt:variant>
        <vt:lpwstr>https://www.education.gov.au/higher-education/commonwealth-prac-payment</vt:lpwstr>
      </vt:variant>
      <vt:variant>
        <vt:lpwstr/>
      </vt:variant>
      <vt:variant>
        <vt:i4>2162720</vt:i4>
      </vt:variant>
      <vt:variant>
        <vt:i4>69</vt:i4>
      </vt:variant>
      <vt:variant>
        <vt:i4>0</vt:i4>
      </vt:variant>
      <vt:variant>
        <vt:i4>5</vt:i4>
      </vt:variant>
      <vt:variant>
        <vt:lpwstr>https://www.education.gov.au/australian-universities-accord/resources/final-report</vt:lpwstr>
      </vt:variant>
      <vt:variant>
        <vt:lpwstr/>
      </vt:variant>
      <vt:variant>
        <vt:i4>2162720</vt:i4>
      </vt:variant>
      <vt:variant>
        <vt:i4>66</vt:i4>
      </vt:variant>
      <vt:variant>
        <vt:i4>0</vt:i4>
      </vt:variant>
      <vt:variant>
        <vt:i4>5</vt:i4>
      </vt:variant>
      <vt:variant>
        <vt:lpwstr>https://www.education.gov.au/australian-universities-accord/resources/final-report</vt:lpwstr>
      </vt:variant>
      <vt:variant>
        <vt:lpwstr/>
      </vt:variant>
      <vt:variant>
        <vt:i4>2162720</vt:i4>
      </vt:variant>
      <vt:variant>
        <vt:i4>63</vt:i4>
      </vt:variant>
      <vt:variant>
        <vt:i4>0</vt:i4>
      </vt:variant>
      <vt:variant>
        <vt:i4>5</vt:i4>
      </vt:variant>
      <vt:variant>
        <vt:lpwstr>https://www.education.gov.au/australian-universities-accord/resources/final-report</vt:lpwstr>
      </vt:variant>
      <vt:variant>
        <vt:lpwstr/>
      </vt:variant>
      <vt:variant>
        <vt:i4>2162720</vt:i4>
      </vt:variant>
      <vt:variant>
        <vt:i4>60</vt:i4>
      </vt:variant>
      <vt:variant>
        <vt:i4>0</vt:i4>
      </vt:variant>
      <vt:variant>
        <vt:i4>5</vt:i4>
      </vt:variant>
      <vt:variant>
        <vt:lpwstr>https://www.education.gov.au/australian-universities-accord/resources/final-report</vt:lpwstr>
      </vt:variant>
      <vt:variant>
        <vt:lpwstr/>
      </vt:variant>
      <vt:variant>
        <vt:i4>6684709</vt:i4>
      </vt:variant>
      <vt:variant>
        <vt:i4>57</vt:i4>
      </vt:variant>
      <vt:variant>
        <vt:i4>0</vt:i4>
      </vt:variant>
      <vt:variant>
        <vt:i4>5</vt:i4>
      </vt:variant>
      <vt:variant>
        <vt:lpwstr>https://www.run.edu.au/wp-content/uploads/2021/05/RUN-Economic-impact-report-final.pdf</vt:lpwstr>
      </vt:variant>
      <vt:variant>
        <vt:lpwstr/>
      </vt:variant>
      <vt:variant>
        <vt:i4>3997805</vt:i4>
      </vt:variant>
      <vt:variant>
        <vt:i4>54</vt:i4>
      </vt:variant>
      <vt:variant>
        <vt:i4>0</vt:i4>
      </vt:variant>
      <vt:variant>
        <vt:i4>5</vt:i4>
      </vt:variant>
      <vt:variant>
        <vt:lpwstr>https://qilt.edu.au/surveys/graduate-outcomes-survey---longitudinal-(gos-l)</vt:lpwstr>
      </vt:variant>
      <vt:variant>
        <vt:lpwstr/>
      </vt:variant>
      <vt:variant>
        <vt:i4>3997805</vt:i4>
      </vt:variant>
      <vt:variant>
        <vt:i4>51</vt:i4>
      </vt:variant>
      <vt:variant>
        <vt:i4>0</vt:i4>
      </vt:variant>
      <vt:variant>
        <vt:i4>5</vt:i4>
      </vt:variant>
      <vt:variant>
        <vt:lpwstr>https://qilt.edu.au/surveys/graduate-outcomes-survey---longitudinal-(gos-l)</vt:lpwstr>
      </vt:variant>
      <vt:variant>
        <vt:lpwstr/>
      </vt:variant>
      <vt:variant>
        <vt:i4>7274551</vt:i4>
      </vt:variant>
      <vt:variant>
        <vt:i4>48</vt:i4>
      </vt:variant>
      <vt:variant>
        <vt:i4>0</vt:i4>
      </vt:variant>
      <vt:variant>
        <vt:i4>5</vt:i4>
      </vt:variant>
      <vt:variant>
        <vt:lpwstr>C:\Users\sm0298\Downloads\2023-gos-national-report.pdf</vt:lpwstr>
      </vt:variant>
      <vt:variant>
        <vt:lpwstr/>
      </vt:variant>
      <vt:variant>
        <vt:i4>2162720</vt:i4>
      </vt:variant>
      <vt:variant>
        <vt:i4>45</vt:i4>
      </vt:variant>
      <vt:variant>
        <vt:i4>0</vt:i4>
      </vt:variant>
      <vt:variant>
        <vt:i4>5</vt:i4>
      </vt:variant>
      <vt:variant>
        <vt:lpwstr>https://www.education.gov.au/australian-universities-accord/resources/final-report</vt:lpwstr>
      </vt:variant>
      <vt:variant>
        <vt:lpwstr/>
      </vt:variant>
      <vt:variant>
        <vt:i4>6946914</vt:i4>
      </vt:variant>
      <vt:variant>
        <vt:i4>42</vt:i4>
      </vt:variant>
      <vt:variant>
        <vt:i4>0</vt:i4>
      </vt:variant>
      <vt:variant>
        <vt:i4>5</vt:i4>
      </vt:variant>
      <vt:variant>
        <vt:lpwstr>https://www.education.gov.au/higher-education-reviews-and-consultations/national-regional-rural-and-remote-education-strategy</vt:lpwstr>
      </vt:variant>
      <vt:variant>
        <vt:lpwstr>:~:text=Australian%20Government%20Response,Access%20Payment%20for%20regional%20students</vt:lpwstr>
      </vt:variant>
      <vt:variant>
        <vt:i4>524295</vt:i4>
      </vt:variant>
      <vt:variant>
        <vt:i4>39</vt:i4>
      </vt:variant>
      <vt:variant>
        <vt:i4>0</vt:i4>
      </vt:variant>
      <vt:variant>
        <vt:i4>5</vt:i4>
      </vt:variant>
      <vt:variant>
        <vt:lpwstr>https://grattan.edu.au/wp-content/uploads/2018/04/University-attrition-background.pdf</vt:lpwstr>
      </vt:variant>
      <vt:variant>
        <vt:lpwstr/>
      </vt:variant>
      <vt:variant>
        <vt:i4>6291514</vt:i4>
      </vt:variant>
      <vt:variant>
        <vt:i4>36</vt:i4>
      </vt:variant>
      <vt:variant>
        <vt:i4>0</vt:i4>
      </vt:variant>
      <vt:variant>
        <vt:i4>5</vt:i4>
      </vt:variant>
      <vt:variant>
        <vt:lpwstr>https://ministers.education.gov.au/clare/ten-new-study-hubs-regional-australia</vt:lpwstr>
      </vt:variant>
      <vt:variant>
        <vt:lpwstr/>
      </vt:variant>
      <vt:variant>
        <vt:i4>2162720</vt:i4>
      </vt:variant>
      <vt:variant>
        <vt:i4>33</vt:i4>
      </vt:variant>
      <vt:variant>
        <vt:i4>0</vt:i4>
      </vt:variant>
      <vt:variant>
        <vt:i4>5</vt:i4>
      </vt:variant>
      <vt:variant>
        <vt:lpwstr>https://www.education.gov.au/australian-universities-accord/resources/final-report</vt:lpwstr>
      </vt:variant>
      <vt:variant>
        <vt:lpwstr/>
      </vt:variant>
      <vt:variant>
        <vt:i4>6291514</vt:i4>
      </vt:variant>
      <vt:variant>
        <vt:i4>30</vt:i4>
      </vt:variant>
      <vt:variant>
        <vt:i4>0</vt:i4>
      </vt:variant>
      <vt:variant>
        <vt:i4>5</vt:i4>
      </vt:variant>
      <vt:variant>
        <vt:lpwstr>https://ministers.education.gov.au/clare/ten-new-study-hubs-regional-australia</vt:lpwstr>
      </vt:variant>
      <vt:variant>
        <vt:lpwstr/>
      </vt:variant>
      <vt:variant>
        <vt:i4>1376360</vt:i4>
      </vt:variant>
      <vt:variant>
        <vt:i4>27</vt:i4>
      </vt:variant>
      <vt:variant>
        <vt:i4>0</vt:i4>
      </vt:variant>
      <vt:variant>
        <vt:i4>5</vt:i4>
      </vt:variant>
      <vt:variant>
        <vt:lpwstr>https://cef.org.au/more_than_your_atar_distance_study/</vt:lpwstr>
      </vt:variant>
      <vt:variant>
        <vt:lpwstr/>
      </vt:variant>
      <vt:variant>
        <vt:i4>2162720</vt:i4>
      </vt:variant>
      <vt:variant>
        <vt:i4>24</vt:i4>
      </vt:variant>
      <vt:variant>
        <vt:i4>0</vt:i4>
      </vt:variant>
      <vt:variant>
        <vt:i4>5</vt:i4>
      </vt:variant>
      <vt:variant>
        <vt:lpwstr>https://www.education.gov.au/australian-universities-accord/resources/final-report</vt:lpwstr>
      </vt:variant>
      <vt:variant>
        <vt:lpwstr/>
      </vt:variant>
      <vt:variant>
        <vt:i4>4653127</vt:i4>
      </vt:variant>
      <vt:variant>
        <vt:i4>21</vt:i4>
      </vt:variant>
      <vt:variant>
        <vt:i4>0</vt:i4>
      </vt:variant>
      <vt:variant>
        <vt:i4>5</vt:i4>
      </vt:variant>
      <vt:variant>
        <vt:lpwstr>https://www.jobsandskills.gov.au/data/skills-shortages-analysis/skills-priority-list?level=4</vt:lpwstr>
      </vt:variant>
      <vt:variant>
        <vt:lpwstr/>
      </vt:variant>
      <vt:variant>
        <vt:i4>2162720</vt:i4>
      </vt:variant>
      <vt:variant>
        <vt:i4>18</vt:i4>
      </vt:variant>
      <vt:variant>
        <vt:i4>0</vt:i4>
      </vt:variant>
      <vt:variant>
        <vt:i4>5</vt:i4>
      </vt:variant>
      <vt:variant>
        <vt:lpwstr>https://www.education.gov.au/australian-universities-accord/resources/final-report</vt:lpwstr>
      </vt:variant>
      <vt:variant>
        <vt:lpwstr/>
      </vt:variant>
      <vt:variant>
        <vt:i4>2162720</vt:i4>
      </vt:variant>
      <vt:variant>
        <vt:i4>15</vt:i4>
      </vt:variant>
      <vt:variant>
        <vt:i4>0</vt:i4>
      </vt:variant>
      <vt:variant>
        <vt:i4>5</vt:i4>
      </vt:variant>
      <vt:variant>
        <vt:lpwstr>https://www.education.gov.au/australian-universities-accord/resources/final-report</vt:lpwstr>
      </vt:variant>
      <vt:variant>
        <vt:lpwstr/>
      </vt:variant>
      <vt:variant>
        <vt:i4>2162720</vt:i4>
      </vt:variant>
      <vt:variant>
        <vt:i4>12</vt:i4>
      </vt:variant>
      <vt:variant>
        <vt:i4>0</vt:i4>
      </vt:variant>
      <vt:variant>
        <vt:i4>5</vt:i4>
      </vt:variant>
      <vt:variant>
        <vt:lpwstr>https://www.education.gov.au/australian-universities-accord/resources/final-report</vt:lpwstr>
      </vt:variant>
      <vt:variant>
        <vt:lpwstr/>
      </vt:variant>
      <vt:variant>
        <vt:i4>2031627</vt:i4>
      </vt:variant>
      <vt:variant>
        <vt:i4>9</vt:i4>
      </vt:variant>
      <vt:variant>
        <vt:i4>0</vt:i4>
      </vt:variant>
      <vt:variant>
        <vt:i4>5</vt:i4>
      </vt:variant>
      <vt:variant>
        <vt:lpwstr>https://www.jobsandskills.gov.au/data/skills-shortages-analysis</vt:lpwstr>
      </vt:variant>
      <vt:variant>
        <vt:lpwstr>skillsshortagedriv</vt:lpwstr>
      </vt:variant>
      <vt:variant>
        <vt:i4>2031627</vt:i4>
      </vt:variant>
      <vt:variant>
        <vt:i4>6</vt:i4>
      </vt:variant>
      <vt:variant>
        <vt:i4>0</vt:i4>
      </vt:variant>
      <vt:variant>
        <vt:i4>5</vt:i4>
      </vt:variant>
      <vt:variant>
        <vt:lpwstr>https://www.jobsandskills.gov.au/data/skills-shortages-analysis</vt:lpwstr>
      </vt:variant>
      <vt:variant>
        <vt:lpwstr>skillsshortagedriv</vt:lpwstr>
      </vt:variant>
      <vt:variant>
        <vt:i4>2424930</vt:i4>
      </vt:variant>
      <vt:variant>
        <vt:i4>3</vt:i4>
      </vt:variant>
      <vt:variant>
        <vt:i4>0</vt:i4>
      </vt:variant>
      <vt:variant>
        <vt:i4>5</vt:i4>
      </vt:variant>
      <vt:variant>
        <vt:lpwstr>https://www.jobsandskills.gov.au/data/recruitment-experiences-and-outlook-survey/recruitment-methods-used-by-employers</vt:lpwstr>
      </vt:variant>
      <vt:variant>
        <vt:lpwstr/>
      </vt:variant>
      <vt:variant>
        <vt:i4>2359338</vt:i4>
      </vt:variant>
      <vt:variant>
        <vt:i4>0</vt:i4>
      </vt:variant>
      <vt:variant>
        <vt:i4>0</vt:i4>
      </vt:variant>
      <vt:variant>
        <vt:i4>5</vt:i4>
      </vt:variant>
      <vt:variant>
        <vt:lpwstr>https://www.abs.gov.au/statistics/labour/employment-and-unemployment/labour-force-australia/latest-release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Towards a Regional, Rural and Remote Jobs and Skills Roadmap</dc:title>
  <dc:subject>Report</dc:subject>
  <dc:creator>Jobs and Skills Australia</dc:creator>
  <cp:keywords/>
  <dc:description>Use this template to create a JSA report</dc:description>
  <cp:lastModifiedBy>WHIFFEN,Tim</cp:lastModifiedBy>
  <cp:revision>6</cp:revision>
  <cp:lastPrinted>2024-10-14T23:55:00Z</cp:lastPrinted>
  <dcterms:created xsi:type="dcterms:W3CDTF">2024-10-08T05:50:00Z</dcterms:created>
  <dcterms:modified xsi:type="dcterms:W3CDTF">2024-10-14T23:56:00Z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0x01010002B81D2A8C074844941223011A4426D8</vt:lpwstr>
  </property>
  <property fmtid="{D5CDD505-2E9C-101B-9397-08002B2CF9AE}" pid="10" name="MediaServiceImageTags">
    <vt:lpwstr/>
  </property>
</Properties>
</file>