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D3274E" w14:textId="0DD58E2B" w:rsidR="00EE49FB" w:rsidRPr="002D355E" w:rsidRDefault="00DC35F5" w:rsidP="00320647">
      <w:pPr>
        <w:sectPr w:rsidR="00EE49FB" w:rsidRPr="002D355E" w:rsidSect="00385EA9">
          <w:headerReference w:type="default" r:id="rId11"/>
          <w:footerReference w:type="default" r:id="rId12"/>
          <w:headerReference w:type="first" r:id="rId13"/>
          <w:footerReference w:type="first" r:id="rId14"/>
          <w:type w:val="continuous"/>
          <w:pgSz w:w="11906" w:h="16838"/>
          <w:pgMar w:top="1134" w:right="1440" w:bottom="1134" w:left="1440" w:header="0" w:footer="539" w:gutter="0"/>
          <w:pgNumType w:start="1"/>
          <w:cols w:space="708"/>
          <w:titlePg/>
          <w:docGrid w:linePitch="360"/>
        </w:sectPr>
      </w:pPr>
      <w:r w:rsidRPr="002D355E">
        <w:rPr>
          <w:noProof/>
        </w:rPr>
        <w:drawing>
          <wp:anchor distT="0" distB="0" distL="114300" distR="114300" simplePos="0" relativeHeight="251651584" behindDoc="1" locked="0" layoutInCell="1" allowOverlap="1" wp14:anchorId="23C42A40" wp14:editId="150C82BA">
            <wp:simplePos x="0" y="0"/>
            <wp:positionH relativeFrom="page">
              <wp:align>left</wp:align>
            </wp:positionH>
            <wp:positionV relativeFrom="page">
              <wp:posOffset>15240</wp:posOffset>
            </wp:positionV>
            <wp:extent cx="7568565" cy="10701655"/>
            <wp:effectExtent l="0" t="0" r="0" b="4445"/>
            <wp:wrapNone/>
            <wp:docPr id="1604838949" name="Picture 16048389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838949" name="Picture 1604838949">
                      <a:extLst>
                        <a:ext uri="{C183D7F6-B498-43B3-948B-1728B52AA6E4}">
                          <adec:decorative xmlns:adec="http://schemas.microsoft.com/office/drawing/2017/decorative" val="1"/>
                        </a:ext>
                      </a:extLst>
                    </pic:cNvPr>
                    <pic:cNvPicPr/>
                  </pic:nvPicPr>
                  <pic:blipFill>
                    <a:blip r:embed="rId15">
                      <a:extLst>
                        <a:ext uri="{28A0092B-C50C-407E-A947-70E740481C1C}">
                          <a14:useLocalDpi xmlns:a14="http://schemas.microsoft.com/office/drawing/2010/main" val="0"/>
                        </a:ext>
                      </a:extLst>
                    </a:blip>
                    <a:stretch>
                      <a:fillRect/>
                    </a:stretch>
                  </pic:blipFill>
                  <pic:spPr>
                    <a:xfrm>
                      <a:off x="0" y="0"/>
                      <a:ext cx="7569016" cy="10702119"/>
                    </a:xfrm>
                    <a:prstGeom prst="rect">
                      <a:avLst/>
                    </a:prstGeom>
                  </pic:spPr>
                </pic:pic>
              </a:graphicData>
            </a:graphic>
            <wp14:sizeRelH relativeFrom="margin">
              <wp14:pctWidth>0</wp14:pctWidth>
            </wp14:sizeRelH>
            <wp14:sizeRelV relativeFrom="margin">
              <wp14:pctHeight>0</wp14:pctHeight>
            </wp14:sizeRelV>
          </wp:anchor>
        </w:drawing>
      </w:r>
      <w:r w:rsidR="00541426" w:rsidRPr="002D355E">
        <w:rPr>
          <w:noProof/>
        </w:rPr>
        <mc:AlternateContent>
          <mc:Choice Requires="wps">
            <w:drawing>
              <wp:anchor distT="45720" distB="45720" distL="114300" distR="114300" simplePos="0" relativeHeight="251672064" behindDoc="0" locked="0" layoutInCell="1" allowOverlap="1" wp14:anchorId="122B4FE3" wp14:editId="1BFFE33A">
                <wp:simplePos x="0" y="0"/>
                <wp:positionH relativeFrom="margin">
                  <wp:posOffset>-245745</wp:posOffset>
                </wp:positionH>
                <wp:positionV relativeFrom="paragraph">
                  <wp:posOffset>1941195</wp:posOffset>
                </wp:positionV>
                <wp:extent cx="4749165" cy="1404620"/>
                <wp:effectExtent l="0" t="0" r="0" b="5080"/>
                <wp:wrapSquare wrapText="bothSides"/>
                <wp:docPr id="217" name="Text Box 2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9165" cy="1404620"/>
                        </a:xfrm>
                        <a:prstGeom prst="rect">
                          <a:avLst/>
                        </a:prstGeom>
                        <a:noFill/>
                        <a:ln w="9525">
                          <a:noFill/>
                          <a:miter lim="800000"/>
                          <a:headEnd/>
                          <a:tailEnd/>
                        </a:ln>
                      </wps:spPr>
                      <wps:txbx>
                        <w:txbxContent>
                          <w:p w14:paraId="5EA85C09" w14:textId="0697CF28" w:rsidR="00541426" w:rsidRPr="00B93C08" w:rsidRDefault="00541426">
                            <w:pPr>
                              <w:rPr>
                                <w:b/>
                                <w:color w:val="FFFFFF" w:themeColor="background1"/>
                                <w:sz w:val="96"/>
                                <w:szCs w:val="96"/>
                              </w:rPr>
                            </w:pPr>
                            <w:r w:rsidRPr="00B93C08">
                              <w:rPr>
                                <w:b/>
                                <w:color w:val="FFFFFF" w:themeColor="background1"/>
                                <w:sz w:val="96"/>
                                <w:szCs w:val="96"/>
                              </w:rPr>
                              <w:t xml:space="preserve">Labour Market </w:t>
                            </w:r>
                            <w:r w:rsidR="00A41443" w:rsidRPr="00B93C08">
                              <w:rPr>
                                <w:b/>
                                <w:color w:val="FFFFFF" w:themeColor="background1"/>
                                <w:sz w:val="96"/>
                                <w:szCs w:val="96"/>
                              </w:rPr>
                              <w:t>Update</w:t>
                            </w:r>
                          </w:p>
                          <w:p w14:paraId="002E79BB" w14:textId="77777777" w:rsidR="00DC35F5" w:rsidRPr="00B93C08" w:rsidRDefault="00DC35F5">
                            <w:pPr>
                              <w:rPr>
                                <w:b/>
                                <w:color w:val="FFFFFF" w:themeColor="background1"/>
                                <w:sz w:val="96"/>
                                <w:szCs w:val="96"/>
                              </w:rPr>
                            </w:pPr>
                          </w:p>
                          <w:p w14:paraId="1E26EA95" w14:textId="5CF7B257" w:rsidR="00DC35F5" w:rsidRPr="00B93C08" w:rsidRDefault="009E133D">
                            <w:pPr>
                              <w:rPr>
                                <w:bCs/>
                                <w:color w:val="FFFFFF" w:themeColor="background1"/>
                                <w:sz w:val="52"/>
                                <w:szCs w:val="52"/>
                              </w:rPr>
                            </w:pPr>
                            <w:r>
                              <w:rPr>
                                <w:bCs/>
                                <w:color w:val="FFFFFF" w:themeColor="background1"/>
                                <w:sz w:val="52"/>
                                <w:szCs w:val="52"/>
                              </w:rPr>
                              <w:t>June</w:t>
                            </w:r>
                            <w:r w:rsidR="00DC35F5" w:rsidRPr="00B93C08">
                              <w:rPr>
                                <w:bCs/>
                                <w:color w:val="FFFFFF" w:themeColor="background1"/>
                                <w:sz w:val="52"/>
                                <w:szCs w:val="52"/>
                              </w:rPr>
                              <w:t xml:space="preserve"> 2024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22B4FE3" id="_x0000_t202" coordsize="21600,21600" o:spt="202" path="m,l,21600r21600,l21600,xe">
                <v:stroke joinstyle="miter"/>
                <v:path gradientshapeok="t" o:connecttype="rect"/>
              </v:shapetype>
              <v:shape id="Text Box 217" o:spid="_x0000_s1026" type="#_x0000_t202" alt="&quot;&quot;" style="position:absolute;margin-left:-19.35pt;margin-top:152.85pt;width:373.95pt;height:110.6pt;z-index:2516720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" filled="f" stroked="f">
                <v:textbox style="mso-fit-shape-to-text:t">
                  <w:txbxContent>
                    <w:p w14:paraId="5EA85C09" w14:textId="0697CF28" w:rsidR="00541426" w:rsidRPr="00B93C08" w:rsidRDefault="00541426">
                      <w:pPr>
                        <w:rPr>
                          <w:b/>
                          <w:color w:val="FFFFFF" w:themeColor="background1"/>
                          <w:sz w:val="96"/>
                          <w:szCs w:val="96"/>
                        </w:rPr>
                      </w:pPr>
                      <w:r w:rsidRPr="00B93C08">
                        <w:rPr>
                          <w:b/>
                          <w:color w:val="FFFFFF" w:themeColor="background1"/>
                          <w:sz w:val="96"/>
                          <w:szCs w:val="96"/>
                        </w:rPr>
                        <w:t xml:space="preserve">Labour Market </w:t>
                      </w:r>
                      <w:r w:rsidR="00A41443" w:rsidRPr="00B93C08">
                        <w:rPr>
                          <w:b/>
                          <w:color w:val="FFFFFF" w:themeColor="background1"/>
                          <w:sz w:val="96"/>
                          <w:szCs w:val="96"/>
                        </w:rPr>
                        <w:t>Update</w:t>
                      </w:r>
                    </w:p>
                    <w:p w14:paraId="002E79BB" w14:textId="77777777" w:rsidR="00DC35F5" w:rsidRPr="00B93C08" w:rsidRDefault="00DC35F5">
                      <w:pPr>
                        <w:rPr>
                          <w:b/>
                          <w:color w:val="FFFFFF" w:themeColor="background1"/>
                          <w:sz w:val="96"/>
                          <w:szCs w:val="96"/>
                        </w:rPr>
                      </w:pPr>
                    </w:p>
                    <w:p w14:paraId="1E26EA95" w14:textId="5CF7B257" w:rsidR="00DC35F5" w:rsidRPr="00B93C08" w:rsidRDefault="009E133D">
                      <w:pPr>
                        <w:rPr>
                          <w:bCs/>
                          <w:color w:val="FFFFFF" w:themeColor="background1"/>
                          <w:sz w:val="52"/>
                          <w:szCs w:val="52"/>
                        </w:rPr>
                      </w:pPr>
                      <w:r>
                        <w:rPr>
                          <w:bCs/>
                          <w:color w:val="FFFFFF" w:themeColor="background1"/>
                          <w:sz w:val="52"/>
                          <w:szCs w:val="52"/>
                        </w:rPr>
                        <w:t>June</w:t>
                      </w:r>
                      <w:r w:rsidR="00DC35F5" w:rsidRPr="00B93C08">
                        <w:rPr>
                          <w:bCs/>
                          <w:color w:val="FFFFFF" w:themeColor="background1"/>
                          <w:sz w:val="52"/>
                          <w:szCs w:val="52"/>
                        </w:rPr>
                        <w:t xml:space="preserve"> 2024</w:t>
                      </w:r>
                    </w:p>
                  </w:txbxContent>
                </v:textbox>
                <w10:wrap type="square" anchorx="margin"/>
              </v:shape>
            </w:pict>
          </mc:Fallback>
        </mc:AlternateContent>
      </w:r>
      <w:r w:rsidR="00997F6C" w:rsidRPr="002D355E">
        <w:rPr>
          <w:noProof/>
        </w:rPr>
        <w:drawing>
          <wp:inline distT="0" distB="0" distL="0" distR="0" wp14:anchorId="202EBB92" wp14:editId="2CB65A49">
            <wp:extent cx="3294580" cy="715784"/>
            <wp:effectExtent l="0" t="0" r="1270" b="8255"/>
            <wp:docPr id="717505474" name="Picture 717505474" descr="Australian Government Jobs and Skills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505474" name="Picture 1" descr="Australian Government Jobs and Skills Australia"/>
                    <pic:cNvPicPr/>
                  </pic:nvPicPr>
                  <pic:blipFill>
                    <a:blip r:embed="rId16">
                      <a:clrChange>
                        <a:clrFrom>
                          <a:srgbClr val="39066B"/>
                        </a:clrFrom>
                        <a:clrTo>
                          <a:srgbClr val="39066B">
                            <a:alpha val="0"/>
                          </a:srgbClr>
                        </a:clrTo>
                      </a:clrChange>
                    </a:blip>
                    <a:stretch>
                      <a:fillRect/>
                    </a:stretch>
                  </pic:blipFill>
                  <pic:spPr>
                    <a:xfrm>
                      <a:off x="0" y="0"/>
                      <a:ext cx="3524334" cy="765701"/>
                    </a:xfrm>
                    <a:prstGeom prst="rect">
                      <a:avLst/>
                    </a:prstGeom>
                  </pic:spPr>
                </pic:pic>
              </a:graphicData>
            </a:graphic>
          </wp:inline>
        </w:drawing>
      </w:r>
    </w:p>
    <w:p w14:paraId="2C9651D4" w14:textId="38657BE5" w:rsidR="00B11937" w:rsidRPr="002D355E" w:rsidRDefault="00B11937" w:rsidP="00320647">
      <w:pPr>
        <w:pStyle w:val="TOCHeading"/>
        <w:rPr>
          <w:lang w:val="en-AU"/>
        </w:rPr>
      </w:pPr>
      <w:r w:rsidRPr="002D355E">
        <w:rPr>
          <w:lang w:val="en-AU"/>
        </w:rPr>
        <w:lastRenderedPageBreak/>
        <w:t>Contents</w:t>
      </w:r>
    </w:p>
    <w:p w14:paraId="3F400E42" w14:textId="0E0C82D7" w:rsidR="00377DC0" w:rsidRDefault="00B11937">
      <w:pPr>
        <w:pStyle w:val="TOC1"/>
        <w:tabs>
          <w:tab w:val="right" w:leader="dot" w:pos="9016"/>
        </w:tabs>
        <w:rPr>
          <w:rFonts w:asciiTheme="minorHAnsi" w:eastAsiaTheme="minorEastAsia" w:hAnsiTheme="minorHAnsi"/>
          <w:b w:val="0"/>
          <w:noProof/>
          <w:color w:val="auto"/>
          <w:kern w:val="2"/>
          <w:sz w:val="24"/>
          <w:szCs w:val="24"/>
          <w:lang w:eastAsia="en-AU"/>
          <w14:ligatures w14:val="standardContextual"/>
        </w:rPr>
      </w:pPr>
      <w:r w:rsidRPr="002D355E">
        <w:fldChar w:fldCharType="begin"/>
      </w:r>
      <w:r w:rsidRPr="002D355E">
        <w:instrText xml:space="preserve"> TOC \o "1-3" \h \z \u </w:instrText>
      </w:r>
      <w:r w:rsidRPr="002D355E">
        <w:fldChar w:fldCharType="separate"/>
      </w:r>
      <w:hyperlink w:anchor="_Toc174691119" w:history="1">
        <w:r w:rsidR="00377DC0" w:rsidRPr="00EB0C66">
          <w:rPr>
            <w:rStyle w:val="Hyperlink"/>
            <w:noProof/>
          </w:rPr>
          <w:t>Executive summary</w:t>
        </w:r>
        <w:r w:rsidR="00377DC0">
          <w:rPr>
            <w:noProof/>
            <w:webHidden/>
          </w:rPr>
          <w:tab/>
        </w:r>
        <w:r w:rsidR="00377DC0">
          <w:rPr>
            <w:noProof/>
            <w:webHidden/>
          </w:rPr>
          <w:fldChar w:fldCharType="begin"/>
        </w:r>
        <w:r w:rsidR="00377DC0">
          <w:rPr>
            <w:noProof/>
            <w:webHidden/>
          </w:rPr>
          <w:instrText xml:space="preserve"> PAGEREF _Toc174691119 \h </w:instrText>
        </w:r>
        <w:r w:rsidR="00377DC0">
          <w:rPr>
            <w:noProof/>
            <w:webHidden/>
          </w:rPr>
        </w:r>
        <w:r w:rsidR="00377DC0">
          <w:rPr>
            <w:noProof/>
            <w:webHidden/>
          </w:rPr>
          <w:fldChar w:fldCharType="separate"/>
        </w:r>
        <w:r w:rsidR="00C2668F">
          <w:rPr>
            <w:noProof/>
            <w:webHidden/>
          </w:rPr>
          <w:t>1</w:t>
        </w:r>
        <w:r w:rsidR="00377DC0">
          <w:rPr>
            <w:noProof/>
            <w:webHidden/>
          </w:rPr>
          <w:fldChar w:fldCharType="end"/>
        </w:r>
      </w:hyperlink>
    </w:p>
    <w:p w14:paraId="176FD1B8" w14:textId="1D26ABF1" w:rsidR="00377DC0" w:rsidRDefault="00C2668F">
      <w:pPr>
        <w:pStyle w:val="TOC1"/>
        <w:tabs>
          <w:tab w:val="right" w:leader="dot" w:pos="9016"/>
        </w:tabs>
        <w:rPr>
          <w:rFonts w:asciiTheme="minorHAnsi" w:eastAsiaTheme="minorEastAsia" w:hAnsiTheme="minorHAnsi"/>
          <w:b w:val="0"/>
          <w:noProof/>
          <w:color w:val="auto"/>
          <w:kern w:val="2"/>
          <w:sz w:val="24"/>
          <w:szCs w:val="24"/>
          <w:lang w:eastAsia="en-AU"/>
          <w14:ligatures w14:val="standardContextual"/>
        </w:rPr>
      </w:pPr>
      <w:hyperlink w:anchor="_Toc174691120" w:history="1">
        <w:r w:rsidR="00377DC0" w:rsidRPr="00EB0C66">
          <w:rPr>
            <w:rStyle w:val="Hyperlink"/>
            <w:noProof/>
          </w:rPr>
          <w:t>The June quarter labour market</w:t>
        </w:r>
        <w:r w:rsidR="00377DC0">
          <w:rPr>
            <w:noProof/>
            <w:webHidden/>
          </w:rPr>
          <w:tab/>
        </w:r>
        <w:r w:rsidR="00377DC0">
          <w:rPr>
            <w:noProof/>
            <w:webHidden/>
          </w:rPr>
          <w:fldChar w:fldCharType="begin"/>
        </w:r>
        <w:r w:rsidR="00377DC0">
          <w:rPr>
            <w:noProof/>
            <w:webHidden/>
          </w:rPr>
          <w:instrText xml:space="preserve"> PAGEREF _Toc174691120 \h </w:instrText>
        </w:r>
        <w:r w:rsidR="00377DC0">
          <w:rPr>
            <w:noProof/>
            <w:webHidden/>
          </w:rPr>
        </w:r>
        <w:r w:rsidR="00377DC0">
          <w:rPr>
            <w:noProof/>
            <w:webHidden/>
          </w:rPr>
          <w:fldChar w:fldCharType="separate"/>
        </w:r>
        <w:r>
          <w:rPr>
            <w:noProof/>
            <w:webHidden/>
          </w:rPr>
          <w:t>3</w:t>
        </w:r>
        <w:r w:rsidR="00377DC0">
          <w:rPr>
            <w:noProof/>
            <w:webHidden/>
          </w:rPr>
          <w:fldChar w:fldCharType="end"/>
        </w:r>
      </w:hyperlink>
    </w:p>
    <w:p w14:paraId="37CD4E38" w14:textId="3F962C46" w:rsidR="00377DC0" w:rsidRDefault="00C2668F">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174691121" w:history="1">
        <w:r w:rsidR="00377DC0" w:rsidRPr="00EB0C66">
          <w:rPr>
            <w:rStyle w:val="Hyperlink"/>
            <w:noProof/>
          </w:rPr>
          <w:t>Employment has been resilient across geographies</w:t>
        </w:r>
        <w:r w:rsidR="00377DC0">
          <w:rPr>
            <w:noProof/>
            <w:webHidden/>
          </w:rPr>
          <w:tab/>
        </w:r>
        <w:r w:rsidR="00377DC0">
          <w:rPr>
            <w:noProof/>
            <w:webHidden/>
          </w:rPr>
          <w:fldChar w:fldCharType="begin"/>
        </w:r>
        <w:r w:rsidR="00377DC0">
          <w:rPr>
            <w:noProof/>
            <w:webHidden/>
          </w:rPr>
          <w:instrText xml:space="preserve"> PAGEREF _Toc174691121 \h </w:instrText>
        </w:r>
        <w:r w:rsidR="00377DC0">
          <w:rPr>
            <w:noProof/>
            <w:webHidden/>
          </w:rPr>
        </w:r>
        <w:r w:rsidR="00377DC0">
          <w:rPr>
            <w:noProof/>
            <w:webHidden/>
          </w:rPr>
          <w:fldChar w:fldCharType="separate"/>
        </w:r>
        <w:r>
          <w:rPr>
            <w:noProof/>
            <w:webHidden/>
          </w:rPr>
          <w:t>5</w:t>
        </w:r>
        <w:r w:rsidR="00377DC0">
          <w:rPr>
            <w:noProof/>
            <w:webHidden/>
          </w:rPr>
          <w:fldChar w:fldCharType="end"/>
        </w:r>
      </w:hyperlink>
    </w:p>
    <w:p w14:paraId="5A3E9408" w14:textId="0B0DF6A7" w:rsidR="00377DC0" w:rsidRDefault="00C2668F">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174691122" w:history="1">
        <w:r w:rsidR="00377DC0" w:rsidRPr="00EB0C66">
          <w:rPr>
            <w:rStyle w:val="Hyperlink"/>
            <w:noProof/>
          </w:rPr>
          <w:t>Employment outcomes have varied by industry, occupation and skill level</w:t>
        </w:r>
        <w:r w:rsidR="00377DC0">
          <w:rPr>
            <w:noProof/>
            <w:webHidden/>
          </w:rPr>
          <w:tab/>
        </w:r>
        <w:r w:rsidR="00377DC0">
          <w:rPr>
            <w:noProof/>
            <w:webHidden/>
          </w:rPr>
          <w:fldChar w:fldCharType="begin"/>
        </w:r>
        <w:r w:rsidR="00377DC0">
          <w:rPr>
            <w:noProof/>
            <w:webHidden/>
          </w:rPr>
          <w:instrText xml:space="preserve"> PAGEREF _Toc174691122 \h </w:instrText>
        </w:r>
        <w:r w:rsidR="00377DC0">
          <w:rPr>
            <w:noProof/>
            <w:webHidden/>
          </w:rPr>
        </w:r>
        <w:r w:rsidR="00377DC0">
          <w:rPr>
            <w:noProof/>
            <w:webHidden/>
          </w:rPr>
          <w:fldChar w:fldCharType="separate"/>
        </w:r>
        <w:r>
          <w:rPr>
            <w:noProof/>
            <w:webHidden/>
          </w:rPr>
          <w:t>6</w:t>
        </w:r>
        <w:r w:rsidR="00377DC0">
          <w:rPr>
            <w:noProof/>
            <w:webHidden/>
          </w:rPr>
          <w:fldChar w:fldCharType="end"/>
        </w:r>
      </w:hyperlink>
    </w:p>
    <w:p w14:paraId="2DC1E102" w14:textId="18D18B4A" w:rsidR="00377DC0" w:rsidRDefault="00C2668F">
      <w:pPr>
        <w:pStyle w:val="TOC1"/>
        <w:tabs>
          <w:tab w:val="right" w:leader="dot" w:pos="9016"/>
        </w:tabs>
        <w:rPr>
          <w:rFonts w:asciiTheme="minorHAnsi" w:eastAsiaTheme="minorEastAsia" w:hAnsiTheme="minorHAnsi"/>
          <w:b w:val="0"/>
          <w:noProof/>
          <w:color w:val="auto"/>
          <w:kern w:val="2"/>
          <w:sz w:val="24"/>
          <w:szCs w:val="24"/>
          <w:lang w:eastAsia="en-AU"/>
          <w14:ligatures w14:val="standardContextual"/>
        </w:rPr>
      </w:pPr>
      <w:hyperlink w:anchor="_Toc174691123" w:history="1">
        <w:r w:rsidR="00377DC0" w:rsidRPr="00EB0C66">
          <w:rPr>
            <w:rStyle w:val="Hyperlink"/>
            <w:noProof/>
          </w:rPr>
          <w:t>Labour demand indicators are weaker</w:t>
        </w:r>
        <w:r w:rsidR="00377DC0">
          <w:rPr>
            <w:noProof/>
            <w:webHidden/>
          </w:rPr>
          <w:tab/>
        </w:r>
        <w:r w:rsidR="00377DC0">
          <w:rPr>
            <w:noProof/>
            <w:webHidden/>
          </w:rPr>
          <w:fldChar w:fldCharType="begin"/>
        </w:r>
        <w:r w:rsidR="00377DC0">
          <w:rPr>
            <w:noProof/>
            <w:webHidden/>
          </w:rPr>
          <w:instrText xml:space="preserve"> PAGEREF _Toc174691123 \h </w:instrText>
        </w:r>
        <w:r w:rsidR="00377DC0">
          <w:rPr>
            <w:noProof/>
            <w:webHidden/>
          </w:rPr>
        </w:r>
        <w:r w:rsidR="00377DC0">
          <w:rPr>
            <w:noProof/>
            <w:webHidden/>
          </w:rPr>
          <w:fldChar w:fldCharType="separate"/>
        </w:r>
        <w:r>
          <w:rPr>
            <w:noProof/>
            <w:webHidden/>
          </w:rPr>
          <w:t>8</w:t>
        </w:r>
        <w:r w:rsidR="00377DC0">
          <w:rPr>
            <w:noProof/>
            <w:webHidden/>
          </w:rPr>
          <w:fldChar w:fldCharType="end"/>
        </w:r>
      </w:hyperlink>
    </w:p>
    <w:p w14:paraId="01E1C500" w14:textId="5EDD6BBB" w:rsidR="00377DC0" w:rsidRDefault="00C2668F">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174691124" w:history="1">
        <w:r w:rsidR="00377DC0" w:rsidRPr="00EB0C66">
          <w:rPr>
            <w:rStyle w:val="Hyperlink"/>
            <w:noProof/>
          </w:rPr>
          <w:t>Jobs are more competitive</w:t>
        </w:r>
        <w:r w:rsidR="00377DC0">
          <w:rPr>
            <w:noProof/>
            <w:webHidden/>
          </w:rPr>
          <w:tab/>
        </w:r>
        <w:r w:rsidR="00377DC0">
          <w:rPr>
            <w:noProof/>
            <w:webHidden/>
          </w:rPr>
          <w:fldChar w:fldCharType="begin"/>
        </w:r>
        <w:r w:rsidR="00377DC0">
          <w:rPr>
            <w:noProof/>
            <w:webHidden/>
          </w:rPr>
          <w:instrText xml:space="preserve"> PAGEREF _Toc174691124 \h </w:instrText>
        </w:r>
        <w:r w:rsidR="00377DC0">
          <w:rPr>
            <w:noProof/>
            <w:webHidden/>
          </w:rPr>
        </w:r>
        <w:r w:rsidR="00377DC0">
          <w:rPr>
            <w:noProof/>
            <w:webHidden/>
          </w:rPr>
          <w:fldChar w:fldCharType="separate"/>
        </w:r>
        <w:r>
          <w:rPr>
            <w:noProof/>
            <w:webHidden/>
          </w:rPr>
          <w:t>9</w:t>
        </w:r>
        <w:r w:rsidR="00377DC0">
          <w:rPr>
            <w:noProof/>
            <w:webHidden/>
          </w:rPr>
          <w:fldChar w:fldCharType="end"/>
        </w:r>
      </w:hyperlink>
    </w:p>
    <w:p w14:paraId="4D4F381D" w14:textId="56BB5826" w:rsidR="00377DC0" w:rsidRDefault="00C2668F">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174691125" w:history="1">
        <w:r w:rsidR="00377DC0" w:rsidRPr="00EB0C66">
          <w:rPr>
            <w:rStyle w:val="Hyperlink"/>
            <w:noProof/>
          </w:rPr>
          <w:t>Recruitment difficulties are easing</w:t>
        </w:r>
        <w:r w:rsidR="00377DC0">
          <w:rPr>
            <w:noProof/>
            <w:webHidden/>
          </w:rPr>
          <w:tab/>
        </w:r>
        <w:r w:rsidR="00377DC0">
          <w:rPr>
            <w:noProof/>
            <w:webHidden/>
          </w:rPr>
          <w:fldChar w:fldCharType="begin"/>
        </w:r>
        <w:r w:rsidR="00377DC0">
          <w:rPr>
            <w:noProof/>
            <w:webHidden/>
          </w:rPr>
          <w:instrText xml:space="preserve"> PAGEREF _Toc174691125 \h </w:instrText>
        </w:r>
        <w:r w:rsidR="00377DC0">
          <w:rPr>
            <w:noProof/>
            <w:webHidden/>
          </w:rPr>
        </w:r>
        <w:r w:rsidR="00377DC0">
          <w:rPr>
            <w:noProof/>
            <w:webHidden/>
          </w:rPr>
          <w:fldChar w:fldCharType="separate"/>
        </w:r>
        <w:r>
          <w:rPr>
            <w:noProof/>
            <w:webHidden/>
          </w:rPr>
          <w:t>12</w:t>
        </w:r>
        <w:r w:rsidR="00377DC0">
          <w:rPr>
            <w:noProof/>
            <w:webHidden/>
          </w:rPr>
          <w:fldChar w:fldCharType="end"/>
        </w:r>
      </w:hyperlink>
    </w:p>
    <w:p w14:paraId="73288355" w14:textId="41FEA957" w:rsidR="00377DC0" w:rsidRDefault="00C2668F">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174691126" w:history="1">
        <w:r w:rsidR="00377DC0" w:rsidRPr="00EB0C66">
          <w:rPr>
            <w:rStyle w:val="Hyperlink"/>
            <w:noProof/>
          </w:rPr>
          <w:t>In focus: Examining fill rates and hourly earnings of occupations</w:t>
        </w:r>
        <w:r w:rsidR="00377DC0">
          <w:rPr>
            <w:noProof/>
            <w:webHidden/>
          </w:rPr>
          <w:tab/>
        </w:r>
        <w:r w:rsidR="00377DC0">
          <w:rPr>
            <w:noProof/>
            <w:webHidden/>
          </w:rPr>
          <w:fldChar w:fldCharType="begin"/>
        </w:r>
        <w:r w:rsidR="00377DC0">
          <w:rPr>
            <w:noProof/>
            <w:webHidden/>
          </w:rPr>
          <w:instrText xml:space="preserve"> PAGEREF _Toc174691126 \h </w:instrText>
        </w:r>
        <w:r w:rsidR="00377DC0">
          <w:rPr>
            <w:noProof/>
            <w:webHidden/>
          </w:rPr>
        </w:r>
        <w:r w:rsidR="00377DC0">
          <w:rPr>
            <w:noProof/>
            <w:webHidden/>
          </w:rPr>
          <w:fldChar w:fldCharType="separate"/>
        </w:r>
        <w:r>
          <w:rPr>
            <w:noProof/>
            <w:webHidden/>
          </w:rPr>
          <w:t>15</w:t>
        </w:r>
        <w:r w:rsidR="00377DC0">
          <w:rPr>
            <w:noProof/>
            <w:webHidden/>
          </w:rPr>
          <w:fldChar w:fldCharType="end"/>
        </w:r>
      </w:hyperlink>
    </w:p>
    <w:p w14:paraId="744339B4" w14:textId="33822B05" w:rsidR="00377DC0" w:rsidRDefault="00C2668F">
      <w:pPr>
        <w:pStyle w:val="TOC1"/>
        <w:tabs>
          <w:tab w:val="right" w:leader="dot" w:pos="9016"/>
        </w:tabs>
        <w:rPr>
          <w:rFonts w:asciiTheme="minorHAnsi" w:eastAsiaTheme="minorEastAsia" w:hAnsiTheme="minorHAnsi"/>
          <w:b w:val="0"/>
          <w:noProof/>
          <w:color w:val="auto"/>
          <w:kern w:val="2"/>
          <w:sz w:val="24"/>
          <w:szCs w:val="24"/>
          <w:lang w:eastAsia="en-AU"/>
          <w14:ligatures w14:val="standardContextual"/>
        </w:rPr>
      </w:pPr>
      <w:hyperlink w:anchor="_Toc174691127" w:history="1">
        <w:r w:rsidR="00377DC0" w:rsidRPr="00EB0C66">
          <w:rPr>
            <w:rStyle w:val="Hyperlink"/>
            <w:noProof/>
          </w:rPr>
          <w:t>Jobs and Skills Australia resources</w:t>
        </w:r>
        <w:r w:rsidR="00377DC0">
          <w:rPr>
            <w:noProof/>
            <w:webHidden/>
          </w:rPr>
          <w:tab/>
        </w:r>
        <w:r w:rsidR="00377DC0">
          <w:rPr>
            <w:noProof/>
            <w:webHidden/>
          </w:rPr>
          <w:fldChar w:fldCharType="begin"/>
        </w:r>
        <w:r w:rsidR="00377DC0">
          <w:rPr>
            <w:noProof/>
            <w:webHidden/>
          </w:rPr>
          <w:instrText xml:space="preserve"> PAGEREF _Toc174691127 \h </w:instrText>
        </w:r>
        <w:r w:rsidR="00377DC0">
          <w:rPr>
            <w:noProof/>
            <w:webHidden/>
          </w:rPr>
        </w:r>
        <w:r w:rsidR="00377DC0">
          <w:rPr>
            <w:noProof/>
            <w:webHidden/>
          </w:rPr>
          <w:fldChar w:fldCharType="separate"/>
        </w:r>
        <w:r>
          <w:rPr>
            <w:noProof/>
            <w:webHidden/>
          </w:rPr>
          <w:t>16</w:t>
        </w:r>
        <w:r w:rsidR="00377DC0">
          <w:rPr>
            <w:noProof/>
            <w:webHidden/>
          </w:rPr>
          <w:fldChar w:fldCharType="end"/>
        </w:r>
      </w:hyperlink>
    </w:p>
    <w:p w14:paraId="5D323E67" w14:textId="5209A8E6" w:rsidR="007D1020" w:rsidRPr="002D355E" w:rsidRDefault="00B11937" w:rsidP="00320647">
      <w:pPr>
        <w:spacing w:after="160" w:line="259" w:lineRule="auto"/>
      </w:pPr>
      <w:r w:rsidRPr="002D355E">
        <w:fldChar w:fldCharType="end"/>
      </w:r>
    </w:p>
    <w:p w14:paraId="30D00198" w14:textId="77777777" w:rsidR="007D1020" w:rsidRPr="002D355E" w:rsidRDefault="007D1020" w:rsidP="00320647">
      <w:pPr>
        <w:spacing w:after="160" w:line="259" w:lineRule="auto"/>
      </w:pPr>
    </w:p>
    <w:p w14:paraId="575B21EE" w14:textId="77777777" w:rsidR="007D1020" w:rsidRPr="002D355E" w:rsidRDefault="007D1020" w:rsidP="00320647">
      <w:pPr>
        <w:spacing w:after="160" w:line="259" w:lineRule="auto"/>
      </w:pPr>
    </w:p>
    <w:p w14:paraId="125F88DC" w14:textId="77777777" w:rsidR="006A35A8" w:rsidRPr="002D355E" w:rsidRDefault="006A35A8" w:rsidP="00320647">
      <w:pPr>
        <w:spacing w:after="160" w:line="259" w:lineRule="auto"/>
      </w:pPr>
    </w:p>
    <w:p w14:paraId="3241F667" w14:textId="77777777" w:rsidR="006A35A8" w:rsidRPr="002D355E" w:rsidRDefault="006A35A8" w:rsidP="00320647">
      <w:pPr>
        <w:spacing w:after="160" w:line="259" w:lineRule="auto"/>
      </w:pPr>
    </w:p>
    <w:p w14:paraId="59A12063" w14:textId="77777777" w:rsidR="006A35A8" w:rsidRPr="002D355E" w:rsidRDefault="006A35A8" w:rsidP="00320647">
      <w:pPr>
        <w:spacing w:after="160" w:line="259" w:lineRule="auto"/>
      </w:pPr>
    </w:p>
    <w:p w14:paraId="0776621E" w14:textId="77777777" w:rsidR="008266DA" w:rsidRDefault="008266DA" w:rsidP="00320647">
      <w:pPr>
        <w:spacing w:after="160" w:line="259" w:lineRule="auto"/>
      </w:pPr>
    </w:p>
    <w:p w14:paraId="562DCD20" w14:textId="77777777" w:rsidR="00C57211" w:rsidRDefault="00C57211" w:rsidP="00320647">
      <w:pPr>
        <w:spacing w:after="160" w:line="259" w:lineRule="auto"/>
      </w:pPr>
    </w:p>
    <w:p w14:paraId="00429FA4" w14:textId="77777777" w:rsidR="00C57211" w:rsidRDefault="00C57211" w:rsidP="00320647">
      <w:pPr>
        <w:spacing w:after="160" w:line="259" w:lineRule="auto"/>
      </w:pPr>
    </w:p>
    <w:p w14:paraId="071472E6" w14:textId="77777777" w:rsidR="00C57211" w:rsidRDefault="00C57211" w:rsidP="00320647">
      <w:pPr>
        <w:spacing w:after="160" w:line="259" w:lineRule="auto"/>
      </w:pPr>
    </w:p>
    <w:p w14:paraId="301735A1" w14:textId="77777777" w:rsidR="00C57211" w:rsidRDefault="00C57211" w:rsidP="00320647">
      <w:pPr>
        <w:spacing w:after="160" w:line="259" w:lineRule="auto"/>
      </w:pPr>
    </w:p>
    <w:p w14:paraId="63909C1A" w14:textId="77777777" w:rsidR="00C57211" w:rsidRDefault="00C57211" w:rsidP="00320647">
      <w:pPr>
        <w:spacing w:after="160" w:line="259" w:lineRule="auto"/>
      </w:pPr>
    </w:p>
    <w:p w14:paraId="40A51C89" w14:textId="77777777" w:rsidR="00C57211" w:rsidRDefault="00C57211" w:rsidP="00320647">
      <w:pPr>
        <w:spacing w:after="160" w:line="259" w:lineRule="auto"/>
      </w:pPr>
    </w:p>
    <w:p w14:paraId="76ABA353" w14:textId="77777777" w:rsidR="00C57211" w:rsidRDefault="00C57211" w:rsidP="00320647">
      <w:pPr>
        <w:spacing w:after="160" w:line="259" w:lineRule="auto"/>
      </w:pPr>
    </w:p>
    <w:p w14:paraId="37354C4B" w14:textId="77777777" w:rsidR="00C57211" w:rsidRDefault="00C57211" w:rsidP="00320647">
      <w:pPr>
        <w:spacing w:after="160" w:line="259" w:lineRule="auto"/>
      </w:pPr>
    </w:p>
    <w:p w14:paraId="6CE43C84" w14:textId="77777777" w:rsidR="00C57211" w:rsidRDefault="00C57211" w:rsidP="00320647">
      <w:pPr>
        <w:spacing w:after="160" w:line="259" w:lineRule="auto"/>
      </w:pPr>
    </w:p>
    <w:p w14:paraId="12AFA7CF" w14:textId="77777777" w:rsidR="00C57211" w:rsidRDefault="00C57211" w:rsidP="00320647">
      <w:pPr>
        <w:spacing w:after="160" w:line="259" w:lineRule="auto"/>
      </w:pPr>
    </w:p>
    <w:p w14:paraId="69B05F7A" w14:textId="77777777" w:rsidR="00C57211" w:rsidRDefault="00C57211" w:rsidP="00320647">
      <w:pPr>
        <w:spacing w:after="160" w:line="259" w:lineRule="auto"/>
      </w:pPr>
    </w:p>
    <w:p w14:paraId="288D163D" w14:textId="77777777" w:rsidR="00C57211" w:rsidRDefault="00C57211" w:rsidP="00320647">
      <w:pPr>
        <w:spacing w:after="160" w:line="259" w:lineRule="auto"/>
      </w:pPr>
    </w:p>
    <w:p w14:paraId="1D6C7893" w14:textId="77777777" w:rsidR="00C57211" w:rsidRDefault="00C57211" w:rsidP="00320647">
      <w:pPr>
        <w:spacing w:after="160" w:line="259" w:lineRule="auto"/>
      </w:pPr>
    </w:p>
    <w:p w14:paraId="6DD0E476" w14:textId="77777777" w:rsidR="00C57211" w:rsidRPr="002D355E" w:rsidRDefault="00C57211" w:rsidP="00320647">
      <w:pPr>
        <w:spacing w:after="160" w:line="259" w:lineRule="auto"/>
      </w:pPr>
    </w:p>
    <w:p w14:paraId="58E3B231" w14:textId="77777777" w:rsidR="008266DA" w:rsidRPr="002D355E" w:rsidRDefault="008266DA" w:rsidP="00320647">
      <w:pPr>
        <w:spacing w:after="160" w:line="259" w:lineRule="auto"/>
      </w:pPr>
    </w:p>
    <w:p w14:paraId="6D24FC55" w14:textId="04389324" w:rsidR="006A35A8" w:rsidRPr="002D355E" w:rsidRDefault="006A35A8" w:rsidP="006A35A8">
      <w:pPr>
        <w:spacing w:after="160" w:line="259" w:lineRule="auto"/>
        <w:rPr>
          <w:i/>
          <w:sz w:val="18"/>
          <w:szCs w:val="18"/>
        </w:rPr>
        <w:sectPr w:rsidR="006A35A8" w:rsidRPr="002D355E" w:rsidSect="00385EA9">
          <w:headerReference w:type="default" r:id="rId17"/>
          <w:headerReference w:type="first" r:id="rId18"/>
          <w:footerReference w:type="first" r:id="rId19"/>
          <w:pgSz w:w="11906" w:h="16838"/>
          <w:pgMar w:top="1276" w:right="1440" w:bottom="1134" w:left="1440" w:header="0" w:footer="539" w:gutter="0"/>
          <w:pgNumType w:start="0"/>
          <w:cols w:space="708"/>
          <w:titlePg/>
          <w:docGrid w:linePitch="360"/>
        </w:sectPr>
      </w:pPr>
      <w:r w:rsidRPr="002D355E">
        <w:rPr>
          <w:i/>
          <w:iCs/>
          <w:sz w:val="18"/>
          <w:szCs w:val="18"/>
        </w:rPr>
        <w:t xml:space="preserve">The data in this document largely reflect the latest </w:t>
      </w:r>
      <w:r w:rsidR="00F251A5" w:rsidRPr="002D355E">
        <w:rPr>
          <w:i/>
          <w:iCs/>
          <w:sz w:val="18"/>
          <w:szCs w:val="18"/>
        </w:rPr>
        <w:t>June</w:t>
      </w:r>
      <w:r w:rsidRPr="002D355E">
        <w:rPr>
          <w:i/>
          <w:iCs/>
          <w:sz w:val="18"/>
          <w:szCs w:val="18"/>
        </w:rPr>
        <w:t xml:space="preserve"> month and quarter and were current as </w:t>
      </w:r>
      <w:r w:rsidRPr="009A1A21">
        <w:rPr>
          <w:i/>
          <w:iCs/>
          <w:sz w:val="18"/>
          <w:szCs w:val="18"/>
        </w:rPr>
        <w:t xml:space="preserve">of </w:t>
      </w:r>
      <w:r w:rsidR="009A1A21" w:rsidRPr="009A1A21">
        <w:rPr>
          <w:i/>
          <w:iCs/>
          <w:sz w:val="18"/>
          <w:szCs w:val="18"/>
        </w:rPr>
        <w:t>1</w:t>
      </w:r>
      <w:r w:rsidR="009A1A21">
        <w:rPr>
          <w:i/>
          <w:iCs/>
          <w:sz w:val="18"/>
          <w:szCs w:val="18"/>
        </w:rPr>
        <w:t>0</w:t>
      </w:r>
      <w:r w:rsidR="00B23CE0" w:rsidRPr="009A1A21">
        <w:rPr>
          <w:i/>
          <w:iCs/>
          <w:sz w:val="18"/>
          <w:szCs w:val="18"/>
        </w:rPr>
        <w:t> </w:t>
      </w:r>
      <w:r w:rsidR="00BB2B53" w:rsidRPr="009A1A21">
        <w:rPr>
          <w:i/>
          <w:iCs/>
          <w:sz w:val="18"/>
          <w:szCs w:val="18"/>
        </w:rPr>
        <w:t>August</w:t>
      </w:r>
      <w:r w:rsidRPr="00331BBE">
        <w:rPr>
          <w:i/>
          <w:iCs/>
          <w:sz w:val="18"/>
          <w:szCs w:val="18"/>
        </w:rPr>
        <w:t xml:space="preserve"> 2024.</w:t>
      </w:r>
    </w:p>
    <w:p w14:paraId="342C5890" w14:textId="0B557434" w:rsidR="008564DD" w:rsidRPr="002D355E" w:rsidRDefault="008564DD" w:rsidP="00320647">
      <w:pPr>
        <w:pStyle w:val="Heading1"/>
      </w:pPr>
      <w:bookmarkStart w:id="0" w:name="_Toc151365176"/>
      <w:bookmarkStart w:id="1" w:name="_Toc174691119"/>
      <w:bookmarkStart w:id="2" w:name="_Hlk165359703"/>
      <w:r w:rsidRPr="002D355E">
        <w:lastRenderedPageBreak/>
        <w:t xml:space="preserve">Executive </w:t>
      </w:r>
      <w:r w:rsidR="000023F8" w:rsidRPr="002D355E">
        <w:t>s</w:t>
      </w:r>
      <w:r w:rsidRPr="002D355E">
        <w:t>ummary</w:t>
      </w:r>
      <w:bookmarkEnd w:id="0"/>
      <w:bookmarkEnd w:id="1"/>
    </w:p>
    <w:bookmarkEnd w:id="2"/>
    <w:p w14:paraId="7F85620C" w14:textId="77777777" w:rsidR="007E2865" w:rsidRDefault="007E2865" w:rsidP="004360E4">
      <w:pPr>
        <w:rPr>
          <w:rFonts w:eastAsia="Arial" w:cs="Times New Roman"/>
        </w:rPr>
      </w:pPr>
    </w:p>
    <w:p w14:paraId="3D5C8433" w14:textId="5B96AC55" w:rsidR="00BB0689" w:rsidRDefault="00D1619E" w:rsidP="00DA53CF">
      <w:pPr>
        <w:rPr>
          <w:rFonts w:eastAsia="Arial" w:cs="Times New Roman"/>
        </w:rPr>
      </w:pPr>
      <w:r w:rsidRPr="00D1619E">
        <w:rPr>
          <w:rFonts w:eastAsia="Arial" w:cs="Times New Roman"/>
        </w:rPr>
        <w:t xml:space="preserve">Against the backdrop of strong working-age population growth, the Australian labour market continued to </w:t>
      </w:r>
      <w:r w:rsidR="00BE1E52">
        <w:rPr>
          <w:rFonts w:eastAsia="Arial" w:cs="Times New Roman"/>
        </w:rPr>
        <w:t>show resilience</w:t>
      </w:r>
      <w:r w:rsidRPr="00D1619E">
        <w:rPr>
          <w:rFonts w:eastAsia="Arial" w:cs="Times New Roman"/>
        </w:rPr>
        <w:t xml:space="preserve"> over the June quarter 2024</w:t>
      </w:r>
      <w:r w:rsidR="00BE1E52">
        <w:rPr>
          <w:rFonts w:eastAsia="Arial" w:cs="Times New Roman"/>
        </w:rPr>
        <w:t>, albeit, with emerging signs that it is beginning to soften.</w:t>
      </w:r>
      <w:r>
        <w:rPr>
          <w:rFonts w:eastAsia="Arial" w:cs="Times New Roman"/>
        </w:rPr>
        <w:t xml:space="preserve"> </w:t>
      </w:r>
      <w:r w:rsidR="002F408F">
        <w:t xml:space="preserve">Labour market outcomes have </w:t>
      </w:r>
      <w:r w:rsidR="00DA53CF">
        <w:t>varied across industries, occupations and skill levels</w:t>
      </w:r>
      <w:r w:rsidR="002F408F">
        <w:t xml:space="preserve">. </w:t>
      </w:r>
      <w:r w:rsidR="002F408F">
        <w:rPr>
          <w:rFonts w:eastAsia="Arial" w:cs="Times New Roman"/>
        </w:rPr>
        <w:t>Overall</w:t>
      </w:r>
      <w:r>
        <w:rPr>
          <w:rFonts w:eastAsia="Arial" w:cs="Times New Roman"/>
        </w:rPr>
        <w:t xml:space="preserve">, the </w:t>
      </w:r>
      <w:r w:rsidRPr="00D1619E">
        <w:rPr>
          <w:rFonts w:eastAsia="Arial" w:cs="Times New Roman"/>
        </w:rPr>
        <w:t>annual pace of employment growth (and aggregate hours worked) has eased from the robust growth rates recorded in 2022 and 2023.</w:t>
      </w:r>
      <w:r>
        <w:rPr>
          <w:rFonts w:eastAsia="Arial" w:cs="Times New Roman"/>
        </w:rPr>
        <w:t xml:space="preserve"> </w:t>
      </w:r>
      <w:r w:rsidR="004360E4" w:rsidRPr="00D1619E">
        <w:rPr>
          <w:rFonts w:eastAsia="Arial" w:cs="Times New Roman"/>
        </w:rPr>
        <w:t xml:space="preserve">Forecasts from Treasury’s </w:t>
      </w:r>
      <w:r w:rsidR="004360E4" w:rsidRPr="00D1619E">
        <w:rPr>
          <w:rFonts w:eastAsia="Arial" w:cs="Times New Roman"/>
          <w:i/>
          <w:iCs/>
        </w:rPr>
        <w:t>2024</w:t>
      </w:r>
      <w:r w:rsidR="004360E4" w:rsidRPr="00D1619E">
        <w:rPr>
          <w:rFonts w:eastAsia="Arial" w:cs="Times New Roman"/>
          <w:i/>
          <w:iCs/>
        </w:rPr>
        <w:noBreakHyphen/>
        <w:t>25 Budget</w:t>
      </w:r>
      <w:r w:rsidR="004360E4" w:rsidRPr="00D1619E">
        <w:rPr>
          <w:rFonts w:eastAsia="Arial" w:cs="Times New Roman"/>
          <w:i/>
        </w:rPr>
        <w:t xml:space="preserve"> </w:t>
      </w:r>
      <w:r w:rsidR="004360E4" w:rsidRPr="00D1619E">
        <w:rPr>
          <w:rFonts w:eastAsia="Arial" w:cs="Times New Roman"/>
        </w:rPr>
        <w:t>are for the unemployment rate to edge up to 4</w:t>
      </w:r>
      <w:r w:rsidR="00BE1E52">
        <w:rPr>
          <w:rFonts w:eastAsia="Arial" w:cs="Times New Roman"/>
        </w:rPr>
        <w:t>.5</w:t>
      </w:r>
      <w:r w:rsidR="004360E4" w:rsidRPr="00D1619E">
        <w:rPr>
          <w:rFonts w:eastAsia="Arial" w:cs="Times New Roman"/>
        </w:rPr>
        <w:t>% in the June quarter 2025</w:t>
      </w:r>
      <w:r w:rsidR="007A1C74">
        <w:rPr>
          <w:rFonts w:eastAsia="Arial" w:cs="Times New Roman"/>
        </w:rPr>
        <w:t xml:space="preserve">. </w:t>
      </w:r>
    </w:p>
    <w:p w14:paraId="7AD568FA" w14:textId="62BA97A1" w:rsidR="00BF3D2B" w:rsidRDefault="002E3991" w:rsidP="002B6E60">
      <w:pPr>
        <w:rPr>
          <w:rFonts w:eastAsia="Arial" w:cs="Times New Roman"/>
        </w:rPr>
      </w:pPr>
      <w:r>
        <w:rPr>
          <w:rFonts w:eastAsia="Arial" w:cs="Times New Roman"/>
        </w:rPr>
        <w:t xml:space="preserve">Net employment growth over the past year is fully attributable to Skill Level 1 to 4 occupations </w:t>
      </w:r>
      <w:r w:rsidR="00AE5C11">
        <w:rPr>
          <w:rFonts w:eastAsia="Arial" w:cs="Times New Roman"/>
        </w:rPr>
        <w:t xml:space="preserve">– that is, occupations typically associated with a post-secondary school qualification. </w:t>
      </w:r>
      <w:r w:rsidR="008C1423">
        <w:rPr>
          <w:rFonts w:eastAsia="Arial" w:cs="Times New Roman"/>
        </w:rPr>
        <w:t xml:space="preserve">More than half of this </w:t>
      </w:r>
      <w:r w:rsidR="005748F7">
        <w:rPr>
          <w:rFonts w:eastAsia="Arial" w:cs="Times New Roman"/>
        </w:rPr>
        <w:t xml:space="preserve">employment </w:t>
      </w:r>
      <w:r w:rsidR="008C1423">
        <w:rPr>
          <w:rFonts w:eastAsia="Arial" w:cs="Times New Roman"/>
        </w:rPr>
        <w:t>gr</w:t>
      </w:r>
      <w:r w:rsidR="005748F7">
        <w:rPr>
          <w:rFonts w:eastAsia="Arial" w:cs="Times New Roman"/>
        </w:rPr>
        <w:t xml:space="preserve">owth was in occupations which are typically associated with a Vocational Educational Training (VET) pathway. </w:t>
      </w:r>
      <w:r w:rsidR="00465225">
        <w:rPr>
          <w:rFonts w:eastAsia="Arial" w:cs="Times New Roman"/>
        </w:rPr>
        <w:t>While</w:t>
      </w:r>
      <w:r w:rsidR="00361569">
        <w:rPr>
          <w:rFonts w:eastAsia="Arial" w:cs="Times New Roman"/>
        </w:rPr>
        <w:t xml:space="preserve"> th</w:t>
      </w:r>
      <w:r w:rsidR="00F25BE7">
        <w:rPr>
          <w:rFonts w:eastAsia="Arial" w:cs="Times New Roman"/>
        </w:rPr>
        <w:t>ese</w:t>
      </w:r>
      <w:r w:rsidR="00361569">
        <w:rPr>
          <w:rFonts w:eastAsia="Arial" w:cs="Times New Roman"/>
        </w:rPr>
        <w:t xml:space="preserve"> result</w:t>
      </w:r>
      <w:r w:rsidR="00F25BE7">
        <w:rPr>
          <w:rFonts w:eastAsia="Arial" w:cs="Times New Roman"/>
        </w:rPr>
        <w:t>s</w:t>
      </w:r>
      <w:r w:rsidR="00361569">
        <w:rPr>
          <w:rFonts w:eastAsia="Arial" w:cs="Times New Roman"/>
        </w:rPr>
        <w:t xml:space="preserve"> reinforce the importance of tertiary qualifications to employment outcomes, </w:t>
      </w:r>
      <w:r w:rsidR="00CF294C">
        <w:rPr>
          <w:rFonts w:eastAsia="Arial" w:cs="Times New Roman"/>
        </w:rPr>
        <w:t xml:space="preserve">groups who are less likely to have these qualifications (such as youth and the long-term unemployed) </w:t>
      </w:r>
      <w:r w:rsidR="005F080D">
        <w:rPr>
          <w:rFonts w:eastAsia="Arial" w:cs="Times New Roman"/>
        </w:rPr>
        <w:t>have experienced less positive employment outcomes over the past year.</w:t>
      </w:r>
    </w:p>
    <w:p w14:paraId="5830FFDB" w14:textId="44EFB02C" w:rsidR="00171811" w:rsidRPr="00BB0689" w:rsidRDefault="00E53E5D" w:rsidP="002B6E60">
      <w:pPr>
        <w:rPr>
          <w:rFonts w:eastAsia="Arial" w:cs="Times New Roman"/>
        </w:rPr>
      </w:pPr>
      <w:r>
        <w:rPr>
          <w:rFonts w:eastAsia="Arial" w:cs="Times New Roman"/>
        </w:rPr>
        <w:t>P</w:t>
      </w:r>
      <w:r w:rsidR="002F408F" w:rsidRPr="00D1619E">
        <w:rPr>
          <w:rFonts w:eastAsia="Arial" w:cs="Times New Roman"/>
        </w:rPr>
        <w:t>artial forward indicators of labour demand point to a</w:t>
      </w:r>
      <w:r w:rsidR="004C4A6C">
        <w:rPr>
          <w:rFonts w:eastAsia="Arial" w:cs="Times New Roman"/>
        </w:rPr>
        <w:t>n easing</w:t>
      </w:r>
      <w:r w:rsidR="002F408F" w:rsidRPr="00D1619E">
        <w:rPr>
          <w:rFonts w:eastAsia="Arial" w:cs="Times New Roman"/>
        </w:rPr>
        <w:t xml:space="preserve"> in labour market activity in the </w:t>
      </w:r>
      <w:r w:rsidR="007E2865">
        <w:rPr>
          <w:rFonts w:eastAsia="Arial" w:cs="Times New Roman"/>
        </w:rPr>
        <w:t>period ahead</w:t>
      </w:r>
      <w:r w:rsidR="002F408F" w:rsidRPr="00D1619E">
        <w:rPr>
          <w:rFonts w:eastAsia="Arial" w:cs="Times New Roman"/>
        </w:rPr>
        <w:t>.</w:t>
      </w:r>
      <w:r w:rsidR="002F47C4">
        <w:rPr>
          <w:rFonts w:eastAsia="Arial" w:cs="Times New Roman"/>
        </w:rPr>
        <w:t xml:space="preserve"> For instance, Jobs and Skills Australia’s </w:t>
      </w:r>
      <w:r w:rsidR="002F47C4">
        <w:rPr>
          <w:rFonts w:eastAsia="Arial" w:cs="Times New Roman"/>
          <w:i/>
          <w:iCs/>
        </w:rPr>
        <w:t>Internet Vacancy Index</w:t>
      </w:r>
      <w:r w:rsidR="002F47C4">
        <w:rPr>
          <w:rFonts w:eastAsia="Arial" w:cs="Times New Roman"/>
        </w:rPr>
        <w:t xml:space="preserve"> data continue to show a gradual decline </w:t>
      </w:r>
      <w:r w:rsidR="00F27FB6">
        <w:rPr>
          <w:rFonts w:eastAsia="Arial" w:cs="Times New Roman"/>
        </w:rPr>
        <w:t xml:space="preserve">in the number of job advertisements, </w:t>
      </w:r>
      <w:r w:rsidR="002F47C4">
        <w:rPr>
          <w:rFonts w:eastAsia="Arial" w:cs="Times New Roman"/>
        </w:rPr>
        <w:t xml:space="preserve">below its mid-2022 peak, although it </w:t>
      </w:r>
      <w:r w:rsidR="002F47C4" w:rsidRPr="00A36702">
        <w:rPr>
          <w:rFonts w:asciiTheme="minorHAnsi" w:hAnsiTheme="minorHAnsi" w:cstheme="minorHAnsi"/>
        </w:rPr>
        <w:t>remain</w:t>
      </w:r>
      <w:r w:rsidR="002F47C4">
        <w:rPr>
          <w:rFonts w:asciiTheme="minorHAnsi" w:hAnsiTheme="minorHAnsi" w:cstheme="minorHAnsi"/>
        </w:rPr>
        <w:t>s</w:t>
      </w:r>
      <w:r w:rsidR="002F47C4" w:rsidRPr="00A36702">
        <w:rPr>
          <w:rFonts w:asciiTheme="minorHAnsi" w:hAnsiTheme="minorHAnsi" w:cstheme="minorHAnsi"/>
        </w:rPr>
        <w:t xml:space="preserve"> elevated compared with pre</w:t>
      </w:r>
      <w:r w:rsidR="002F47C4" w:rsidRPr="00A36702">
        <w:rPr>
          <w:rFonts w:asciiTheme="minorHAnsi" w:hAnsiTheme="minorHAnsi" w:cstheme="minorHAnsi"/>
        </w:rPr>
        <w:noBreakHyphen/>
        <w:t>COVID levels</w:t>
      </w:r>
      <w:r w:rsidR="002F47C4">
        <w:rPr>
          <w:rFonts w:asciiTheme="minorHAnsi" w:hAnsiTheme="minorHAnsi" w:cstheme="minorHAnsi"/>
        </w:rPr>
        <w:t xml:space="preserve">. </w:t>
      </w:r>
      <w:r w:rsidR="004360E4">
        <w:rPr>
          <w:rFonts w:asciiTheme="minorHAnsi" w:hAnsiTheme="minorHAnsi" w:cstheme="minorHAnsi"/>
        </w:rPr>
        <w:t xml:space="preserve">Similarly, results from </w:t>
      </w:r>
      <w:r w:rsidR="004360E4">
        <w:t>r</w:t>
      </w:r>
      <w:r w:rsidR="004360E4" w:rsidRPr="00DD4C71">
        <w:t xml:space="preserve">esults from Jobs and Skills Australia’s June 2024 </w:t>
      </w:r>
      <w:r w:rsidR="004360E4" w:rsidRPr="00DD4C71">
        <w:rPr>
          <w:i/>
          <w:iCs/>
        </w:rPr>
        <w:t>Recruitment Experiences and Outlook Survey (REOS</w:t>
      </w:r>
      <w:r w:rsidR="004360E4">
        <w:rPr>
          <w:i/>
          <w:iCs/>
        </w:rPr>
        <w:t>)</w:t>
      </w:r>
      <w:r w:rsidR="004360E4">
        <w:t xml:space="preserve"> show the proportion of employers who are recruiting continued to decline in the June quarter 2024 after peaking in the June quarter 2022.</w:t>
      </w:r>
    </w:p>
    <w:p w14:paraId="3C943593" w14:textId="17FABAF4" w:rsidR="001D0898" w:rsidRDefault="004F2ACB" w:rsidP="00320647">
      <w:r>
        <w:rPr>
          <w:rFonts w:cs="Arial"/>
        </w:rPr>
        <w:t xml:space="preserve">Alongside weaker indicators of labour demand, results from </w:t>
      </w:r>
      <w:r w:rsidRPr="00DD4C71">
        <w:rPr>
          <w:rFonts w:cs="Arial"/>
        </w:rPr>
        <w:t xml:space="preserve">Jobs and Skills Australia’s </w:t>
      </w:r>
      <w:r w:rsidRPr="00DD4C71">
        <w:rPr>
          <w:rFonts w:cs="Arial"/>
          <w:i/>
          <w:iCs/>
        </w:rPr>
        <w:t>Survey of Employers who have Recently Advertised (SERA)</w:t>
      </w:r>
      <w:r>
        <w:rPr>
          <w:rFonts w:cs="Arial"/>
        </w:rPr>
        <w:t xml:space="preserve"> point to a </w:t>
      </w:r>
      <w:r w:rsidR="004A5D9E">
        <w:rPr>
          <w:rFonts w:cs="Arial"/>
        </w:rPr>
        <w:t>softening</w:t>
      </w:r>
      <w:r>
        <w:rPr>
          <w:rFonts w:cs="Arial"/>
        </w:rPr>
        <w:t xml:space="preserve"> labour market. For example, over the year to the June quarter 2024 the suitability gap increased by 7 percentage points,</w:t>
      </w:r>
      <w:r w:rsidR="00D2250D">
        <w:rPr>
          <w:rFonts w:cs="Arial"/>
        </w:rPr>
        <w:t xml:space="preserve"> </w:t>
      </w:r>
      <w:r>
        <w:rPr>
          <w:rFonts w:cs="Arial"/>
        </w:rPr>
        <w:t>to</w:t>
      </w:r>
      <w:r w:rsidR="00D2250D">
        <w:t xml:space="preserve"> 60.7</w:t>
      </w:r>
      <w:r w:rsidR="00EF3A9F">
        <w:t>%</w:t>
      </w:r>
      <w:r w:rsidR="00D2250D">
        <w:t xml:space="preserve">, </w:t>
      </w:r>
      <w:r w:rsidR="00D2250D" w:rsidRPr="00DD4C71">
        <w:t>indicat</w:t>
      </w:r>
      <w:r w:rsidR="00D2250D">
        <w:t>ing</w:t>
      </w:r>
      <w:r w:rsidR="00D2250D" w:rsidRPr="00DD4C71">
        <w:t xml:space="preserve"> that employers have more choice and can scrutinise qualified applicants more during recruitment.</w:t>
      </w:r>
      <w:r w:rsidR="00D2250D">
        <w:t xml:space="preserve"> </w:t>
      </w:r>
      <w:r w:rsidR="001D0898">
        <w:t xml:space="preserve">This is accompanied by </w:t>
      </w:r>
      <w:r w:rsidR="001D0898" w:rsidRPr="00DD4C71">
        <w:t xml:space="preserve">increases in the </w:t>
      </w:r>
      <w:r w:rsidR="00705794">
        <w:t xml:space="preserve">fill rate, </w:t>
      </w:r>
      <w:r w:rsidR="001D0898" w:rsidRPr="00DD4C71">
        <w:t>total number of applicants, qualified applicants, and suitable applicants per vacancy over the quarter and the year to June quarter 2024</w:t>
      </w:r>
      <w:r w:rsidR="001D0898">
        <w:t>.</w:t>
      </w:r>
    </w:p>
    <w:p w14:paraId="4A14EE3D" w14:textId="610F91D7" w:rsidR="001D0898" w:rsidRDefault="00E341FF" w:rsidP="00320647">
      <w:r>
        <w:t>Fill rates continue to rise gradually, indicating employers are filling vacancies more easily. Over the year to the June quarter 2024, fill rates increased across both metro</w:t>
      </w:r>
      <w:r w:rsidR="001A5C63">
        <w:t xml:space="preserve">politan </w:t>
      </w:r>
      <w:r w:rsidR="00BF7CD3">
        <w:t xml:space="preserve">and regional areas, although it is generally lower in regional areas. Similarly, fill rates increased </w:t>
      </w:r>
      <w:r w:rsidR="00EF3A9F">
        <w:t xml:space="preserve">across </w:t>
      </w:r>
      <w:r w:rsidR="00BF7CD3">
        <w:t>all skill levels, although it stood at 51.9</w:t>
      </w:r>
      <w:r w:rsidR="005A5257">
        <w:t>%</w:t>
      </w:r>
      <w:r w:rsidR="00EF3A9F">
        <w:t xml:space="preserve"> </w:t>
      </w:r>
      <w:r w:rsidR="00BF7CD3">
        <w:t xml:space="preserve">for Skill level 3 occupations, suggesting there remains some </w:t>
      </w:r>
      <w:r w:rsidR="002E29A5">
        <w:t xml:space="preserve">significant </w:t>
      </w:r>
      <w:r w:rsidR="00BF7CD3">
        <w:t>skill shortages.</w:t>
      </w:r>
      <w:r w:rsidR="009705C9">
        <w:t xml:space="preserve"> </w:t>
      </w:r>
      <w:r w:rsidR="00DE0255">
        <w:t>Per</w:t>
      </w:r>
      <w:r w:rsidR="009705C9">
        <w:t xml:space="preserve">sistently low fill rates </w:t>
      </w:r>
      <w:r w:rsidR="00FA2C8B">
        <w:t>for Skill Level 3 roles may also help to explain why</w:t>
      </w:r>
      <w:r w:rsidR="00DE0255">
        <w:t>, in percentage terms,</w:t>
      </w:r>
      <w:r w:rsidR="00FA2C8B">
        <w:t xml:space="preserve"> employment growth</w:t>
      </w:r>
      <w:r w:rsidR="00DE0255">
        <w:t xml:space="preserve"> for these roles</w:t>
      </w:r>
      <w:r w:rsidR="00FA2C8B">
        <w:t xml:space="preserve"> has been lower over </w:t>
      </w:r>
      <w:r w:rsidR="00B664F8">
        <w:t>both the past year and the past five years than for Skill Level 1, 2 or 4 roles.</w:t>
      </w:r>
    </w:p>
    <w:p w14:paraId="34C8945C" w14:textId="539F4FE8" w:rsidR="001D0898" w:rsidRPr="002D355E" w:rsidRDefault="001D0898" w:rsidP="00320647">
      <w:pPr>
        <w:sectPr w:rsidR="001D0898" w:rsidRPr="002D355E" w:rsidSect="00385EA9">
          <w:headerReference w:type="default" r:id="rId20"/>
          <w:headerReference w:type="first" r:id="rId21"/>
          <w:footerReference w:type="first" r:id="rId22"/>
          <w:pgSz w:w="11906" w:h="16838"/>
          <w:pgMar w:top="1276" w:right="1440" w:bottom="1134" w:left="1440" w:header="0" w:footer="539" w:gutter="0"/>
          <w:cols w:space="708"/>
          <w:titlePg/>
          <w:docGrid w:linePitch="360"/>
        </w:sectPr>
      </w:pPr>
    </w:p>
    <w:p w14:paraId="7068ADBE" w14:textId="20A5DF87" w:rsidR="008564DD" w:rsidRDefault="00024E7B" w:rsidP="00320647">
      <w:pPr>
        <w:pStyle w:val="Heading1"/>
      </w:pPr>
      <w:bookmarkStart w:id="3" w:name="_Toc174691120"/>
      <w:r>
        <w:lastRenderedPageBreak/>
        <w:t>The June quarter l</w:t>
      </w:r>
      <w:r w:rsidR="00F85A97" w:rsidRPr="002D355E">
        <w:t>abour market</w:t>
      </w:r>
      <w:bookmarkEnd w:id="3"/>
      <w:r w:rsidR="003D606D">
        <w:t xml:space="preserve"> </w:t>
      </w:r>
    </w:p>
    <w:p w14:paraId="264D319F" w14:textId="757A907C" w:rsidR="00002FDA" w:rsidRPr="004D2FF1" w:rsidRDefault="00FE7DB3" w:rsidP="003D606D">
      <w:pPr>
        <w:rPr>
          <w:rFonts w:eastAsia="Arial" w:cs="Times New Roman"/>
        </w:rPr>
      </w:pPr>
      <w:r w:rsidRPr="004D2FF1">
        <w:rPr>
          <w:rFonts w:eastAsia="Arial" w:cs="Times New Roman"/>
        </w:rPr>
        <w:t xml:space="preserve">In the June quarter 2024, </w:t>
      </w:r>
      <w:r w:rsidR="003D606D" w:rsidRPr="004D2FF1">
        <w:rPr>
          <w:rFonts w:eastAsia="Arial" w:cs="Times New Roman"/>
        </w:rPr>
        <w:t xml:space="preserve">ABS </w:t>
      </w:r>
      <w:r w:rsidR="003D606D" w:rsidRPr="004D2FF1">
        <w:rPr>
          <w:rFonts w:eastAsia="Arial" w:cs="Times New Roman"/>
          <w:i/>
        </w:rPr>
        <w:t>Labour Force Survey</w:t>
      </w:r>
      <w:r w:rsidR="003D606D" w:rsidRPr="004D2FF1">
        <w:rPr>
          <w:rFonts w:eastAsia="Arial" w:cs="Times New Roman"/>
        </w:rPr>
        <w:t xml:space="preserve"> data show that seasonally adjusted employment increased by 125,800 (or 0.9%), equivalent to the growth rate recorded in the previous quarter.</w:t>
      </w:r>
      <w:r w:rsidRPr="004D2FF1">
        <w:rPr>
          <w:rFonts w:eastAsia="Arial" w:cs="Times New Roman"/>
        </w:rPr>
        <w:t xml:space="preserve"> </w:t>
      </w:r>
      <w:r w:rsidR="003D606D" w:rsidRPr="004D2FF1">
        <w:rPr>
          <w:rFonts w:eastAsia="Arial" w:cs="Times New Roman"/>
        </w:rPr>
        <w:t xml:space="preserve">Employment rose by 388,400 (or 2.8%) over the </w:t>
      </w:r>
      <w:r w:rsidR="003D606D" w:rsidRPr="004D2FF1">
        <w:rPr>
          <w:rFonts w:eastAsia="Arial" w:cs="Times New Roman"/>
          <w:i/>
          <w:iCs/>
        </w:rPr>
        <w:t>year to</w:t>
      </w:r>
      <w:r w:rsidR="003D606D" w:rsidRPr="004D2FF1">
        <w:rPr>
          <w:rFonts w:eastAsia="Arial" w:cs="Times New Roman"/>
        </w:rPr>
        <w:t xml:space="preserve"> June 2024 and is currently above the decade average annual growth rate, of 2.3%.</w:t>
      </w:r>
    </w:p>
    <w:p w14:paraId="5CD85774" w14:textId="0220258D" w:rsidR="003D606D" w:rsidRDefault="003D606D" w:rsidP="003D606D">
      <w:pPr>
        <w:rPr>
          <w:rFonts w:eastAsia="Arial" w:cs="Times New Roman"/>
        </w:rPr>
      </w:pPr>
      <w:r w:rsidRPr="00DD4C71">
        <w:rPr>
          <w:rFonts w:eastAsia="Arial" w:cs="Times New Roman"/>
        </w:rPr>
        <w:t xml:space="preserve"> </w:t>
      </w:r>
    </w:p>
    <w:p w14:paraId="1109767E" w14:textId="77777777" w:rsidR="004973FD" w:rsidRPr="00DD4C71" w:rsidRDefault="004973FD" w:rsidP="004973FD">
      <w:pPr>
        <w:rPr>
          <w:b/>
          <w:bCs/>
          <w:sz w:val="20"/>
          <w:szCs w:val="20"/>
        </w:rPr>
      </w:pPr>
      <w:bookmarkStart w:id="4" w:name="_Hlk165535193"/>
      <w:bookmarkStart w:id="5" w:name="_Toc151365178"/>
      <w:bookmarkStart w:id="6" w:name="_Toc152324295"/>
      <w:bookmarkStart w:id="7" w:name="_Toc151365181"/>
      <w:bookmarkStart w:id="8" w:name="_Toc152324298"/>
      <w:r w:rsidRPr="00DD4C71">
        <w:rPr>
          <w:b/>
          <w:bCs/>
          <w:sz w:val="20"/>
          <w:szCs w:val="20"/>
        </w:rPr>
        <w:t>Table 1: Key labour market indicators, June 2024 and change since March 2024</w:t>
      </w:r>
    </w:p>
    <w:tbl>
      <w:tblPr>
        <w:tblW w:w="9498" w:type="dxa"/>
        <w:tblLook w:val="04A0" w:firstRow="1" w:lastRow="0" w:firstColumn="1" w:lastColumn="0" w:noHBand="0" w:noVBand="1"/>
      </w:tblPr>
      <w:tblGrid>
        <w:gridCol w:w="1218"/>
        <w:gridCol w:w="1200"/>
        <w:gridCol w:w="1197"/>
        <w:gridCol w:w="1236"/>
        <w:gridCol w:w="1687"/>
        <w:gridCol w:w="1684"/>
        <w:gridCol w:w="1276"/>
      </w:tblGrid>
      <w:tr w:rsidR="0026339A" w:rsidRPr="00DD4C71" w14:paraId="76E853F9" w14:textId="77777777" w:rsidTr="0026339A">
        <w:trPr>
          <w:trHeight w:val="510"/>
        </w:trPr>
        <w:tc>
          <w:tcPr>
            <w:tcW w:w="1218" w:type="dxa"/>
            <w:tcBorders>
              <w:top w:val="nil"/>
              <w:left w:val="nil"/>
              <w:bottom w:val="nil"/>
              <w:right w:val="nil"/>
            </w:tcBorders>
            <w:shd w:val="clear" w:color="000000" w:fill="012749"/>
            <w:vAlign w:val="center"/>
            <w:hideMark/>
          </w:tcPr>
          <w:p w14:paraId="5AA8AC88" w14:textId="77777777" w:rsidR="0026339A" w:rsidRPr="0026339A" w:rsidRDefault="0026339A" w:rsidP="0026339A">
            <w:pPr>
              <w:spacing w:after="0" w:line="240" w:lineRule="auto"/>
              <w:jc w:val="center"/>
              <w:rPr>
                <w:rFonts w:eastAsia="Times New Roman" w:cs="Arial"/>
                <w:color w:val="FFFFFF"/>
                <w:sz w:val="18"/>
                <w:szCs w:val="18"/>
                <w:lang w:eastAsia="en-AU"/>
              </w:rPr>
            </w:pPr>
            <w:r w:rsidRPr="0026339A">
              <w:rPr>
                <w:rFonts w:eastAsia="Times New Roman" w:cs="Arial"/>
                <w:color w:val="FFFFFF"/>
                <w:sz w:val="18"/>
                <w:szCs w:val="18"/>
                <w:lang w:eastAsia="en-AU"/>
              </w:rPr>
              <w:t>Employment</w:t>
            </w:r>
          </w:p>
        </w:tc>
        <w:tc>
          <w:tcPr>
            <w:tcW w:w="1200" w:type="dxa"/>
            <w:tcBorders>
              <w:top w:val="nil"/>
              <w:left w:val="nil"/>
              <w:bottom w:val="nil"/>
              <w:right w:val="nil"/>
            </w:tcBorders>
            <w:shd w:val="clear" w:color="000000" w:fill="012749"/>
            <w:vAlign w:val="center"/>
            <w:hideMark/>
          </w:tcPr>
          <w:p w14:paraId="13EFB2AD" w14:textId="77777777" w:rsidR="0026339A" w:rsidRPr="0026339A" w:rsidRDefault="0026339A" w:rsidP="0026339A">
            <w:pPr>
              <w:spacing w:after="0" w:line="240" w:lineRule="auto"/>
              <w:jc w:val="center"/>
              <w:rPr>
                <w:rFonts w:eastAsia="Times New Roman" w:cs="Arial"/>
                <w:color w:val="FFFFFF"/>
                <w:sz w:val="18"/>
                <w:szCs w:val="18"/>
                <w:lang w:eastAsia="en-AU"/>
              </w:rPr>
            </w:pPr>
            <w:r w:rsidRPr="0026339A">
              <w:rPr>
                <w:rFonts w:eastAsia="Times New Roman" w:cs="Arial"/>
                <w:color w:val="FFFFFF"/>
                <w:sz w:val="18"/>
                <w:szCs w:val="18"/>
                <w:lang w:eastAsia="en-AU"/>
              </w:rPr>
              <w:t>Full-time employment</w:t>
            </w:r>
          </w:p>
        </w:tc>
        <w:tc>
          <w:tcPr>
            <w:tcW w:w="1197" w:type="dxa"/>
            <w:tcBorders>
              <w:top w:val="nil"/>
              <w:left w:val="nil"/>
              <w:bottom w:val="nil"/>
              <w:right w:val="nil"/>
            </w:tcBorders>
            <w:shd w:val="clear" w:color="000000" w:fill="012749"/>
            <w:vAlign w:val="center"/>
            <w:hideMark/>
          </w:tcPr>
          <w:p w14:paraId="6DA66572" w14:textId="77777777" w:rsidR="0026339A" w:rsidRPr="0026339A" w:rsidRDefault="0026339A" w:rsidP="0026339A">
            <w:pPr>
              <w:spacing w:after="0" w:line="240" w:lineRule="auto"/>
              <w:jc w:val="center"/>
              <w:rPr>
                <w:rFonts w:eastAsia="Times New Roman" w:cs="Arial"/>
                <w:color w:val="FFFFFF"/>
                <w:sz w:val="18"/>
                <w:szCs w:val="18"/>
                <w:lang w:eastAsia="en-AU"/>
              </w:rPr>
            </w:pPr>
            <w:r w:rsidRPr="0026339A">
              <w:rPr>
                <w:rFonts w:eastAsia="Times New Roman" w:cs="Arial"/>
                <w:color w:val="FFFFFF"/>
                <w:sz w:val="18"/>
                <w:szCs w:val="18"/>
                <w:lang w:eastAsia="en-AU"/>
              </w:rPr>
              <w:t>Part-time employment</w:t>
            </w:r>
          </w:p>
        </w:tc>
        <w:tc>
          <w:tcPr>
            <w:tcW w:w="1236" w:type="dxa"/>
            <w:tcBorders>
              <w:top w:val="nil"/>
              <w:left w:val="nil"/>
              <w:bottom w:val="nil"/>
              <w:right w:val="nil"/>
            </w:tcBorders>
            <w:shd w:val="clear" w:color="000000" w:fill="012749"/>
            <w:vAlign w:val="center"/>
            <w:hideMark/>
          </w:tcPr>
          <w:p w14:paraId="238EB503" w14:textId="77777777" w:rsidR="0026339A" w:rsidRPr="0026339A" w:rsidRDefault="0026339A" w:rsidP="0026339A">
            <w:pPr>
              <w:spacing w:after="0" w:line="240" w:lineRule="auto"/>
              <w:jc w:val="center"/>
              <w:rPr>
                <w:rFonts w:eastAsia="Times New Roman" w:cs="Arial"/>
                <w:color w:val="FFFFFF"/>
                <w:sz w:val="18"/>
                <w:szCs w:val="18"/>
                <w:lang w:eastAsia="en-AU"/>
              </w:rPr>
            </w:pPr>
            <w:r w:rsidRPr="0026339A">
              <w:rPr>
                <w:rFonts w:eastAsia="Times New Roman" w:cs="Arial"/>
                <w:color w:val="FFFFFF"/>
                <w:sz w:val="18"/>
                <w:szCs w:val="18"/>
                <w:lang w:eastAsia="en-AU"/>
              </w:rPr>
              <w:t>Hours worked</w:t>
            </w:r>
          </w:p>
        </w:tc>
        <w:tc>
          <w:tcPr>
            <w:tcW w:w="1687" w:type="dxa"/>
            <w:tcBorders>
              <w:top w:val="nil"/>
              <w:left w:val="nil"/>
              <w:bottom w:val="nil"/>
              <w:right w:val="nil"/>
            </w:tcBorders>
            <w:shd w:val="clear" w:color="000000" w:fill="012749"/>
            <w:vAlign w:val="center"/>
            <w:hideMark/>
          </w:tcPr>
          <w:p w14:paraId="34C2EB76" w14:textId="77777777" w:rsidR="0026339A" w:rsidRPr="0026339A" w:rsidRDefault="0026339A" w:rsidP="0026339A">
            <w:pPr>
              <w:spacing w:after="0" w:line="240" w:lineRule="auto"/>
              <w:jc w:val="center"/>
              <w:rPr>
                <w:rFonts w:eastAsia="Times New Roman" w:cs="Arial"/>
                <w:color w:val="FFFFFF"/>
                <w:sz w:val="18"/>
                <w:szCs w:val="18"/>
                <w:lang w:eastAsia="en-AU"/>
              </w:rPr>
            </w:pPr>
            <w:r w:rsidRPr="0026339A">
              <w:rPr>
                <w:rFonts w:eastAsia="Times New Roman" w:cs="Arial"/>
                <w:color w:val="FFFFFF"/>
                <w:sz w:val="18"/>
                <w:szCs w:val="18"/>
                <w:lang w:eastAsia="en-AU"/>
              </w:rPr>
              <w:t>Underemployment rate</w:t>
            </w:r>
          </w:p>
        </w:tc>
        <w:tc>
          <w:tcPr>
            <w:tcW w:w="1684" w:type="dxa"/>
            <w:tcBorders>
              <w:top w:val="nil"/>
              <w:left w:val="nil"/>
              <w:bottom w:val="nil"/>
              <w:right w:val="nil"/>
            </w:tcBorders>
            <w:shd w:val="clear" w:color="000000" w:fill="012749"/>
            <w:vAlign w:val="center"/>
            <w:hideMark/>
          </w:tcPr>
          <w:p w14:paraId="34CFF0A0" w14:textId="77777777" w:rsidR="0026339A" w:rsidRPr="0026339A" w:rsidRDefault="0026339A" w:rsidP="0026339A">
            <w:pPr>
              <w:spacing w:after="0" w:line="240" w:lineRule="auto"/>
              <w:jc w:val="center"/>
              <w:rPr>
                <w:rFonts w:eastAsia="Times New Roman" w:cs="Arial"/>
                <w:color w:val="FFFFFF"/>
                <w:sz w:val="18"/>
                <w:szCs w:val="18"/>
                <w:lang w:eastAsia="en-AU"/>
              </w:rPr>
            </w:pPr>
            <w:r w:rsidRPr="0026339A">
              <w:rPr>
                <w:rFonts w:eastAsia="Times New Roman" w:cs="Arial"/>
                <w:color w:val="FFFFFF"/>
                <w:sz w:val="18"/>
                <w:szCs w:val="18"/>
                <w:lang w:eastAsia="en-AU"/>
              </w:rPr>
              <w:t>Unemployment rate</w:t>
            </w:r>
          </w:p>
        </w:tc>
        <w:tc>
          <w:tcPr>
            <w:tcW w:w="1276" w:type="dxa"/>
            <w:tcBorders>
              <w:top w:val="nil"/>
              <w:left w:val="nil"/>
              <w:bottom w:val="nil"/>
              <w:right w:val="nil"/>
            </w:tcBorders>
            <w:shd w:val="clear" w:color="000000" w:fill="012749"/>
            <w:vAlign w:val="center"/>
            <w:hideMark/>
          </w:tcPr>
          <w:p w14:paraId="284EED0A" w14:textId="77777777" w:rsidR="0026339A" w:rsidRPr="0026339A" w:rsidRDefault="0026339A" w:rsidP="0026339A">
            <w:pPr>
              <w:spacing w:after="0" w:line="240" w:lineRule="auto"/>
              <w:jc w:val="center"/>
              <w:rPr>
                <w:rFonts w:eastAsia="Times New Roman" w:cs="Arial"/>
                <w:color w:val="FFFFFF"/>
                <w:sz w:val="18"/>
                <w:szCs w:val="18"/>
                <w:lang w:eastAsia="en-AU"/>
              </w:rPr>
            </w:pPr>
            <w:r w:rsidRPr="0026339A">
              <w:rPr>
                <w:rFonts w:eastAsia="Times New Roman" w:cs="Arial"/>
                <w:color w:val="FFFFFF"/>
                <w:sz w:val="18"/>
                <w:szCs w:val="18"/>
                <w:lang w:eastAsia="en-AU"/>
              </w:rPr>
              <w:t>Participation rate</w:t>
            </w:r>
          </w:p>
        </w:tc>
      </w:tr>
      <w:tr w:rsidR="0026339A" w:rsidRPr="00DD4C71" w14:paraId="0CB7BB43" w14:textId="77777777" w:rsidTr="0026339A">
        <w:trPr>
          <w:trHeight w:val="510"/>
        </w:trPr>
        <w:tc>
          <w:tcPr>
            <w:tcW w:w="1218" w:type="dxa"/>
            <w:tcBorders>
              <w:top w:val="nil"/>
              <w:left w:val="nil"/>
              <w:bottom w:val="nil"/>
              <w:right w:val="nil"/>
            </w:tcBorders>
            <w:shd w:val="clear" w:color="auto" w:fill="auto"/>
            <w:vAlign w:val="center"/>
            <w:hideMark/>
          </w:tcPr>
          <w:p w14:paraId="49EA7244" w14:textId="77777777" w:rsidR="0026339A" w:rsidRPr="0026339A" w:rsidRDefault="0026339A" w:rsidP="0026339A">
            <w:pPr>
              <w:spacing w:after="0" w:line="240" w:lineRule="auto"/>
              <w:jc w:val="center"/>
              <w:rPr>
                <w:rFonts w:eastAsia="Times New Roman" w:cs="Arial"/>
                <w:color w:val="000000"/>
                <w:sz w:val="18"/>
                <w:szCs w:val="18"/>
                <w:lang w:eastAsia="en-AU"/>
              </w:rPr>
            </w:pPr>
            <w:r w:rsidRPr="0026339A">
              <w:rPr>
                <w:rFonts w:eastAsia="Times New Roman" w:cs="Arial"/>
                <w:color w:val="000000"/>
                <w:sz w:val="18"/>
                <w:szCs w:val="18"/>
                <w:lang w:eastAsia="en-AU"/>
              </w:rPr>
              <w:t>14,406,100</w:t>
            </w:r>
          </w:p>
        </w:tc>
        <w:tc>
          <w:tcPr>
            <w:tcW w:w="1200" w:type="dxa"/>
            <w:tcBorders>
              <w:top w:val="nil"/>
              <w:left w:val="nil"/>
              <w:bottom w:val="nil"/>
              <w:right w:val="nil"/>
            </w:tcBorders>
            <w:shd w:val="clear" w:color="auto" w:fill="auto"/>
            <w:vAlign w:val="center"/>
            <w:hideMark/>
          </w:tcPr>
          <w:p w14:paraId="422E6974" w14:textId="77777777" w:rsidR="0026339A" w:rsidRPr="0026339A" w:rsidRDefault="0026339A" w:rsidP="0026339A">
            <w:pPr>
              <w:spacing w:after="0" w:line="240" w:lineRule="auto"/>
              <w:jc w:val="center"/>
              <w:rPr>
                <w:rFonts w:eastAsia="Times New Roman" w:cs="Arial"/>
                <w:color w:val="000000"/>
                <w:sz w:val="18"/>
                <w:szCs w:val="18"/>
                <w:lang w:eastAsia="en-AU"/>
              </w:rPr>
            </w:pPr>
            <w:r w:rsidRPr="0026339A">
              <w:rPr>
                <w:rFonts w:eastAsia="Times New Roman" w:cs="Arial"/>
                <w:color w:val="000000"/>
                <w:sz w:val="18"/>
                <w:szCs w:val="18"/>
                <w:lang w:eastAsia="en-AU"/>
              </w:rPr>
              <w:t>9,944,200</w:t>
            </w:r>
          </w:p>
        </w:tc>
        <w:tc>
          <w:tcPr>
            <w:tcW w:w="1197" w:type="dxa"/>
            <w:tcBorders>
              <w:top w:val="nil"/>
              <w:left w:val="nil"/>
              <w:bottom w:val="nil"/>
              <w:right w:val="nil"/>
            </w:tcBorders>
            <w:shd w:val="clear" w:color="auto" w:fill="auto"/>
            <w:vAlign w:val="center"/>
            <w:hideMark/>
          </w:tcPr>
          <w:p w14:paraId="09905D50" w14:textId="77777777" w:rsidR="0026339A" w:rsidRPr="0026339A" w:rsidRDefault="0026339A" w:rsidP="0026339A">
            <w:pPr>
              <w:spacing w:after="0" w:line="240" w:lineRule="auto"/>
              <w:jc w:val="center"/>
              <w:rPr>
                <w:rFonts w:eastAsia="Times New Roman" w:cs="Arial"/>
                <w:color w:val="000000"/>
                <w:sz w:val="18"/>
                <w:szCs w:val="18"/>
                <w:lang w:eastAsia="en-AU"/>
              </w:rPr>
            </w:pPr>
            <w:r w:rsidRPr="0026339A">
              <w:rPr>
                <w:rFonts w:eastAsia="Times New Roman" w:cs="Arial"/>
                <w:color w:val="000000"/>
                <w:sz w:val="18"/>
                <w:szCs w:val="18"/>
                <w:lang w:eastAsia="en-AU"/>
              </w:rPr>
              <w:t>4,461,800</w:t>
            </w:r>
          </w:p>
        </w:tc>
        <w:tc>
          <w:tcPr>
            <w:tcW w:w="1236" w:type="dxa"/>
            <w:tcBorders>
              <w:top w:val="nil"/>
              <w:left w:val="nil"/>
              <w:bottom w:val="nil"/>
              <w:right w:val="nil"/>
            </w:tcBorders>
            <w:shd w:val="clear" w:color="auto" w:fill="auto"/>
            <w:vAlign w:val="center"/>
            <w:hideMark/>
          </w:tcPr>
          <w:p w14:paraId="02587532" w14:textId="77777777" w:rsidR="0026339A" w:rsidRPr="0026339A" w:rsidRDefault="0026339A" w:rsidP="0026339A">
            <w:pPr>
              <w:spacing w:after="0" w:line="240" w:lineRule="auto"/>
              <w:jc w:val="center"/>
              <w:rPr>
                <w:rFonts w:eastAsia="Times New Roman" w:cs="Arial"/>
                <w:color w:val="000000"/>
                <w:sz w:val="18"/>
                <w:szCs w:val="18"/>
                <w:lang w:eastAsia="en-AU"/>
              </w:rPr>
            </w:pPr>
            <w:r w:rsidRPr="0026339A">
              <w:rPr>
                <w:rFonts w:eastAsia="Times New Roman" w:cs="Arial"/>
                <w:color w:val="000000"/>
                <w:sz w:val="18"/>
                <w:szCs w:val="18"/>
                <w:lang w:eastAsia="en-AU"/>
              </w:rPr>
              <w:t>1,967 million hours</w:t>
            </w:r>
          </w:p>
        </w:tc>
        <w:tc>
          <w:tcPr>
            <w:tcW w:w="1687" w:type="dxa"/>
            <w:tcBorders>
              <w:top w:val="nil"/>
              <w:left w:val="nil"/>
              <w:bottom w:val="nil"/>
              <w:right w:val="nil"/>
            </w:tcBorders>
            <w:shd w:val="clear" w:color="auto" w:fill="auto"/>
            <w:vAlign w:val="center"/>
            <w:hideMark/>
          </w:tcPr>
          <w:p w14:paraId="1694BC4F" w14:textId="77777777" w:rsidR="0026339A" w:rsidRPr="0026339A" w:rsidRDefault="0026339A" w:rsidP="0026339A">
            <w:pPr>
              <w:spacing w:after="0" w:line="240" w:lineRule="auto"/>
              <w:jc w:val="center"/>
              <w:rPr>
                <w:rFonts w:eastAsia="Times New Roman" w:cs="Arial"/>
                <w:color w:val="000000"/>
                <w:sz w:val="18"/>
                <w:szCs w:val="18"/>
                <w:lang w:eastAsia="en-AU"/>
              </w:rPr>
            </w:pPr>
            <w:r w:rsidRPr="0026339A">
              <w:rPr>
                <w:rFonts w:eastAsia="Times New Roman" w:cs="Arial"/>
                <w:color w:val="000000"/>
                <w:sz w:val="18"/>
                <w:szCs w:val="18"/>
                <w:lang w:eastAsia="en-AU"/>
              </w:rPr>
              <w:t>6.5%</w:t>
            </w:r>
          </w:p>
        </w:tc>
        <w:tc>
          <w:tcPr>
            <w:tcW w:w="1684" w:type="dxa"/>
            <w:tcBorders>
              <w:top w:val="nil"/>
              <w:left w:val="nil"/>
              <w:bottom w:val="nil"/>
              <w:right w:val="nil"/>
            </w:tcBorders>
            <w:shd w:val="clear" w:color="auto" w:fill="auto"/>
            <w:vAlign w:val="center"/>
            <w:hideMark/>
          </w:tcPr>
          <w:p w14:paraId="6308DE91" w14:textId="77777777" w:rsidR="0026339A" w:rsidRPr="0026339A" w:rsidRDefault="0026339A" w:rsidP="0026339A">
            <w:pPr>
              <w:spacing w:after="0" w:line="240" w:lineRule="auto"/>
              <w:jc w:val="center"/>
              <w:rPr>
                <w:rFonts w:eastAsia="Times New Roman" w:cs="Arial"/>
                <w:color w:val="000000"/>
                <w:sz w:val="18"/>
                <w:szCs w:val="18"/>
                <w:lang w:eastAsia="en-AU"/>
              </w:rPr>
            </w:pPr>
            <w:r w:rsidRPr="0026339A">
              <w:rPr>
                <w:rFonts w:eastAsia="Times New Roman" w:cs="Arial"/>
                <w:color w:val="000000"/>
                <w:sz w:val="18"/>
                <w:szCs w:val="18"/>
                <w:lang w:eastAsia="en-AU"/>
              </w:rPr>
              <w:t>4.1%</w:t>
            </w:r>
          </w:p>
        </w:tc>
        <w:tc>
          <w:tcPr>
            <w:tcW w:w="1276" w:type="dxa"/>
            <w:tcBorders>
              <w:top w:val="nil"/>
              <w:left w:val="nil"/>
              <w:bottom w:val="nil"/>
              <w:right w:val="nil"/>
            </w:tcBorders>
            <w:shd w:val="clear" w:color="auto" w:fill="auto"/>
            <w:vAlign w:val="center"/>
            <w:hideMark/>
          </w:tcPr>
          <w:p w14:paraId="664F5689" w14:textId="77777777" w:rsidR="0026339A" w:rsidRPr="0026339A" w:rsidRDefault="0026339A" w:rsidP="0026339A">
            <w:pPr>
              <w:spacing w:after="0" w:line="240" w:lineRule="auto"/>
              <w:jc w:val="center"/>
              <w:rPr>
                <w:rFonts w:eastAsia="Times New Roman" w:cs="Arial"/>
                <w:color w:val="000000"/>
                <w:sz w:val="18"/>
                <w:szCs w:val="18"/>
                <w:lang w:eastAsia="en-AU"/>
              </w:rPr>
            </w:pPr>
            <w:r w:rsidRPr="0026339A">
              <w:rPr>
                <w:rFonts w:eastAsia="Times New Roman" w:cs="Arial"/>
                <w:color w:val="000000"/>
                <w:sz w:val="18"/>
                <w:szCs w:val="18"/>
                <w:lang w:eastAsia="en-AU"/>
              </w:rPr>
              <w:t>66.9%</w:t>
            </w:r>
          </w:p>
        </w:tc>
      </w:tr>
      <w:tr w:rsidR="0026339A" w:rsidRPr="00DD4C71" w14:paraId="72C25E1D" w14:textId="77777777" w:rsidTr="0026339A">
        <w:trPr>
          <w:trHeight w:val="315"/>
        </w:trPr>
        <w:tc>
          <w:tcPr>
            <w:tcW w:w="1218" w:type="dxa"/>
            <w:tcBorders>
              <w:top w:val="nil"/>
              <w:left w:val="nil"/>
              <w:bottom w:val="single" w:sz="8" w:space="0" w:color="auto"/>
              <w:right w:val="nil"/>
            </w:tcBorders>
            <w:shd w:val="clear" w:color="000000" w:fill="E8E8E8"/>
            <w:vAlign w:val="center"/>
            <w:hideMark/>
          </w:tcPr>
          <w:p w14:paraId="7F97A59E" w14:textId="77777777" w:rsidR="0026339A" w:rsidRPr="0026339A" w:rsidRDefault="0026339A" w:rsidP="0026339A">
            <w:pPr>
              <w:spacing w:after="0" w:line="240" w:lineRule="auto"/>
              <w:jc w:val="center"/>
              <w:rPr>
                <w:rFonts w:ascii="Wingdings" w:eastAsia="Times New Roman" w:hAnsi="Wingdings" w:cs="Times New Roman"/>
                <w:color w:val="000000"/>
                <w:sz w:val="18"/>
                <w:szCs w:val="18"/>
                <w:lang w:eastAsia="en-AU"/>
              </w:rPr>
            </w:pPr>
            <w:r w:rsidRPr="0026339A">
              <w:rPr>
                <w:rFonts w:ascii="Wingdings" w:eastAsia="Times New Roman" w:hAnsi="Wingdings" w:cs="Times New Roman"/>
                <w:color w:val="000000"/>
                <w:sz w:val="18"/>
                <w:szCs w:val="18"/>
                <w:lang w:eastAsia="en-AU"/>
              </w:rPr>
              <w:t>á</w:t>
            </w:r>
            <w:r w:rsidRPr="0026339A">
              <w:rPr>
                <w:rFonts w:eastAsia="Times New Roman" w:cs="Arial"/>
                <w:color w:val="000000"/>
                <w:sz w:val="18"/>
                <w:szCs w:val="18"/>
                <w:lang w:eastAsia="en-AU"/>
              </w:rPr>
              <w:t>0.9%</w:t>
            </w:r>
          </w:p>
        </w:tc>
        <w:tc>
          <w:tcPr>
            <w:tcW w:w="1200" w:type="dxa"/>
            <w:tcBorders>
              <w:top w:val="nil"/>
              <w:left w:val="nil"/>
              <w:bottom w:val="single" w:sz="8" w:space="0" w:color="auto"/>
              <w:right w:val="nil"/>
            </w:tcBorders>
            <w:shd w:val="clear" w:color="000000" w:fill="E8E8E8"/>
            <w:vAlign w:val="center"/>
            <w:hideMark/>
          </w:tcPr>
          <w:p w14:paraId="77B9AC03" w14:textId="77777777" w:rsidR="0026339A" w:rsidRPr="0026339A" w:rsidRDefault="0026339A" w:rsidP="0026339A">
            <w:pPr>
              <w:spacing w:after="0" w:line="240" w:lineRule="auto"/>
              <w:jc w:val="center"/>
              <w:rPr>
                <w:rFonts w:ascii="Wingdings" w:eastAsia="Times New Roman" w:hAnsi="Wingdings" w:cs="Times New Roman"/>
                <w:color w:val="000000"/>
                <w:sz w:val="18"/>
                <w:szCs w:val="18"/>
                <w:lang w:eastAsia="en-AU"/>
              </w:rPr>
            </w:pPr>
            <w:r w:rsidRPr="0026339A">
              <w:rPr>
                <w:rFonts w:ascii="Wingdings" w:eastAsia="Times New Roman" w:hAnsi="Wingdings" w:cs="Times New Roman"/>
                <w:color w:val="000000"/>
                <w:sz w:val="18"/>
                <w:szCs w:val="18"/>
                <w:lang w:eastAsia="en-AU"/>
              </w:rPr>
              <w:t>á</w:t>
            </w:r>
            <w:r w:rsidRPr="0026339A">
              <w:rPr>
                <w:rFonts w:eastAsia="Times New Roman" w:cs="Arial"/>
                <w:color w:val="000000"/>
                <w:sz w:val="18"/>
                <w:szCs w:val="18"/>
                <w:lang w:eastAsia="en-AU"/>
              </w:rPr>
              <w:t>0.8%</w:t>
            </w:r>
          </w:p>
        </w:tc>
        <w:tc>
          <w:tcPr>
            <w:tcW w:w="1197" w:type="dxa"/>
            <w:tcBorders>
              <w:top w:val="nil"/>
              <w:left w:val="nil"/>
              <w:bottom w:val="single" w:sz="8" w:space="0" w:color="auto"/>
              <w:right w:val="nil"/>
            </w:tcBorders>
            <w:shd w:val="clear" w:color="000000" w:fill="E8E8E8"/>
            <w:vAlign w:val="center"/>
            <w:hideMark/>
          </w:tcPr>
          <w:p w14:paraId="2908D49F" w14:textId="77777777" w:rsidR="0026339A" w:rsidRPr="0026339A" w:rsidRDefault="0026339A" w:rsidP="0026339A">
            <w:pPr>
              <w:spacing w:after="0" w:line="240" w:lineRule="auto"/>
              <w:jc w:val="center"/>
              <w:rPr>
                <w:rFonts w:ascii="Wingdings" w:eastAsia="Times New Roman" w:hAnsi="Wingdings" w:cs="Times New Roman"/>
                <w:color w:val="000000"/>
                <w:sz w:val="18"/>
                <w:szCs w:val="18"/>
                <w:lang w:eastAsia="en-AU"/>
              </w:rPr>
            </w:pPr>
            <w:r w:rsidRPr="0026339A">
              <w:rPr>
                <w:rFonts w:ascii="Wingdings" w:eastAsia="Times New Roman" w:hAnsi="Wingdings" w:cs="Times New Roman"/>
                <w:color w:val="000000"/>
                <w:sz w:val="18"/>
                <w:szCs w:val="18"/>
                <w:lang w:eastAsia="en-AU"/>
              </w:rPr>
              <w:t>á</w:t>
            </w:r>
            <w:r w:rsidRPr="0026339A">
              <w:rPr>
                <w:rFonts w:eastAsia="Times New Roman" w:cs="Arial"/>
                <w:color w:val="000000"/>
                <w:sz w:val="18"/>
                <w:szCs w:val="18"/>
                <w:lang w:eastAsia="en-AU"/>
              </w:rPr>
              <w:t>1.1%</w:t>
            </w:r>
          </w:p>
        </w:tc>
        <w:tc>
          <w:tcPr>
            <w:tcW w:w="1236" w:type="dxa"/>
            <w:tcBorders>
              <w:top w:val="nil"/>
              <w:left w:val="nil"/>
              <w:bottom w:val="single" w:sz="8" w:space="0" w:color="auto"/>
              <w:right w:val="nil"/>
            </w:tcBorders>
            <w:shd w:val="clear" w:color="000000" w:fill="E8E8E8"/>
            <w:vAlign w:val="center"/>
            <w:hideMark/>
          </w:tcPr>
          <w:p w14:paraId="52D19008" w14:textId="77777777" w:rsidR="0026339A" w:rsidRPr="0026339A" w:rsidRDefault="0026339A" w:rsidP="0026339A">
            <w:pPr>
              <w:spacing w:after="0" w:line="240" w:lineRule="auto"/>
              <w:jc w:val="center"/>
              <w:rPr>
                <w:rFonts w:ascii="Wingdings" w:eastAsia="Times New Roman" w:hAnsi="Wingdings" w:cs="Times New Roman"/>
                <w:color w:val="000000"/>
                <w:sz w:val="18"/>
                <w:szCs w:val="18"/>
                <w:lang w:eastAsia="en-AU"/>
              </w:rPr>
            </w:pPr>
            <w:r w:rsidRPr="0026339A">
              <w:rPr>
                <w:rFonts w:ascii="Wingdings" w:eastAsia="Times New Roman" w:hAnsi="Wingdings" w:cs="Times New Roman"/>
                <w:color w:val="000000"/>
                <w:sz w:val="18"/>
                <w:szCs w:val="18"/>
                <w:lang w:eastAsia="en-AU"/>
              </w:rPr>
              <w:t>á</w:t>
            </w:r>
            <w:r w:rsidRPr="0026339A">
              <w:rPr>
                <w:rFonts w:eastAsia="Times New Roman" w:cs="Arial"/>
                <w:color w:val="000000"/>
                <w:sz w:val="18"/>
                <w:szCs w:val="18"/>
                <w:lang w:eastAsia="en-AU"/>
              </w:rPr>
              <w:t>0.1%</w:t>
            </w:r>
          </w:p>
        </w:tc>
        <w:tc>
          <w:tcPr>
            <w:tcW w:w="1687" w:type="dxa"/>
            <w:tcBorders>
              <w:top w:val="nil"/>
              <w:left w:val="nil"/>
              <w:bottom w:val="single" w:sz="8" w:space="0" w:color="auto"/>
              <w:right w:val="nil"/>
            </w:tcBorders>
            <w:shd w:val="clear" w:color="000000" w:fill="E8E8E8"/>
            <w:vAlign w:val="center"/>
            <w:hideMark/>
          </w:tcPr>
          <w:p w14:paraId="4C8F6C8E" w14:textId="77777777" w:rsidR="0026339A" w:rsidRPr="0026339A" w:rsidRDefault="0026339A" w:rsidP="0026339A">
            <w:pPr>
              <w:spacing w:after="0" w:line="240" w:lineRule="auto"/>
              <w:jc w:val="center"/>
              <w:rPr>
                <w:rFonts w:ascii="Wingdings" w:eastAsia="Times New Roman" w:hAnsi="Wingdings" w:cs="Times New Roman"/>
                <w:color w:val="000000"/>
                <w:sz w:val="18"/>
                <w:szCs w:val="18"/>
                <w:lang w:eastAsia="en-AU"/>
              </w:rPr>
            </w:pPr>
            <w:r w:rsidRPr="0026339A">
              <w:rPr>
                <w:rFonts w:ascii="Wingdings" w:eastAsia="Times New Roman" w:hAnsi="Wingdings" w:cs="Times New Roman"/>
                <w:color w:val="000000"/>
                <w:sz w:val="18"/>
                <w:szCs w:val="18"/>
                <w:lang w:eastAsia="en-AU"/>
              </w:rPr>
              <w:t>á</w:t>
            </w:r>
            <w:r w:rsidRPr="0026339A">
              <w:rPr>
                <w:rFonts w:eastAsia="Times New Roman" w:cs="Arial"/>
                <w:color w:val="000000"/>
                <w:sz w:val="18"/>
                <w:szCs w:val="18"/>
                <w:lang w:eastAsia="en-AU"/>
              </w:rPr>
              <w:t xml:space="preserve"> 0.01% pts</w:t>
            </w:r>
          </w:p>
        </w:tc>
        <w:tc>
          <w:tcPr>
            <w:tcW w:w="1684" w:type="dxa"/>
            <w:tcBorders>
              <w:top w:val="nil"/>
              <w:left w:val="nil"/>
              <w:bottom w:val="single" w:sz="8" w:space="0" w:color="auto"/>
              <w:right w:val="nil"/>
            </w:tcBorders>
            <w:shd w:val="clear" w:color="000000" w:fill="E8E8E8"/>
            <w:vAlign w:val="center"/>
            <w:hideMark/>
          </w:tcPr>
          <w:p w14:paraId="354461C6" w14:textId="77777777" w:rsidR="0026339A" w:rsidRPr="0026339A" w:rsidRDefault="0026339A" w:rsidP="0026339A">
            <w:pPr>
              <w:spacing w:after="0" w:line="240" w:lineRule="auto"/>
              <w:jc w:val="center"/>
              <w:rPr>
                <w:rFonts w:ascii="Wingdings" w:eastAsia="Times New Roman" w:hAnsi="Wingdings" w:cs="Times New Roman"/>
                <w:color w:val="000000"/>
                <w:sz w:val="18"/>
                <w:szCs w:val="18"/>
                <w:lang w:eastAsia="en-AU"/>
              </w:rPr>
            </w:pPr>
            <w:r w:rsidRPr="0026339A">
              <w:rPr>
                <w:rFonts w:ascii="Wingdings" w:eastAsia="Times New Roman" w:hAnsi="Wingdings" w:cs="Times New Roman"/>
                <w:color w:val="000000"/>
                <w:sz w:val="18"/>
                <w:szCs w:val="18"/>
                <w:lang w:eastAsia="en-AU"/>
              </w:rPr>
              <w:t>á</w:t>
            </w:r>
            <w:r w:rsidRPr="0026339A">
              <w:rPr>
                <w:rFonts w:eastAsia="Times New Roman" w:cs="Arial"/>
                <w:color w:val="000000"/>
                <w:sz w:val="18"/>
                <w:szCs w:val="18"/>
                <w:lang w:eastAsia="en-AU"/>
              </w:rPr>
              <w:t xml:space="preserve"> 0.2% pts</w:t>
            </w:r>
          </w:p>
        </w:tc>
        <w:tc>
          <w:tcPr>
            <w:tcW w:w="1276" w:type="dxa"/>
            <w:tcBorders>
              <w:top w:val="nil"/>
              <w:left w:val="nil"/>
              <w:bottom w:val="single" w:sz="8" w:space="0" w:color="auto"/>
              <w:right w:val="nil"/>
            </w:tcBorders>
            <w:shd w:val="clear" w:color="000000" w:fill="E8E8E8"/>
            <w:vAlign w:val="center"/>
            <w:hideMark/>
          </w:tcPr>
          <w:p w14:paraId="1B67A8C5" w14:textId="77777777" w:rsidR="0026339A" w:rsidRPr="0026339A" w:rsidRDefault="0026339A" w:rsidP="0026339A">
            <w:pPr>
              <w:spacing w:after="0" w:line="240" w:lineRule="auto"/>
              <w:jc w:val="center"/>
              <w:rPr>
                <w:rFonts w:ascii="Wingdings" w:eastAsia="Times New Roman" w:hAnsi="Wingdings" w:cs="Times New Roman"/>
                <w:color w:val="000000"/>
                <w:sz w:val="18"/>
                <w:szCs w:val="18"/>
                <w:lang w:eastAsia="en-AU"/>
              </w:rPr>
            </w:pPr>
            <w:r w:rsidRPr="0026339A">
              <w:rPr>
                <w:rFonts w:ascii="Wingdings" w:eastAsia="Times New Roman" w:hAnsi="Wingdings" w:cs="Times New Roman"/>
                <w:color w:val="000000"/>
                <w:sz w:val="18"/>
                <w:szCs w:val="18"/>
                <w:lang w:eastAsia="en-AU"/>
              </w:rPr>
              <w:t>á</w:t>
            </w:r>
            <w:r w:rsidRPr="0026339A">
              <w:rPr>
                <w:rFonts w:ascii="Aptos Narrow" w:eastAsia="Times New Roman" w:hAnsi="Aptos Narrow" w:cs="Times New Roman"/>
                <w:color w:val="000000"/>
                <w:sz w:val="18"/>
                <w:szCs w:val="18"/>
                <w:lang w:eastAsia="en-AU"/>
              </w:rPr>
              <w:t xml:space="preserve"> </w:t>
            </w:r>
            <w:r w:rsidRPr="0026339A">
              <w:rPr>
                <w:rFonts w:eastAsia="Times New Roman" w:cs="Arial"/>
                <w:color w:val="000000"/>
                <w:sz w:val="18"/>
                <w:szCs w:val="18"/>
                <w:lang w:eastAsia="en-AU"/>
              </w:rPr>
              <w:t>0.3% pts</w:t>
            </w:r>
          </w:p>
        </w:tc>
      </w:tr>
    </w:tbl>
    <w:p w14:paraId="2D61E67E" w14:textId="77777777" w:rsidR="004973FD" w:rsidRPr="00DD4C71" w:rsidRDefault="004973FD" w:rsidP="004973FD">
      <w:pPr>
        <w:pStyle w:val="Source"/>
        <w:spacing w:before="0"/>
        <w:ind w:right="-46"/>
      </w:pPr>
      <w:r w:rsidRPr="00DD4C71">
        <w:t>Source: Australian Bureau of Statistics (ABS), Labour Force, Australia, June 2024, seasonally adjusted data.</w:t>
      </w:r>
    </w:p>
    <w:p w14:paraId="141817CF" w14:textId="77777777" w:rsidR="00F72AC2" w:rsidRDefault="00F72AC2" w:rsidP="003D606D">
      <w:pPr>
        <w:rPr>
          <w:rFonts w:eastAsia="Arial" w:cs="Times New Roman"/>
        </w:rPr>
      </w:pPr>
      <w:bookmarkStart w:id="9" w:name="_Hlk173915452"/>
      <w:bookmarkStart w:id="10" w:name="_Hlk150266369"/>
      <w:bookmarkEnd w:id="4"/>
      <w:bookmarkEnd w:id="5"/>
      <w:bookmarkEnd w:id="6"/>
    </w:p>
    <w:p w14:paraId="4CB2B0A9" w14:textId="201846EC" w:rsidR="003D606D" w:rsidRDefault="00AC1329" w:rsidP="003D606D">
      <w:r w:rsidRPr="00DD4C71">
        <w:rPr>
          <w:rFonts w:eastAsia="Arial" w:cs="Times New Roman"/>
        </w:rPr>
        <w:t>With respect to the composition of jobs growth</w:t>
      </w:r>
      <w:r w:rsidR="00385F4D">
        <w:rPr>
          <w:rFonts w:eastAsia="Arial" w:cs="Times New Roman"/>
        </w:rPr>
        <w:t>,</w:t>
      </w:r>
      <w:r w:rsidRPr="00DD4C71">
        <w:rPr>
          <w:rFonts w:eastAsia="Arial" w:cs="Times New Roman"/>
        </w:rPr>
        <w:t xml:space="preserve"> over the </w:t>
      </w:r>
      <w:r w:rsidRPr="00311F7F">
        <w:rPr>
          <w:rFonts w:eastAsia="Arial" w:cs="Times New Roman"/>
          <w:i/>
          <w:iCs/>
        </w:rPr>
        <w:t>quarter</w:t>
      </w:r>
      <w:r w:rsidRPr="00DD4C71">
        <w:rPr>
          <w:rFonts w:eastAsia="Arial" w:cs="Times New Roman"/>
        </w:rPr>
        <w:t xml:space="preserve"> the majority (61%) of the increase in employment was due to a rise in full-time employment (of 76,800 or 0.8%), while part-time employment also increased (by 49,000 or 1.1%).</w:t>
      </w:r>
      <w:r w:rsidR="00AB3998">
        <w:rPr>
          <w:rFonts w:eastAsia="Arial" w:cs="Times New Roman"/>
        </w:rPr>
        <w:t xml:space="preserve"> </w:t>
      </w:r>
      <w:r w:rsidR="00385F4D" w:rsidRPr="00385F4D">
        <w:rPr>
          <w:rFonts w:eastAsia="Arial" w:cs="Times New Roman"/>
        </w:rPr>
        <w:t xml:space="preserve">Over the last </w:t>
      </w:r>
      <w:r w:rsidR="00385F4D" w:rsidRPr="00385F4D">
        <w:rPr>
          <w:rFonts w:eastAsia="Arial" w:cs="Times New Roman"/>
          <w:i/>
          <w:iCs/>
        </w:rPr>
        <w:t>year</w:t>
      </w:r>
      <w:r w:rsidR="00385F4D">
        <w:rPr>
          <w:rFonts w:eastAsia="Arial" w:cs="Times New Roman"/>
        </w:rPr>
        <w:t xml:space="preserve">, </w:t>
      </w:r>
      <w:r w:rsidR="00385F4D" w:rsidRPr="00385F4D">
        <w:rPr>
          <w:rFonts w:eastAsia="Arial" w:cs="Times New Roman"/>
        </w:rPr>
        <w:t>full-time jobs growth has been reasonably modest</w:t>
      </w:r>
      <w:r w:rsidR="00385F4D">
        <w:rPr>
          <w:rFonts w:eastAsia="Arial" w:cs="Times New Roman"/>
        </w:rPr>
        <w:t xml:space="preserve">, </w:t>
      </w:r>
      <w:r w:rsidR="00385F4D" w:rsidRPr="00385F4D">
        <w:rPr>
          <w:rFonts w:eastAsia="Arial" w:cs="Times New Roman"/>
        </w:rPr>
        <w:t>increasing by 122,100 (or 1.2%), while part-time employment has surged over the period, by 266,300 (or 6.3%).</w:t>
      </w:r>
      <w:r w:rsidR="00F72AC2">
        <w:rPr>
          <w:rFonts w:eastAsia="Arial" w:cs="Times New Roman"/>
        </w:rPr>
        <w:t xml:space="preserve"> T</w:t>
      </w:r>
      <w:r w:rsidR="003D606D" w:rsidRPr="00DD4C71">
        <w:rPr>
          <w:rFonts w:eastAsia="Arial" w:cs="Times New Roman"/>
        </w:rPr>
        <w:t xml:space="preserve">he current pace of annual employment growth is broadly in line with working-age (15-64 years) population growth (of 2.9%), </w:t>
      </w:r>
      <w:r w:rsidR="00F72AC2">
        <w:rPr>
          <w:rFonts w:eastAsia="Arial" w:cs="Times New Roman"/>
        </w:rPr>
        <w:t xml:space="preserve">although </w:t>
      </w:r>
      <w:r w:rsidR="003D606D" w:rsidRPr="00DD4C71">
        <w:rPr>
          <w:rFonts w:eastAsia="Arial" w:cs="Times New Roman"/>
        </w:rPr>
        <w:t>it has clearly eased from its peak of 7.3% in October 2022 (when it was well above the growth in the working-age population at that time, of 2.1%)</w:t>
      </w:r>
      <w:r w:rsidR="00D32145">
        <w:rPr>
          <w:rFonts w:eastAsia="Arial" w:cs="Times New Roman"/>
        </w:rPr>
        <w:t xml:space="preserve">, </w:t>
      </w:r>
      <w:r w:rsidR="003D606D" w:rsidRPr="00DD4C71">
        <w:rPr>
          <w:rFonts w:eastAsia="Arial" w:cs="Times New Roman"/>
        </w:rPr>
        <w:t>Figure 1</w:t>
      </w:r>
      <w:r w:rsidR="003D606D" w:rsidRPr="00DD4C71">
        <w:t xml:space="preserve">. </w:t>
      </w:r>
    </w:p>
    <w:p w14:paraId="44BA9837" w14:textId="77777777" w:rsidR="002D22CA" w:rsidRDefault="002D22CA" w:rsidP="003D606D"/>
    <w:p w14:paraId="5428D5F7" w14:textId="77777777" w:rsidR="004973FD" w:rsidRPr="00DD4C71" w:rsidRDefault="004973FD" w:rsidP="004973FD">
      <w:pPr>
        <w:pStyle w:val="ChartandTablelabel"/>
        <w:keepNext/>
        <w:keepLines/>
        <w:rPr>
          <w:rFonts w:asciiTheme="minorHAnsi" w:hAnsiTheme="minorHAnsi"/>
          <w:lang w:val="en-AU"/>
        </w:rPr>
      </w:pPr>
      <w:bookmarkStart w:id="11" w:name="_Hlk173915493"/>
      <w:bookmarkEnd w:id="9"/>
      <w:r w:rsidRPr="00DD4C71">
        <w:rPr>
          <w:rFonts w:asciiTheme="minorHAnsi" w:hAnsiTheme="minorHAnsi"/>
          <w:lang w:val="en-AU"/>
        </w:rPr>
        <w:t>Figure 1: Annual change in employment and the working-age population, June 2014 to June 2024</w:t>
      </w:r>
    </w:p>
    <w:p w14:paraId="287147BC" w14:textId="647B4D98" w:rsidR="00791D97" w:rsidRDefault="002D22CA" w:rsidP="00002FDA">
      <w:pPr>
        <w:pStyle w:val="ChartandTablelabel"/>
        <w:keepNext/>
        <w:keepLines/>
        <w:jc w:val="center"/>
        <w:rPr>
          <w:rFonts w:asciiTheme="minorHAnsi" w:hAnsiTheme="minorHAnsi"/>
          <w:lang w:val="en-AU"/>
        </w:rPr>
      </w:pPr>
      <w:r w:rsidRPr="002D22CA">
        <w:rPr>
          <w:noProof/>
        </w:rPr>
        <w:drawing>
          <wp:inline distT="0" distB="0" distL="0" distR="0" wp14:anchorId="77C1F8B0" wp14:editId="42A69E93">
            <wp:extent cx="5582285" cy="3242945"/>
            <wp:effectExtent l="0" t="0" r="0" b="0"/>
            <wp:docPr id="709635588" name="Picture 5" descr="A line chart with annual employment and working-age population growth. It shows employment growth has declined from its peak in October 2022 when it was well above the growth in the working-age population. In June 2024, employment growth is broadly in line with working-age population growth (of 2.9 per 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635588" name="Picture 5" descr="A line chart with annual employment and working-age population growth. It shows employment growth has declined from its peak in October 2022 when it was well above the growth in the working-age population. In June 2024, employment growth is broadly in line with working-age population growth (of 2.9 per cent)."/>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582285" cy="3242945"/>
                    </a:xfrm>
                    <a:prstGeom prst="rect">
                      <a:avLst/>
                    </a:prstGeom>
                    <a:noFill/>
                    <a:ln>
                      <a:noFill/>
                    </a:ln>
                  </pic:spPr>
                </pic:pic>
              </a:graphicData>
            </a:graphic>
          </wp:inline>
        </w:drawing>
      </w:r>
    </w:p>
    <w:p w14:paraId="078CCD9B" w14:textId="77777777" w:rsidR="004973FD" w:rsidRPr="00DD4C71" w:rsidRDefault="004973FD" w:rsidP="006D4B28">
      <w:pPr>
        <w:pStyle w:val="Source"/>
      </w:pPr>
      <w:r w:rsidRPr="00DD4C71">
        <w:t>Source: ABS, Labour Force, Australia, June 2024, seasonally adjusted data for employment growth and original data for working-age population growth.</w:t>
      </w:r>
    </w:p>
    <w:p w14:paraId="0261FBE1" w14:textId="77777777" w:rsidR="00AB3998" w:rsidRDefault="00AB3998" w:rsidP="004973FD">
      <w:pPr>
        <w:rPr>
          <w:rFonts w:eastAsia="Arial" w:cs="Times New Roman"/>
        </w:rPr>
      </w:pPr>
      <w:bookmarkStart w:id="12" w:name="_Hlk173915519"/>
      <w:bookmarkEnd w:id="11"/>
    </w:p>
    <w:p w14:paraId="2818371E" w14:textId="4DA068AC" w:rsidR="004973FD" w:rsidRDefault="004973FD" w:rsidP="004973FD">
      <w:pPr>
        <w:rPr>
          <w:rFonts w:eastAsia="Arial" w:cs="Times New Roman"/>
        </w:rPr>
      </w:pPr>
      <w:r w:rsidRPr="004D2FF1">
        <w:rPr>
          <w:rFonts w:eastAsia="Arial" w:cs="Times New Roman"/>
        </w:rPr>
        <w:lastRenderedPageBreak/>
        <w:t xml:space="preserve">The number of hours worked increased slightly over the quarter, by 1.9 million hours (or 0.1%). While the aggregate hours worked series can be volatile, the </w:t>
      </w:r>
      <w:r w:rsidRPr="004D2FF1">
        <w:rPr>
          <w:rFonts w:eastAsia="Arial" w:cs="Times New Roman"/>
          <w:i/>
          <w:iCs/>
        </w:rPr>
        <w:t xml:space="preserve">annual </w:t>
      </w:r>
      <w:r w:rsidRPr="004D2FF1">
        <w:rPr>
          <w:rFonts w:eastAsia="Arial" w:cs="Times New Roman"/>
        </w:rPr>
        <w:t>rate of growth in hours worked has softened</w:t>
      </w:r>
      <w:r w:rsidRPr="00DD4C71">
        <w:rPr>
          <w:rFonts w:eastAsia="Arial" w:cs="Times New Roman"/>
        </w:rPr>
        <w:t xml:space="preserve"> considerably, from its recent peak of 10.4% in January 2023 (significantly higher than the 3.8% increase in employment at that time), to its current rate, of just 1.4% (well </w:t>
      </w:r>
      <w:r w:rsidRPr="00DD4C71">
        <w:rPr>
          <w:rFonts w:eastAsia="Arial" w:cs="Times New Roman"/>
          <w:i/>
          <w:iCs/>
        </w:rPr>
        <w:t xml:space="preserve">below </w:t>
      </w:r>
      <w:r w:rsidRPr="00DD4C71">
        <w:rPr>
          <w:rFonts w:eastAsia="Arial" w:cs="Times New Roman"/>
        </w:rPr>
        <w:t>the annual employment growth rate, of 2.8%)</w:t>
      </w:r>
      <w:r w:rsidR="00D32145">
        <w:rPr>
          <w:rFonts w:eastAsia="Arial" w:cs="Times New Roman"/>
        </w:rPr>
        <w:t xml:space="preserve">, </w:t>
      </w:r>
      <w:r w:rsidRPr="00DD4C71">
        <w:rPr>
          <w:rFonts w:eastAsia="Arial" w:cs="Times New Roman"/>
        </w:rPr>
        <w:t xml:space="preserve">Figure 2. </w:t>
      </w:r>
    </w:p>
    <w:p w14:paraId="10AE597A" w14:textId="77777777" w:rsidR="00C57211" w:rsidRPr="00DD4C71" w:rsidRDefault="00C57211" w:rsidP="004973FD">
      <w:pPr>
        <w:rPr>
          <w:rFonts w:eastAsia="Arial" w:cs="Times New Roman"/>
        </w:rPr>
      </w:pPr>
    </w:p>
    <w:p w14:paraId="671BD73A" w14:textId="319E8683" w:rsidR="004973FD" w:rsidRPr="00DD4C71" w:rsidRDefault="004973FD" w:rsidP="00AC1329">
      <w:pPr>
        <w:pStyle w:val="ChartandTablelabel"/>
        <w:keepNext/>
        <w:keepLines/>
        <w:rPr>
          <w:rFonts w:asciiTheme="minorHAnsi" w:hAnsiTheme="minorHAnsi"/>
          <w:lang w:val="en-AU"/>
        </w:rPr>
      </w:pPr>
      <w:r w:rsidRPr="00DD4C71">
        <w:rPr>
          <w:rFonts w:asciiTheme="minorHAnsi" w:hAnsiTheme="minorHAnsi"/>
          <w:lang w:val="en-AU"/>
        </w:rPr>
        <w:t>Figure 2: Annual change in employment and aggregate hours worked, June 2019 to June 2024</w:t>
      </w:r>
    </w:p>
    <w:p w14:paraId="321CC754" w14:textId="519BB21C" w:rsidR="004973FD" w:rsidRPr="00DD4C71" w:rsidRDefault="0026339A" w:rsidP="004973FD">
      <w:pPr>
        <w:keepNext/>
        <w:keepLines/>
        <w:spacing w:after="0"/>
      </w:pPr>
      <w:r w:rsidRPr="00DD4C71">
        <w:rPr>
          <w:noProof/>
        </w:rPr>
        <w:drawing>
          <wp:inline distT="0" distB="0" distL="0" distR="0" wp14:anchorId="5D0CCE36" wp14:editId="22CA2CA7">
            <wp:extent cx="5580000" cy="2880000"/>
            <wp:effectExtent l="0" t="0" r="1905" b="0"/>
            <wp:docPr id="338968965" name="Chart 1" descr="A line chart with annual employment and aggregate hours worked as columns. It shows both employment growth and hours worked have declined, and hours growth is now higher than growth in employment.">
              <a:extLst xmlns:a="http://schemas.openxmlformats.org/drawingml/2006/main">
                <a:ext uri="{FF2B5EF4-FFF2-40B4-BE49-F238E27FC236}">
                  <a16:creationId xmlns:a16="http://schemas.microsoft.com/office/drawing/2014/main" id="{18CBFC85-62C8-44F4-AE07-BECEDDBFCA9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1517B3A4" w14:textId="77777777" w:rsidR="004973FD" w:rsidRPr="00DD4C71" w:rsidRDefault="004973FD" w:rsidP="006D4B28">
      <w:pPr>
        <w:pStyle w:val="Source"/>
      </w:pPr>
      <w:r w:rsidRPr="00DD4C71">
        <w:t>Source: ABS, Labour Force, Australia, June 2024, seasonally adjusted data</w:t>
      </w:r>
    </w:p>
    <w:p w14:paraId="4A1BBEAF" w14:textId="77777777" w:rsidR="00C57211" w:rsidRDefault="00C57211" w:rsidP="00F348AA">
      <w:pPr>
        <w:rPr>
          <w:rFonts w:eastAsia="Arial" w:cs="Times New Roman"/>
        </w:rPr>
      </w:pPr>
    </w:p>
    <w:p w14:paraId="5CD6F613" w14:textId="0BAB6A5A" w:rsidR="00F348AA" w:rsidRDefault="00F348AA" w:rsidP="00F348AA">
      <w:r w:rsidRPr="00DD4C71">
        <w:rPr>
          <w:rFonts w:eastAsia="Arial" w:cs="Times New Roman"/>
        </w:rPr>
        <w:t>The slower annual pace of aggregate hours worked and the strong rise in part-time employment noted above, suggests that employers may be hoarding workers in what is still a reasonably tight labour market (with some skill shortages) and are instead preferring to reduce employee hours, at least in the first instance, rather than letting staff go in response to the gradual softening in conditions</w:t>
      </w:r>
      <w:r w:rsidRPr="00DD4C71">
        <w:t>.</w:t>
      </w:r>
    </w:p>
    <w:p w14:paraId="0592A763" w14:textId="77777777" w:rsidR="00D47DFE" w:rsidRDefault="009020DB" w:rsidP="00CF1AC3">
      <w:pPr>
        <w:spacing w:after="120"/>
        <w:rPr>
          <w:rFonts w:eastAsia="Arial" w:cs="Times New Roman"/>
        </w:rPr>
      </w:pPr>
      <w:r>
        <w:rPr>
          <w:rFonts w:eastAsia="Arial" w:cs="Times New Roman"/>
        </w:rPr>
        <w:t xml:space="preserve">Net employment growth </w:t>
      </w:r>
      <w:r w:rsidR="00DE2A54">
        <w:rPr>
          <w:rFonts w:eastAsia="Arial" w:cs="Times New Roman"/>
        </w:rPr>
        <w:t xml:space="preserve">has varied significantly by skill level (discussed further on page </w:t>
      </w:r>
      <w:r w:rsidR="00D9199F">
        <w:rPr>
          <w:rFonts w:eastAsia="Arial" w:cs="Times New Roman"/>
        </w:rPr>
        <w:t>7</w:t>
      </w:r>
      <w:r w:rsidR="00DE2A54">
        <w:rPr>
          <w:rFonts w:eastAsia="Arial" w:cs="Times New Roman"/>
        </w:rPr>
        <w:t>)</w:t>
      </w:r>
      <w:r w:rsidR="00BF5AD9">
        <w:rPr>
          <w:rFonts w:eastAsia="Arial" w:cs="Times New Roman"/>
        </w:rPr>
        <w:t xml:space="preserve">, </w:t>
      </w:r>
      <w:r w:rsidR="005C1AD6">
        <w:rPr>
          <w:rFonts w:eastAsia="Arial" w:cs="Times New Roman"/>
        </w:rPr>
        <w:t xml:space="preserve">with a net decline in employment in Skill Level 5 occupations, which do not typically </w:t>
      </w:r>
      <w:r w:rsidR="007360D1">
        <w:rPr>
          <w:rFonts w:eastAsia="Arial" w:cs="Times New Roman"/>
        </w:rPr>
        <w:t xml:space="preserve">require any tertiary qualifications. Groups </w:t>
      </w:r>
      <w:r>
        <w:rPr>
          <w:rFonts w:eastAsia="Arial" w:cs="Times New Roman"/>
        </w:rPr>
        <w:t>who are less likely to have t</w:t>
      </w:r>
      <w:r w:rsidR="00640135">
        <w:rPr>
          <w:rFonts w:eastAsia="Arial" w:cs="Times New Roman"/>
        </w:rPr>
        <w:t>ertiary</w:t>
      </w:r>
      <w:r>
        <w:rPr>
          <w:rFonts w:eastAsia="Arial" w:cs="Times New Roman"/>
        </w:rPr>
        <w:t xml:space="preserve"> qualifications</w:t>
      </w:r>
      <w:r w:rsidR="007360D1">
        <w:rPr>
          <w:rFonts w:eastAsia="Arial" w:cs="Times New Roman"/>
        </w:rPr>
        <w:t xml:space="preserve">, </w:t>
      </w:r>
      <w:r>
        <w:rPr>
          <w:rFonts w:eastAsia="Arial" w:cs="Times New Roman"/>
        </w:rPr>
        <w:t>such as youth and the long-term unemployed</w:t>
      </w:r>
      <w:r w:rsidR="007360D1">
        <w:rPr>
          <w:rFonts w:eastAsia="Arial" w:cs="Times New Roman"/>
        </w:rPr>
        <w:t>,</w:t>
      </w:r>
      <w:r>
        <w:rPr>
          <w:rFonts w:eastAsia="Arial" w:cs="Times New Roman"/>
        </w:rPr>
        <w:t xml:space="preserve"> have experienced less positive employment outcomes over the past year.</w:t>
      </w:r>
      <w:r w:rsidR="004F7752">
        <w:rPr>
          <w:rFonts w:eastAsia="Arial" w:cs="Times New Roman"/>
        </w:rPr>
        <w:t xml:space="preserve"> </w:t>
      </w:r>
    </w:p>
    <w:p w14:paraId="629CFE18" w14:textId="5F53E252" w:rsidR="009020DB" w:rsidRDefault="00D44814" w:rsidP="00CF1AC3">
      <w:pPr>
        <w:spacing w:after="120"/>
        <w:rPr>
          <w:rFonts w:eastAsia="Arial" w:cs="Times New Roman"/>
        </w:rPr>
      </w:pPr>
      <w:r w:rsidRPr="00DB40E8">
        <w:rPr>
          <w:rFonts w:eastAsia="Arial" w:cs="Times New Roman"/>
        </w:rPr>
        <w:t>Y</w:t>
      </w:r>
      <w:r w:rsidR="00ED5FA8" w:rsidRPr="00DB40E8">
        <w:rPr>
          <w:rFonts w:eastAsia="Arial" w:cs="Times New Roman"/>
        </w:rPr>
        <w:t xml:space="preserve">outh employment </w:t>
      </w:r>
      <w:r w:rsidRPr="00DB40E8">
        <w:rPr>
          <w:rFonts w:eastAsia="SimSun" w:cs="Times New Roman"/>
          <w:spacing w:val="-1"/>
          <w:szCs w:val="20"/>
          <w:lang w:val="en-GB" w:eastAsia="en-GB"/>
        </w:rPr>
        <w:t>increased by 30,100 (or 1.4%) over the quarter, although the rise was due entirely to strong growth in part-time employment, up by 48,900 (or 4.0%), while full</w:t>
      </w:r>
      <w:r w:rsidRPr="00DB40E8">
        <w:rPr>
          <w:rFonts w:eastAsia="SimSun" w:cs="Times New Roman"/>
          <w:spacing w:val="-1"/>
          <w:szCs w:val="20"/>
          <w:lang w:val="en-GB" w:eastAsia="en-GB"/>
        </w:rPr>
        <w:noBreakHyphen/>
        <w:t>time employment fell by 19,100 (or 2.0%).</w:t>
      </w:r>
      <w:r w:rsidR="008026E5" w:rsidRPr="00DB40E8">
        <w:rPr>
          <w:rFonts w:eastAsia="SimSun" w:cs="Times New Roman"/>
          <w:spacing w:val="-1"/>
          <w:szCs w:val="20"/>
          <w:lang w:val="en-GB" w:eastAsia="en-GB"/>
        </w:rPr>
        <w:t xml:space="preserve"> While the youth unemployment rate fell over the quarter, by 0.1 percentage points, to stand at 9.5% in June 2024, it has risen by 1.5 percentage points over the </w:t>
      </w:r>
      <w:r w:rsidR="008026E5" w:rsidRPr="00DB40E8">
        <w:rPr>
          <w:rFonts w:eastAsia="SimSun" w:cs="Times New Roman"/>
          <w:i/>
          <w:iCs/>
          <w:spacing w:val="-1"/>
          <w:szCs w:val="20"/>
          <w:lang w:val="en-GB" w:eastAsia="en-GB"/>
        </w:rPr>
        <w:t>year</w:t>
      </w:r>
      <w:r w:rsidR="008026E5" w:rsidRPr="00DB40E8">
        <w:rPr>
          <w:rFonts w:eastAsia="SimSun" w:cs="Times New Roman"/>
          <w:spacing w:val="-1"/>
          <w:szCs w:val="20"/>
          <w:lang w:val="en-GB" w:eastAsia="en-GB"/>
        </w:rPr>
        <w:t xml:space="preserve">. </w:t>
      </w:r>
      <w:r w:rsidR="004F7752" w:rsidRPr="00DB40E8">
        <w:rPr>
          <w:rFonts w:eastAsia="Arial" w:cs="Times New Roman"/>
        </w:rPr>
        <w:t xml:space="preserve">Similarly, the number of long-term unemployed people increased </w:t>
      </w:r>
      <w:r w:rsidR="00800E12" w:rsidRPr="00DB40E8">
        <w:rPr>
          <w:rFonts w:eastAsia="Arial" w:cs="Times New Roman"/>
        </w:rPr>
        <w:t xml:space="preserve">by </w:t>
      </w:r>
      <w:r w:rsidR="00275746" w:rsidRPr="00DB40E8">
        <w:rPr>
          <w:rFonts w:eastAsia="Arial" w:cs="Times New Roman"/>
        </w:rPr>
        <w:t>9.1</w:t>
      </w:r>
      <w:r w:rsidR="00ED722B">
        <w:rPr>
          <w:rFonts w:eastAsia="Arial" w:cs="Times New Roman"/>
        </w:rPr>
        <w:t>%</w:t>
      </w:r>
      <w:r w:rsidR="00800E12" w:rsidRPr="00DB40E8">
        <w:rPr>
          <w:rFonts w:eastAsia="Arial" w:cs="Times New Roman"/>
        </w:rPr>
        <w:t xml:space="preserve"> over the year to June 2024.</w:t>
      </w:r>
    </w:p>
    <w:p w14:paraId="21DEA1ED" w14:textId="77777777" w:rsidR="009020DB" w:rsidRDefault="009020DB" w:rsidP="00F348AA"/>
    <w:p w14:paraId="272BD4A9" w14:textId="77777777" w:rsidR="00DA53CF" w:rsidRDefault="00DA53CF" w:rsidP="00F348AA"/>
    <w:p w14:paraId="63C10E79" w14:textId="397AE615" w:rsidR="008D1C26" w:rsidRPr="00DD4C71" w:rsidRDefault="008D1C26" w:rsidP="008D1C26">
      <w:pPr>
        <w:pStyle w:val="Heading2"/>
      </w:pPr>
      <w:bookmarkStart w:id="13" w:name="_Toc174691121"/>
      <w:r w:rsidRPr="00DD4C71">
        <w:lastRenderedPageBreak/>
        <w:t xml:space="preserve">Employment </w:t>
      </w:r>
      <w:r>
        <w:t>has been resilient across geographies</w:t>
      </w:r>
      <w:bookmarkEnd w:id="13"/>
    </w:p>
    <w:p w14:paraId="79DCA131" w14:textId="57FD0C96" w:rsidR="007502C1" w:rsidRPr="00DD4C71" w:rsidRDefault="007502C1" w:rsidP="007502C1">
      <w:pPr>
        <w:rPr>
          <w:rFonts w:eastAsia="Arial" w:cs="Times New Roman"/>
        </w:rPr>
      </w:pPr>
      <w:r w:rsidRPr="00DD4C71">
        <w:rPr>
          <w:rFonts w:eastAsia="Arial" w:cs="Times New Roman"/>
        </w:rPr>
        <w:t xml:space="preserve">Employment rose in 6 out of 8 jurisdictions over the June quarter 2024, with the largest increase occurring in Queensland (up by 53,500 or 1.8%), followed by Victoria (up by 36,200 or 1.0%) — see Table </w:t>
      </w:r>
      <w:r w:rsidR="00904B4B">
        <w:rPr>
          <w:rFonts w:eastAsia="Arial" w:cs="Times New Roman"/>
        </w:rPr>
        <w:t>2</w:t>
      </w:r>
      <w:r w:rsidRPr="00DD4C71">
        <w:rPr>
          <w:rFonts w:eastAsia="Arial" w:cs="Times New Roman"/>
        </w:rPr>
        <w:t>.</w:t>
      </w:r>
    </w:p>
    <w:p w14:paraId="2020D5AE" w14:textId="77777777" w:rsidR="007502C1" w:rsidRPr="00DD4C71" w:rsidRDefault="007502C1" w:rsidP="007502C1">
      <w:pPr>
        <w:rPr>
          <w:rFonts w:eastAsia="Arial" w:cs="Times New Roman"/>
        </w:rPr>
      </w:pPr>
      <w:r w:rsidRPr="00DD4C71">
        <w:rPr>
          <w:rFonts w:eastAsia="Arial" w:cs="Times New Roman"/>
        </w:rPr>
        <w:t xml:space="preserve">Six jurisdictions recorded an unemployment rate below 4.0% in June 2024, with the lowest rate recorded in the Australian Capital Territory (of 3.0%), followed by Tasmania (of 3.7%). The Northern Territory recorded the highest unemployment rate in June 2024 (of 4.6%). </w:t>
      </w:r>
    </w:p>
    <w:p w14:paraId="26B237E0" w14:textId="77777777" w:rsidR="007502C1" w:rsidRDefault="007502C1" w:rsidP="007502C1">
      <w:r w:rsidRPr="00DD4C71">
        <w:rPr>
          <w:rFonts w:eastAsia="Arial" w:cs="Times New Roman"/>
        </w:rPr>
        <w:t>The Northern Territory also recorded the highest participation rate, of 72.8% in June 2024, while Tasmania recorded the lowest participation rate, of 61.0%</w:t>
      </w:r>
      <w:r w:rsidRPr="00DD4C71">
        <w:t>.</w:t>
      </w:r>
    </w:p>
    <w:p w14:paraId="0B6846E4" w14:textId="77777777" w:rsidR="007502C1" w:rsidRDefault="007502C1" w:rsidP="007502C1"/>
    <w:p w14:paraId="1E1640AD" w14:textId="14EB10C6" w:rsidR="007502C1" w:rsidRPr="00DD4C71" w:rsidRDefault="007502C1" w:rsidP="007502C1">
      <w:pPr>
        <w:pStyle w:val="ChartandTablelabel"/>
        <w:rPr>
          <w:rFonts w:asciiTheme="minorHAnsi" w:hAnsiTheme="minorHAnsi"/>
          <w:lang w:val="en-AU"/>
        </w:rPr>
      </w:pPr>
      <w:r w:rsidRPr="00DD4C71">
        <w:rPr>
          <w:rFonts w:asciiTheme="minorHAnsi" w:hAnsiTheme="minorHAnsi"/>
          <w:lang w:val="en-AU"/>
        </w:rPr>
        <w:t xml:space="preserve">Table </w:t>
      </w:r>
      <w:r w:rsidR="00904B4B">
        <w:rPr>
          <w:rFonts w:asciiTheme="minorHAnsi" w:hAnsiTheme="minorHAnsi"/>
          <w:lang w:val="en-AU"/>
        </w:rPr>
        <w:t>2</w:t>
      </w:r>
      <w:r w:rsidRPr="00DD4C71">
        <w:rPr>
          <w:rFonts w:asciiTheme="minorHAnsi" w:hAnsiTheme="minorHAnsi"/>
          <w:lang w:val="en-AU"/>
        </w:rPr>
        <w:t>: Key labour market indicators by state and territory, June 2024</w:t>
      </w:r>
    </w:p>
    <w:tbl>
      <w:tblPr>
        <w:tblW w:w="9480" w:type="dxa"/>
        <w:tblLook w:val="04A0" w:firstRow="1" w:lastRow="0" w:firstColumn="1" w:lastColumn="0" w:noHBand="0" w:noVBand="1"/>
      </w:tblPr>
      <w:tblGrid>
        <w:gridCol w:w="2683"/>
        <w:gridCol w:w="995"/>
        <w:gridCol w:w="905"/>
        <w:gridCol w:w="889"/>
        <w:gridCol w:w="898"/>
        <w:gridCol w:w="1106"/>
        <w:gridCol w:w="898"/>
        <w:gridCol w:w="1106"/>
      </w:tblGrid>
      <w:tr w:rsidR="007502C1" w:rsidRPr="00DD4C71" w14:paraId="6B6A09CB" w14:textId="77777777" w:rsidTr="009E791A">
        <w:trPr>
          <w:trHeight w:val="300"/>
        </w:trPr>
        <w:tc>
          <w:tcPr>
            <w:tcW w:w="2800" w:type="dxa"/>
            <w:vMerge w:val="restart"/>
            <w:tcBorders>
              <w:top w:val="nil"/>
              <w:left w:val="nil"/>
              <w:bottom w:val="nil"/>
              <w:right w:val="nil"/>
            </w:tcBorders>
            <w:shd w:val="clear" w:color="000000" w:fill="012749"/>
            <w:vAlign w:val="center"/>
            <w:hideMark/>
          </w:tcPr>
          <w:p w14:paraId="56BBFE72" w14:textId="77777777" w:rsidR="007502C1" w:rsidRPr="00DD4C71" w:rsidRDefault="007502C1" w:rsidP="009E791A">
            <w:pPr>
              <w:spacing w:after="0" w:line="240" w:lineRule="auto"/>
              <w:rPr>
                <w:rFonts w:eastAsia="Times New Roman" w:cs="Arial"/>
                <w:color w:val="000000"/>
                <w:sz w:val="20"/>
                <w:szCs w:val="20"/>
                <w:lang w:eastAsia="en-AU"/>
              </w:rPr>
            </w:pPr>
            <w:r w:rsidRPr="00DD4C71">
              <w:rPr>
                <w:rFonts w:eastAsia="Times New Roman" w:cs="Arial"/>
                <w:color w:val="000000"/>
                <w:sz w:val="20"/>
                <w:szCs w:val="20"/>
                <w:lang w:eastAsia="en-AU"/>
              </w:rPr>
              <w:t> </w:t>
            </w:r>
          </w:p>
        </w:tc>
        <w:tc>
          <w:tcPr>
            <w:tcW w:w="2760" w:type="dxa"/>
            <w:gridSpan w:val="3"/>
            <w:vMerge w:val="restart"/>
            <w:tcBorders>
              <w:top w:val="nil"/>
              <w:left w:val="nil"/>
              <w:bottom w:val="nil"/>
              <w:right w:val="nil"/>
            </w:tcBorders>
            <w:shd w:val="clear" w:color="000000" w:fill="012749"/>
            <w:vAlign w:val="center"/>
            <w:hideMark/>
          </w:tcPr>
          <w:p w14:paraId="051D2DD7" w14:textId="77777777" w:rsidR="007502C1" w:rsidRPr="00DD4C71" w:rsidRDefault="007502C1" w:rsidP="009E791A">
            <w:pPr>
              <w:spacing w:after="0" w:line="240" w:lineRule="auto"/>
              <w:jc w:val="center"/>
              <w:rPr>
                <w:rFonts w:eastAsia="Times New Roman" w:cs="Arial"/>
                <w:b/>
                <w:bCs/>
                <w:color w:val="FFFFFF"/>
                <w:sz w:val="20"/>
                <w:szCs w:val="20"/>
                <w:lang w:eastAsia="en-AU"/>
              </w:rPr>
            </w:pPr>
            <w:r w:rsidRPr="00DD4C71">
              <w:rPr>
                <w:rFonts w:eastAsia="Times New Roman" w:cs="Arial"/>
                <w:b/>
                <w:bCs/>
                <w:color w:val="FFFFFF"/>
                <w:sz w:val="20"/>
                <w:szCs w:val="20"/>
                <w:lang w:eastAsia="en-AU"/>
              </w:rPr>
              <w:t>Employment ('000)</w:t>
            </w:r>
          </w:p>
        </w:tc>
        <w:tc>
          <w:tcPr>
            <w:tcW w:w="1940" w:type="dxa"/>
            <w:gridSpan w:val="2"/>
            <w:tcBorders>
              <w:top w:val="nil"/>
              <w:left w:val="nil"/>
              <w:bottom w:val="nil"/>
              <w:right w:val="nil"/>
            </w:tcBorders>
            <w:shd w:val="clear" w:color="000000" w:fill="012749"/>
            <w:vAlign w:val="center"/>
            <w:hideMark/>
          </w:tcPr>
          <w:p w14:paraId="4B743D17" w14:textId="77777777" w:rsidR="007502C1" w:rsidRPr="00DD4C71" w:rsidRDefault="007502C1" w:rsidP="009E791A">
            <w:pPr>
              <w:spacing w:after="0" w:line="240" w:lineRule="auto"/>
              <w:jc w:val="center"/>
              <w:rPr>
                <w:rFonts w:eastAsia="Times New Roman" w:cs="Arial"/>
                <w:b/>
                <w:bCs/>
                <w:color w:val="FFFFFF"/>
                <w:sz w:val="20"/>
                <w:szCs w:val="20"/>
                <w:lang w:eastAsia="en-AU"/>
              </w:rPr>
            </w:pPr>
            <w:r w:rsidRPr="00DD4C71">
              <w:rPr>
                <w:rFonts w:eastAsia="Times New Roman" w:cs="Arial"/>
                <w:b/>
                <w:bCs/>
                <w:color w:val="FFFFFF"/>
                <w:sz w:val="20"/>
                <w:szCs w:val="20"/>
                <w:lang w:eastAsia="en-AU"/>
              </w:rPr>
              <w:t>Unemployment</w:t>
            </w:r>
          </w:p>
        </w:tc>
        <w:tc>
          <w:tcPr>
            <w:tcW w:w="1980" w:type="dxa"/>
            <w:gridSpan w:val="2"/>
            <w:tcBorders>
              <w:top w:val="nil"/>
              <w:left w:val="nil"/>
              <w:bottom w:val="nil"/>
              <w:right w:val="nil"/>
            </w:tcBorders>
            <w:shd w:val="clear" w:color="000000" w:fill="012749"/>
            <w:vAlign w:val="center"/>
            <w:hideMark/>
          </w:tcPr>
          <w:p w14:paraId="455866BC" w14:textId="77777777" w:rsidR="007502C1" w:rsidRPr="00DD4C71" w:rsidRDefault="007502C1" w:rsidP="009E791A">
            <w:pPr>
              <w:spacing w:after="0" w:line="240" w:lineRule="auto"/>
              <w:jc w:val="center"/>
              <w:rPr>
                <w:rFonts w:eastAsia="Times New Roman" w:cs="Arial"/>
                <w:b/>
                <w:bCs/>
                <w:color w:val="FFFFFF"/>
                <w:sz w:val="20"/>
                <w:szCs w:val="20"/>
                <w:lang w:eastAsia="en-AU"/>
              </w:rPr>
            </w:pPr>
            <w:r w:rsidRPr="00DD4C71">
              <w:rPr>
                <w:rFonts w:eastAsia="Times New Roman" w:cs="Arial"/>
                <w:b/>
                <w:bCs/>
                <w:color w:val="FFFFFF"/>
                <w:sz w:val="20"/>
                <w:szCs w:val="20"/>
                <w:lang w:eastAsia="en-AU"/>
              </w:rPr>
              <w:t>Participation</w:t>
            </w:r>
          </w:p>
        </w:tc>
      </w:tr>
      <w:tr w:rsidR="007502C1" w:rsidRPr="00DD4C71" w14:paraId="41043C52" w14:textId="77777777" w:rsidTr="009E791A">
        <w:trPr>
          <w:trHeight w:val="315"/>
        </w:trPr>
        <w:tc>
          <w:tcPr>
            <w:tcW w:w="2800" w:type="dxa"/>
            <w:vMerge/>
            <w:tcBorders>
              <w:top w:val="nil"/>
              <w:left w:val="nil"/>
              <w:bottom w:val="nil"/>
              <w:right w:val="nil"/>
            </w:tcBorders>
            <w:vAlign w:val="center"/>
            <w:hideMark/>
          </w:tcPr>
          <w:p w14:paraId="5E06A63B" w14:textId="77777777" w:rsidR="007502C1" w:rsidRPr="00DD4C71" w:rsidRDefault="007502C1" w:rsidP="009E791A">
            <w:pPr>
              <w:spacing w:after="0" w:line="240" w:lineRule="auto"/>
              <w:rPr>
                <w:rFonts w:eastAsia="Times New Roman" w:cs="Arial"/>
                <w:color w:val="000000"/>
                <w:sz w:val="20"/>
                <w:szCs w:val="20"/>
                <w:lang w:eastAsia="en-AU"/>
              </w:rPr>
            </w:pPr>
          </w:p>
        </w:tc>
        <w:tc>
          <w:tcPr>
            <w:tcW w:w="2760" w:type="dxa"/>
            <w:gridSpan w:val="3"/>
            <w:vMerge/>
            <w:tcBorders>
              <w:top w:val="nil"/>
              <w:left w:val="nil"/>
              <w:bottom w:val="nil"/>
              <w:right w:val="nil"/>
            </w:tcBorders>
            <w:vAlign w:val="center"/>
            <w:hideMark/>
          </w:tcPr>
          <w:p w14:paraId="40241E71" w14:textId="77777777" w:rsidR="007502C1" w:rsidRPr="00DD4C71" w:rsidRDefault="007502C1" w:rsidP="009E791A">
            <w:pPr>
              <w:spacing w:after="0" w:line="240" w:lineRule="auto"/>
              <w:rPr>
                <w:rFonts w:eastAsia="Times New Roman" w:cs="Arial"/>
                <w:b/>
                <w:bCs/>
                <w:color w:val="FFFFFF"/>
                <w:sz w:val="20"/>
                <w:szCs w:val="20"/>
                <w:lang w:eastAsia="en-AU"/>
              </w:rPr>
            </w:pPr>
          </w:p>
        </w:tc>
        <w:tc>
          <w:tcPr>
            <w:tcW w:w="1940" w:type="dxa"/>
            <w:gridSpan w:val="2"/>
            <w:tcBorders>
              <w:top w:val="nil"/>
              <w:left w:val="nil"/>
              <w:bottom w:val="single" w:sz="8" w:space="0" w:color="FFFFFF"/>
              <w:right w:val="nil"/>
            </w:tcBorders>
            <w:shd w:val="clear" w:color="000000" w:fill="012749"/>
            <w:vAlign w:val="center"/>
            <w:hideMark/>
          </w:tcPr>
          <w:p w14:paraId="44B0BC4D" w14:textId="77777777" w:rsidR="007502C1" w:rsidRPr="00DD4C71" w:rsidRDefault="007502C1" w:rsidP="009E791A">
            <w:pPr>
              <w:spacing w:after="0" w:line="240" w:lineRule="auto"/>
              <w:jc w:val="center"/>
              <w:rPr>
                <w:rFonts w:eastAsia="Times New Roman" w:cs="Arial"/>
                <w:b/>
                <w:bCs/>
                <w:color w:val="FFFFFF"/>
                <w:sz w:val="20"/>
                <w:szCs w:val="20"/>
                <w:lang w:eastAsia="en-AU"/>
              </w:rPr>
            </w:pPr>
            <w:r w:rsidRPr="00DD4C71">
              <w:rPr>
                <w:rFonts w:eastAsia="Times New Roman" w:cs="Arial"/>
                <w:b/>
                <w:bCs/>
                <w:color w:val="FFFFFF"/>
                <w:sz w:val="20"/>
                <w:szCs w:val="20"/>
                <w:lang w:eastAsia="en-AU"/>
              </w:rPr>
              <w:t>rate (%)</w:t>
            </w:r>
          </w:p>
        </w:tc>
        <w:tc>
          <w:tcPr>
            <w:tcW w:w="1980" w:type="dxa"/>
            <w:gridSpan w:val="2"/>
            <w:tcBorders>
              <w:top w:val="nil"/>
              <w:left w:val="nil"/>
              <w:bottom w:val="single" w:sz="8" w:space="0" w:color="FFFFFF"/>
              <w:right w:val="nil"/>
            </w:tcBorders>
            <w:shd w:val="clear" w:color="000000" w:fill="012749"/>
            <w:vAlign w:val="center"/>
            <w:hideMark/>
          </w:tcPr>
          <w:p w14:paraId="4B34BB5A" w14:textId="77777777" w:rsidR="007502C1" w:rsidRPr="00DD4C71" w:rsidRDefault="007502C1" w:rsidP="009E791A">
            <w:pPr>
              <w:spacing w:after="0" w:line="240" w:lineRule="auto"/>
              <w:jc w:val="center"/>
              <w:rPr>
                <w:rFonts w:eastAsia="Times New Roman" w:cs="Arial"/>
                <w:b/>
                <w:bCs/>
                <w:color w:val="FFFFFF"/>
                <w:sz w:val="20"/>
                <w:szCs w:val="20"/>
                <w:lang w:eastAsia="en-AU"/>
              </w:rPr>
            </w:pPr>
            <w:r w:rsidRPr="00DD4C71">
              <w:rPr>
                <w:rFonts w:eastAsia="Times New Roman" w:cs="Arial"/>
                <w:b/>
                <w:bCs/>
                <w:color w:val="FFFFFF"/>
                <w:sz w:val="20"/>
                <w:szCs w:val="20"/>
                <w:lang w:eastAsia="en-AU"/>
              </w:rPr>
              <w:t>rate (%)</w:t>
            </w:r>
          </w:p>
        </w:tc>
      </w:tr>
      <w:tr w:rsidR="007502C1" w:rsidRPr="00DD4C71" w14:paraId="7B6A6E31" w14:textId="77777777" w:rsidTr="009E791A">
        <w:trPr>
          <w:trHeight w:val="765"/>
        </w:trPr>
        <w:tc>
          <w:tcPr>
            <w:tcW w:w="2800" w:type="dxa"/>
            <w:vMerge/>
            <w:tcBorders>
              <w:top w:val="nil"/>
              <w:left w:val="nil"/>
              <w:bottom w:val="nil"/>
              <w:right w:val="nil"/>
            </w:tcBorders>
            <w:vAlign w:val="center"/>
            <w:hideMark/>
          </w:tcPr>
          <w:p w14:paraId="5A8ADA59" w14:textId="77777777" w:rsidR="007502C1" w:rsidRPr="00DD4C71" w:rsidRDefault="007502C1" w:rsidP="009E791A">
            <w:pPr>
              <w:spacing w:after="0" w:line="240" w:lineRule="auto"/>
              <w:rPr>
                <w:rFonts w:eastAsia="Times New Roman" w:cs="Arial"/>
                <w:color w:val="000000"/>
                <w:sz w:val="20"/>
                <w:szCs w:val="20"/>
                <w:lang w:eastAsia="en-AU"/>
              </w:rPr>
            </w:pPr>
          </w:p>
        </w:tc>
        <w:tc>
          <w:tcPr>
            <w:tcW w:w="920" w:type="dxa"/>
            <w:vMerge w:val="restart"/>
            <w:tcBorders>
              <w:top w:val="nil"/>
              <w:left w:val="nil"/>
              <w:bottom w:val="nil"/>
              <w:right w:val="nil"/>
            </w:tcBorders>
            <w:shd w:val="clear" w:color="000000" w:fill="012749"/>
            <w:vAlign w:val="center"/>
            <w:hideMark/>
          </w:tcPr>
          <w:p w14:paraId="1BE769E4" w14:textId="77777777" w:rsidR="007502C1" w:rsidRPr="00DD4C71" w:rsidRDefault="007502C1" w:rsidP="009E791A">
            <w:pPr>
              <w:spacing w:after="0" w:line="240" w:lineRule="auto"/>
              <w:jc w:val="center"/>
              <w:rPr>
                <w:rFonts w:eastAsia="Times New Roman" w:cs="Arial"/>
                <w:b/>
                <w:bCs/>
                <w:color w:val="FFFFFF"/>
                <w:sz w:val="20"/>
                <w:szCs w:val="20"/>
                <w:lang w:eastAsia="en-AU"/>
              </w:rPr>
            </w:pPr>
            <w:r w:rsidRPr="00DD4C71">
              <w:rPr>
                <w:rFonts w:eastAsia="Times New Roman" w:cs="Arial"/>
                <w:b/>
                <w:bCs/>
                <w:color w:val="FFFFFF"/>
                <w:sz w:val="20"/>
                <w:szCs w:val="20"/>
                <w:lang w:eastAsia="en-AU"/>
              </w:rPr>
              <w:t>Jun-24</w:t>
            </w:r>
          </w:p>
        </w:tc>
        <w:tc>
          <w:tcPr>
            <w:tcW w:w="1840" w:type="dxa"/>
            <w:gridSpan w:val="2"/>
            <w:tcBorders>
              <w:top w:val="nil"/>
              <w:left w:val="nil"/>
              <w:bottom w:val="nil"/>
              <w:right w:val="nil"/>
            </w:tcBorders>
            <w:shd w:val="clear" w:color="000000" w:fill="012749"/>
            <w:vAlign w:val="center"/>
            <w:hideMark/>
          </w:tcPr>
          <w:p w14:paraId="17D61657" w14:textId="77777777" w:rsidR="007502C1" w:rsidRPr="00DD4C71" w:rsidRDefault="007502C1" w:rsidP="009E791A">
            <w:pPr>
              <w:spacing w:after="0" w:line="240" w:lineRule="auto"/>
              <w:jc w:val="center"/>
              <w:rPr>
                <w:rFonts w:eastAsia="Times New Roman" w:cs="Arial"/>
                <w:b/>
                <w:bCs/>
                <w:color w:val="FFFFFF"/>
                <w:sz w:val="20"/>
                <w:szCs w:val="20"/>
                <w:lang w:eastAsia="en-AU"/>
              </w:rPr>
            </w:pPr>
            <w:r w:rsidRPr="00DD4C71">
              <w:rPr>
                <w:rFonts w:eastAsia="Times New Roman" w:cs="Arial"/>
                <w:b/>
                <w:bCs/>
                <w:color w:val="FFFFFF"/>
                <w:sz w:val="20"/>
                <w:szCs w:val="20"/>
                <w:lang w:eastAsia="en-AU"/>
              </w:rPr>
              <w:t>Quarterly change</w:t>
            </w:r>
          </w:p>
        </w:tc>
        <w:tc>
          <w:tcPr>
            <w:tcW w:w="920" w:type="dxa"/>
            <w:vMerge w:val="restart"/>
            <w:tcBorders>
              <w:top w:val="nil"/>
              <w:left w:val="nil"/>
              <w:bottom w:val="nil"/>
              <w:right w:val="nil"/>
            </w:tcBorders>
            <w:shd w:val="clear" w:color="000000" w:fill="012749"/>
            <w:vAlign w:val="center"/>
            <w:hideMark/>
          </w:tcPr>
          <w:p w14:paraId="0B23B82A" w14:textId="77777777" w:rsidR="007502C1" w:rsidRPr="00DD4C71" w:rsidRDefault="007502C1" w:rsidP="009E791A">
            <w:pPr>
              <w:spacing w:after="0" w:line="240" w:lineRule="auto"/>
              <w:jc w:val="center"/>
              <w:rPr>
                <w:rFonts w:eastAsia="Times New Roman" w:cs="Arial"/>
                <w:b/>
                <w:bCs/>
                <w:color w:val="FFFFFF"/>
                <w:sz w:val="20"/>
                <w:szCs w:val="20"/>
                <w:lang w:eastAsia="en-AU"/>
              </w:rPr>
            </w:pPr>
            <w:r w:rsidRPr="00DD4C71">
              <w:rPr>
                <w:rFonts w:eastAsia="Times New Roman" w:cs="Arial"/>
                <w:b/>
                <w:bCs/>
                <w:color w:val="FFFFFF"/>
                <w:sz w:val="20"/>
                <w:szCs w:val="20"/>
                <w:lang w:eastAsia="en-AU"/>
              </w:rPr>
              <w:t>Jun-24</w:t>
            </w:r>
          </w:p>
        </w:tc>
        <w:tc>
          <w:tcPr>
            <w:tcW w:w="1020" w:type="dxa"/>
            <w:tcBorders>
              <w:top w:val="nil"/>
              <w:left w:val="nil"/>
              <w:bottom w:val="nil"/>
              <w:right w:val="nil"/>
            </w:tcBorders>
            <w:shd w:val="clear" w:color="000000" w:fill="012749"/>
            <w:vAlign w:val="center"/>
            <w:hideMark/>
          </w:tcPr>
          <w:p w14:paraId="745CCB57" w14:textId="77777777" w:rsidR="007502C1" w:rsidRPr="00DD4C71" w:rsidRDefault="007502C1" w:rsidP="009E791A">
            <w:pPr>
              <w:spacing w:after="0" w:line="240" w:lineRule="auto"/>
              <w:jc w:val="center"/>
              <w:rPr>
                <w:rFonts w:eastAsia="Times New Roman" w:cs="Arial"/>
                <w:b/>
                <w:bCs/>
                <w:color w:val="FFFFFF"/>
                <w:sz w:val="20"/>
                <w:szCs w:val="20"/>
                <w:lang w:eastAsia="en-AU"/>
              </w:rPr>
            </w:pPr>
            <w:r w:rsidRPr="00DD4C71">
              <w:rPr>
                <w:rFonts w:eastAsia="Times New Roman" w:cs="Arial"/>
                <w:b/>
                <w:bCs/>
                <w:color w:val="FFFFFF"/>
                <w:sz w:val="20"/>
                <w:szCs w:val="20"/>
                <w:lang w:eastAsia="en-AU"/>
              </w:rPr>
              <w:t>Quarterly change</w:t>
            </w:r>
          </w:p>
        </w:tc>
        <w:tc>
          <w:tcPr>
            <w:tcW w:w="920" w:type="dxa"/>
            <w:vMerge w:val="restart"/>
            <w:tcBorders>
              <w:top w:val="nil"/>
              <w:left w:val="nil"/>
              <w:bottom w:val="nil"/>
              <w:right w:val="nil"/>
            </w:tcBorders>
            <w:shd w:val="clear" w:color="000000" w:fill="012749"/>
            <w:vAlign w:val="center"/>
            <w:hideMark/>
          </w:tcPr>
          <w:p w14:paraId="26F1CFA1" w14:textId="77777777" w:rsidR="007502C1" w:rsidRPr="00DD4C71" w:rsidRDefault="007502C1" w:rsidP="009E791A">
            <w:pPr>
              <w:spacing w:after="0" w:line="240" w:lineRule="auto"/>
              <w:jc w:val="center"/>
              <w:rPr>
                <w:rFonts w:eastAsia="Times New Roman" w:cs="Arial"/>
                <w:b/>
                <w:bCs/>
                <w:color w:val="FFFFFF"/>
                <w:sz w:val="20"/>
                <w:szCs w:val="20"/>
                <w:lang w:eastAsia="en-AU"/>
              </w:rPr>
            </w:pPr>
            <w:r w:rsidRPr="00DD4C71">
              <w:rPr>
                <w:rFonts w:eastAsia="Times New Roman" w:cs="Arial"/>
                <w:b/>
                <w:bCs/>
                <w:color w:val="FFFFFF"/>
                <w:sz w:val="20"/>
                <w:szCs w:val="20"/>
                <w:lang w:eastAsia="en-AU"/>
              </w:rPr>
              <w:t>Jun-24</w:t>
            </w:r>
          </w:p>
        </w:tc>
        <w:tc>
          <w:tcPr>
            <w:tcW w:w="1060" w:type="dxa"/>
            <w:tcBorders>
              <w:top w:val="nil"/>
              <w:left w:val="nil"/>
              <w:bottom w:val="nil"/>
              <w:right w:val="nil"/>
            </w:tcBorders>
            <w:shd w:val="clear" w:color="000000" w:fill="012749"/>
            <w:vAlign w:val="center"/>
            <w:hideMark/>
          </w:tcPr>
          <w:p w14:paraId="25B71341" w14:textId="77777777" w:rsidR="007502C1" w:rsidRPr="00DD4C71" w:rsidRDefault="007502C1" w:rsidP="009E791A">
            <w:pPr>
              <w:spacing w:after="0" w:line="240" w:lineRule="auto"/>
              <w:jc w:val="center"/>
              <w:rPr>
                <w:rFonts w:eastAsia="Times New Roman" w:cs="Arial"/>
                <w:b/>
                <w:bCs/>
                <w:color w:val="FFFFFF"/>
                <w:sz w:val="20"/>
                <w:szCs w:val="20"/>
                <w:lang w:eastAsia="en-AU"/>
              </w:rPr>
            </w:pPr>
            <w:r w:rsidRPr="00DD4C71">
              <w:rPr>
                <w:rFonts w:eastAsia="Times New Roman" w:cs="Arial"/>
                <w:b/>
                <w:bCs/>
                <w:color w:val="FFFFFF"/>
                <w:sz w:val="20"/>
                <w:szCs w:val="20"/>
                <w:lang w:eastAsia="en-AU"/>
              </w:rPr>
              <w:t>Quarterly change</w:t>
            </w:r>
          </w:p>
        </w:tc>
      </w:tr>
      <w:tr w:rsidR="007502C1" w:rsidRPr="00DD4C71" w14:paraId="3286ED7B" w14:textId="77777777" w:rsidTr="009E791A">
        <w:trPr>
          <w:trHeight w:val="300"/>
        </w:trPr>
        <w:tc>
          <w:tcPr>
            <w:tcW w:w="2800" w:type="dxa"/>
            <w:vMerge/>
            <w:tcBorders>
              <w:top w:val="nil"/>
              <w:left w:val="nil"/>
              <w:bottom w:val="nil"/>
              <w:right w:val="nil"/>
            </w:tcBorders>
            <w:vAlign w:val="center"/>
            <w:hideMark/>
          </w:tcPr>
          <w:p w14:paraId="3D1235E0" w14:textId="77777777" w:rsidR="007502C1" w:rsidRPr="00DD4C71" w:rsidRDefault="007502C1" w:rsidP="009E791A">
            <w:pPr>
              <w:spacing w:after="0" w:line="240" w:lineRule="auto"/>
              <w:rPr>
                <w:rFonts w:eastAsia="Times New Roman" w:cs="Arial"/>
                <w:color w:val="000000"/>
                <w:sz w:val="20"/>
                <w:szCs w:val="20"/>
                <w:lang w:eastAsia="en-AU"/>
              </w:rPr>
            </w:pPr>
          </w:p>
        </w:tc>
        <w:tc>
          <w:tcPr>
            <w:tcW w:w="920" w:type="dxa"/>
            <w:vMerge/>
            <w:tcBorders>
              <w:top w:val="nil"/>
              <w:left w:val="nil"/>
              <w:bottom w:val="nil"/>
              <w:right w:val="nil"/>
            </w:tcBorders>
            <w:vAlign w:val="center"/>
            <w:hideMark/>
          </w:tcPr>
          <w:p w14:paraId="7EA9B7C0" w14:textId="77777777" w:rsidR="007502C1" w:rsidRPr="00DD4C71" w:rsidRDefault="007502C1" w:rsidP="009E791A">
            <w:pPr>
              <w:spacing w:after="0" w:line="240" w:lineRule="auto"/>
              <w:rPr>
                <w:rFonts w:eastAsia="Times New Roman" w:cs="Arial"/>
                <w:b/>
                <w:bCs/>
                <w:color w:val="FFFFFF"/>
                <w:sz w:val="20"/>
                <w:szCs w:val="20"/>
                <w:lang w:eastAsia="en-AU"/>
              </w:rPr>
            </w:pPr>
          </w:p>
        </w:tc>
        <w:tc>
          <w:tcPr>
            <w:tcW w:w="920" w:type="dxa"/>
            <w:tcBorders>
              <w:top w:val="nil"/>
              <w:left w:val="nil"/>
              <w:bottom w:val="nil"/>
              <w:right w:val="nil"/>
            </w:tcBorders>
            <w:shd w:val="clear" w:color="000000" w:fill="012749"/>
            <w:vAlign w:val="center"/>
            <w:hideMark/>
          </w:tcPr>
          <w:p w14:paraId="4FFB37BC" w14:textId="77777777" w:rsidR="007502C1" w:rsidRPr="00DD4C71" w:rsidRDefault="007502C1" w:rsidP="009E791A">
            <w:pPr>
              <w:spacing w:after="0" w:line="240" w:lineRule="auto"/>
              <w:jc w:val="center"/>
              <w:rPr>
                <w:rFonts w:eastAsia="Times New Roman" w:cs="Arial"/>
                <w:color w:val="FFFFFF"/>
                <w:sz w:val="20"/>
                <w:szCs w:val="20"/>
                <w:lang w:eastAsia="en-AU"/>
              </w:rPr>
            </w:pPr>
            <w:r w:rsidRPr="00DD4C71">
              <w:rPr>
                <w:rFonts w:eastAsia="Times New Roman" w:cs="Arial"/>
                <w:color w:val="FFFFFF"/>
                <w:sz w:val="20"/>
                <w:szCs w:val="20"/>
                <w:lang w:eastAsia="en-AU"/>
              </w:rPr>
              <w:t>(‘000)</w:t>
            </w:r>
          </w:p>
        </w:tc>
        <w:tc>
          <w:tcPr>
            <w:tcW w:w="920" w:type="dxa"/>
            <w:tcBorders>
              <w:top w:val="nil"/>
              <w:left w:val="nil"/>
              <w:bottom w:val="nil"/>
              <w:right w:val="nil"/>
            </w:tcBorders>
            <w:shd w:val="clear" w:color="000000" w:fill="012749"/>
            <w:vAlign w:val="center"/>
            <w:hideMark/>
          </w:tcPr>
          <w:p w14:paraId="73961237" w14:textId="77777777" w:rsidR="007502C1" w:rsidRPr="00DD4C71" w:rsidRDefault="007502C1" w:rsidP="009E791A">
            <w:pPr>
              <w:spacing w:after="0" w:line="240" w:lineRule="auto"/>
              <w:jc w:val="center"/>
              <w:rPr>
                <w:rFonts w:eastAsia="Times New Roman" w:cs="Arial"/>
                <w:color w:val="FFFFFF"/>
                <w:sz w:val="20"/>
                <w:szCs w:val="20"/>
                <w:lang w:eastAsia="en-AU"/>
              </w:rPr>
            </w:pPr>
            <w:r w:rsidRPr="00DD4C71">
              <w:rPr>
                <w:rFonts w:eastAsia="Times New Roman" w:cs="Arial"/>
                <w:color w:val="FFFFFF"/>
                <w:sz w:val="20"/>
                <w:szCs w:val="20"/>
                <w:lang w:eastAsia="en-AU"/>
              </w:rPr>
              <w:t>(%)</w:t>
            </w:r>
          </w:p>
        </w:tc>
        <w:tc>
          <w:tcPr>
            <w:tcW w:w="920" w:type="dxa"/>
            <w:vMerge/>
            <w:tcBorders>
              <w:top w:val="nil"/>
              <w:left w:val="nil"/>
              <w:bottom w:val="nil"/>
              <w:right w:val="nil"/>
            </w:tcBorders>
            <w:vAlign w:val="center"/>
            <w:hideMark/>
          </w:tcPr>
          <w:p w14:paraId="5F45CFE6" w14:textId="77777777" w:rsidR="007502C1" w:rsidRPr="00DD4C71" w:rsidRDefault="007502C1" w:rsidP="009E791A">
            <w:pPr>
              <w:spacing w:after="0" w:line="240" w:lineRule="auto"/>
              <w:rPr>
                <w:rFonts w:eastAsia="Times New Roman" w:cs="Arial"/>
                <w:b/>
                <w:bCs/>
                <w:color w:val="FFFFFF"/>
                <w:sz w:val="20"/>
                <w:szCs w:val="20"/>
                <w:lang w:eastAsia="en-AU"/>
              </w:rPr>
            </w:pPr>
          </w:p>
        </w:tc>
        <w:tc>
          <w:tcPr>
            <w:tcW w:w="1020" w:type="dxa"/>
            <w:tcBorders>
              <w:top w:val="nil"/>
              <w:left w:val="nil"/>
              <w:bottom w:val="nil"/>
              <w:right w:val="nil"/>
            </w:tcBorders>
            <w:shd w:val="clear" w:color="000000" w:fill="012749"/>
            <w:vAlign w:val="center"/>
            <w:hideMark/>
          </w:tcPr>
          <w:p w14:paraId="14459794" w14:textId="77777777" w:rsidR="007502C1" w:rsidRPr="00DD4C71" w:rsidRDefault="007502C1" w:rsidP="009E791A">
            <w:pPr>
              <w:spacing w:after="0" w:line="240" w:lineRule="auto"/>
              <w:jc w:val="center"/>
              <w:rPr>
                <w:rFonts w:eastAsia="Times New Roman" w:cs="Arial"/>
                <w:b/>
                <w:bCs/>
                <w:color w:val="FFFFFF"/>
                <w:sz w:val="20"/>
                <w:szCs w:val="20"/>
                <w:lang w:eastAsia="en-AU"/>
              </w:rPr>
            </w:pPr>
            <w:r w:rsidRPr="00DD4C71">
              <w:rPr>
                <w:rFonts w:eastAsia="Times New Roman" w:cs="Arial"/>
                <w:b/>
                <w:bCs/>
                <w:color w:val="FFFFFF"/>
                <w:sz w:val="20"/>
                <w:szCs w:val="20"/>
                <w:lang w:eastAsia="en-AU"/>
              </w:rPr>
              <w:t>(% pts)</w:t>
            </w:r>
          </w:p>
        </w:tc>
        <w:tc>
          <w:tcPr>
            <w:tcW w:w="920" w:type="dxa"/>
            <w:vMerge/>
            <w:tcBorders>
              <w:top w:val="nil"/>
              <w:left w:val="nil"/>
              <w:bottom w:val="nil"/>
              <w:right w:val="nil"/>
            </w:tcBorders>
            <w:vAlign w:val="center"/>
            <w:hideMark/>
          </w:tcPr>
          <w:p w14:paraId="4CD4C741" w14:textId="77777777" w:rsidR="007502C1" w:rsidRPr="00DD4C71" w:rsidRDefault="007502C1" w:rsidP="009E791A">
            <w:pPr>
              <w:spacing w:after="0" w:line="240" w:lineRule="auto"/>
              <w:rPr>
                <w:rFonts w:eastAsia="Times New Roman" w:cs="Arial"/>
                <w:b/>
                <w:bCs/>
                <w:color w:val="FFFFFF"/>
                <w:sz w:val="20"/>
                <w:szCs w:val="20"/>
                <w:lang w:eastAsia="en-AU"/>
              </w:rPr>
            </w:pPr>
          </w:p>
        </w:tc>
        <w:tc>
          <w:tcPr>
            <w:tcW w:w="1060" w:type="dxa"/>
            <w:tcBorders>
              <w:top w:val="nil"/>
              <w:left w:val="nil"/>
              <w:bottom w:val="nil"/>
              <w:right w:val="nil"/>
            </w:tcBorders>
            <w:shd w:val="clear" w:color="000000" w:fill="012749"/>
            <w:vAlign w:val="center"/>
            <w:hideMark/>
          </w:tcPr>
          <w:p w14:paraId="19ECF530" w14:textId="77777777" w:rsidR="007502C1" w:rsidRPr="00DD4C71" w:rsidRDefault="007502C1" w:rsidP="009E791A">
            <w:pPr>
              <w:spacing w:after="0" w:line="240" w:lineRule="auto"/>
              <w:jc w:val="center"/>
              <w:rPr>
                <w:rFonts w:eastAsia="Times New Roman" w:cs="Arial"/>
                <w:b/>
                <w:bCs/>
                <w:color w:val="FFFFFF"/>
                <w:sz w:val="20"/>
                <w:szCs w:val="20"/>
                <w:lang w:eastAsia="en-AU"/>
              </w:rPr>
            </w:pPr>
            <w:r w:rsidRPr="00DD4C71">
              <w:rPr>
                <w:rFonts w:eastAsia="Times New Roman" w:cs="Arial"/>
                <w:b/>
                <w:bCs/>
                <w:color w:val="FFFFFF"/>
                <w:sz w:val="20"/>
                <w:szCs w:val="20"/>
                <w:lang w:eastAsia="en-AU"/>
              </w:rPr>
              <w:t>(% pts)</w:t>
            </w:r>
          </w:p>
        </w:tc>
      </w:tr>
      <w:tr w:rsidR="007502C1" w:rsidRPr="00DD4C71" w14:paraId="06306300" w14:textId="77777777" w:rsidTr="009E791A">
        <w:trPr>
          <w:trHeight w:val="300"/>
        </w:trPr>
        <w:tc>
          <w:tcPr>
            <w:tcW w:w="2800" w:type="dxa"/>
            <w:tcBorders>
              <w:top w:val="nil"/>
              <w:left w:val="nil"/>
              <w:bottom w:val="nil"/>
              <w:right w:val="nil"/>
            </w:tcBorders>
            <w:shd w:val="clear" w:color="auto" w:fill="auto"/>
            <w:vAlign w:val="center"/>
            <w:hideMark/>
          </w:tcPr>
          <w:p w14:paraId="7D51669D" w14:textId="77777777" w:rsidR="007502C1" w:rsidRPr="00DD4C71" w:rsidRDefault="007502C1" w:rsidP="009E791A">
            <w:pPr>
              <w:spacing w:after="0" w:line="240" w:lineRule="auto"/>
              <w:rPr>
                <w:rFonts w:eastAsia="Times New Roman" w:cs="Arial"/>
                <w:color w:val="000000"/>
                <w:sz w:val="20"/>
                <w:szCs w:val="20"/>
                <w:lang w:eastAsia="en-AU"/>
              </w:rPr>
            </w:pPr>
            <w:r w:rsidRPr="00DD4C71">
              <w:rPr>
                <w:rFonts w:eastAsia="Times New Roman" w:cs="Arial"/>
                <w:color w:val="000000"/>
                <w:sz w:val="20"/>
                <w:szCs w:val="20"/>
                <w:lang w:eastAsia="en-AU"/>
              </w:rPr>
              <w:t>New South Wales</w:t>
            </w:r>
          </w:p>
        </w:tc>
        <w:tc>
          <w:tcPr>
            <w:tcW w:w="920" w:type="dxa"/>
            <w:tcBorders>
              <w:top w:val="nil"/>
              <w:left w:val="nil"/>
              <w:bottom w:val="nil"/>
              <w:right w:val="nil"/>
            </w:tcBorders>
            <w:shd w:val="clear" w:color="auto" w:fill="auto"/>
            <w:vAlign w:val="center"/>
            <w:hideMark/>
          </w:tcPr>
          <w:p w14:paraId="36DA9A8F" w14:textId="77777777" w:rsidR="007502C1" w:rsidRPr="00DD4C71" w:rsidRDefault="007502C1" w:rsidP="009E791A">
            <w:pPr>
              <w:spacing w:after="0" w:line="240" w:lineRule="auto"/>
              <w:jc w:val="center"/>
              <w:rPr>
                <w:rFonts w:eastAsia="Times New Roman" w:cs="Arial"/>
                <w:color w:val="000000"/>
                <w:sz w:val="20"/>
                <w:szCs w:val="20"/>
                <w:lang w:eastAsia="en-AU"/>
              </w:rPr>
            </w:pPr>
            <w:r w:rsidRPr="00DD4C71">
              <w:rPr>
                <w:rFonts w:eastAsia="Times New Roman" w:cs="Arial"/>
                <w:color w:val="000000"/>
                <w:sz w:val="20"/>
                <w:szCs w:val="20"/>
                <w:lang w:eastAsia="en-AU"/>
              </w:rPr>
              <w:t>4,449.8</w:t>
            </w:r>
          </w:p>
        </w:tc>
        <w:tc>
          <w:tcPr>
            <w:tcW w:w="920" w:type="dxa"/>
            <w:tcBorders>
              <w:top w:val="nil"/>
              <w:left w:val="nil"/>
              <w:bottom w:val="nil"/>
              <w:right w:val="nil"/>
            </w:tcBorders>
            <w:shd w:val="clear" w:color="auto" w:fill="auto"/>
            <w:vAlign w:val="center"/>
            <w:hideMark/>
          </w:tcPr>
          <w:p w14:paraId="7B682DCC" w14:textId="77777777" w:rsidR="007502C1" w:rsidRPr="00DD4C71" w:rsidRDefault="007502C1" w:rsidP="009E791A">
            <w:pPr>
              <w:spacing w:after="0" w:line="240" w:lineRule="auto"/>
              <w:jc w:val="center"/>
              <w:rPr>
                <w:rFonts w:eastAsia="Times New Roman" w:cs="Arial"/>
                <w:color w:val="000000"/>
                <w:sz w:val="20"/>
                <w:szCs w:val="20"/>
                <w:lang w:eastAsia="en-AU"/>
              </w:rPr>
            </w:pPr>
            <w:r w:rsidRPr="00DD4C71">
              <w:rPr>
                <w:rFonts w:eastAsia="Times New Roman" w:cs="Arial"/>
                <w:color w:val="000000"/>
                <w:sz w:val="20"/>
                <w:szCs w:val="20"/>
                <w:lang w:eastAsia="en-AU"/>
              </w:rPr>
              <w:t>13.4</w:t>
            </w:r>
          </w:p>
        </w:tc>
        <w:tc>
          <w:tcPr>
            <w:tcW w:w="920" w:type="dxa"/>
            <w:tcBorders>
              <w:top w:val="nil"/>
              <w:left w:val="nil"/>
              <w:bottom w:val="nil"/>
              <w:right w:val="nil"/>
            </w:tcBorders>
            <w:shd w:val="clear" w:color="auto" w:fill="auto"/>
            <w:vAlign w:val="center"/>
            <w:hideMark/>
          </w:tcPr>
          <w:p w14:paraId="66B1E0BF" w14:textId="77777777" w:rsidR="007502C1" w:rsidRPr="00DD4C71" w:rsidRDefault="007502C1" w:rsidP="009E791A">
            <w:pPr>
              <w:spacing w:after="0" w:line="240" w:lineRule="auto"/>
              <w:jc w:val="center"/>
              <w:rPr>
                <w:rFonts w:eastAsia="Times New Roman" w:cs="Arial"/>
                <w:color w:val="000000"/>
                <w:sz w:val="20"/>
                <w:szCs w:val="20"/>
                <w:lang w:eastAsia="en-AU"/>
              </w:rPr>
            </w:pPr>
            <w:r w:rsidRPr="00DD4C71">
              <w:rPr>
                <w:rFonts w:eastAsia="Times New Roman" w:cs="Arial"/>
                <w:color w:val="000000"/>
                <w:sz w:val="20"/>
                <w:szCs w:val="20"/>
                <w:lang w:eastAsia="en-AU"/>
              </w:rPr>
              <w:t>0.3</w:t>
            </w:r>
          </w:p>
        </w:tc>
        <w:tc>
          <w:tcPr>
            <w:tcW w:w="920" w:type="dxa"/>
            <w:tcBorders>
              <w:top w:val="nil"/>
              <w:left w:val="nil"/>
              <w:bottom w:val="nil"/>
              <w:right w:val="nil"/>
            </w:tcBorders>
            <w:shd w:val="clear" w:color="auto" w:fill="auto"/>
            <w:vAlign w:val="center"/>
            <w:hideMark/>
          </w:tcPr>
          <w:p w14:paraId="5107E01E" w14:textId="77777777" w:rsidR="007502C1" w:rsidRPr="00DD4C71" w:rsidRDefault="007502C1" w:rsidP="009E791A">
            <w:pPr>
              <w:spacing w:after="0" w:line="240" w:lineRule="auto"/>
              <w:jc w:val="center"/>
              <w:rPr>
                <w:rFonts w:eastAsia="Times New Roman" w:cs="Arial"/>
                <w:color w:val="000000"/>
                <w:sz w:val="20"/>
                <w:szCs w:val="20"/>
                <w:lang w:eastAsia="en-AU"/>
              </w:rPr>
            </w:pPr>
            <w:r w:rsidRPr="00DD4C71">
              <w:rPr>
                <w:rFonts w:eastAsia="Times New Roman" w:cs="Arial"/>
                <w:color w:val="000000"/>
                <w:sz w:val="20"/>
                <w:szCs w:val="20"/>
                <w:lang w:eastAsia="en-AU"/>
              </w:rPr>
              <w:t>3.9</w:t>
            </w:r>
          </w:p>
        </w:tc>
        <w:tc>
          <w:tcPr>
            <w:tcW w:w="1020" w:type="dxa"/>
            <w:tcBorders>
              <w:top w:val="nil"/>
              <w:left w:val="nil"/>
              <w:bottom w:val="nil"/>
              <w:right w:val="nil"/>
            </w:tcBorders>
            <w:shd w:val="clear" w:color="auto" w:fill="auto"/>
            <w:vAlign w:val="center"/>
            <w:hideMark/>
          </w:tcPr>
          <w:p w14:paraId="362DCBD8" w14:textId="77777777" w:rsidR="007502C1" w:rsidRPr="00DD4C71" w:rsidRDefault="007502C1" w:rsidP="009E791A">
            <w:pPr>
              <w:spacing w:after="0" w:line="240" w:lineRule="auto"/>
              <w:jc w:val="center"/>
              <w:rPr>
                <w:rFonts w:eastAsia="Times New Roman" w:cs="Arial"/>
                <w:color w:val="000000"/>
                <w:sz w:val="20"/>
                <w:szCs w:val="20"/>
                <w:lang w:eastAsia="en-AU"/>
              </w:rPr>
            </w:pPr>
            <w:r w:rsidRPr="00DD4C71">
              <w:rPr>
                <w:rFonts w:eastAsia="Times New Roman" w:cs="Arial"/>
                <w:color w:val="000000"/>
                <w:sz w:val="20"/>
                <w:szCs w:val="20"/>
                <w:lang w:eastAsia="en-AU"/>
              </w:rPr>
              <w:t>0.1</w:t>
            </w:r>
          </w:p>
        </w:tc>
        <w:tc>
          <w:tcPr>
            <w:tcW w:w="920" w:type="dxa"/>
            <w:tcBorders>
              <w:top w:val="nil"/>
              <w:left w:val="nil"/>
              <w:bottom w:val="nil"/>
              <w:right w:val="nil"/>
            </w:tcBorders>
            <w:shd w:val="clear" w:color="auto" w:fill="auto"/>
            <w:vAlign w:val="center"/>
            <w:hideMark/>
          </w:tcPr>
          <w:p w14:paraId="15F1FB5B" w14:textId="77777777" w:rsidR="007502C1" w:rsidRPr="00DD4C71" w:rsidRDefault="007502C1" w:rsidP="009E791A">
            <w:pPr>
              <w:spacing w:after="0" w:line="240" w:lineRule="auto"/>
              <w:jc w:val="center"/>
              <w:rPr>
                <w:rFonts w:eastAsia="Times New Roman" w:cs="Arial"/>
                <w:color w:val="000000"/>
                <w:sz w:val="20"/>
                <w:szCs w:val="20"/>
                <w:lang w:eastAsia="en-AU"/>
              </w:rPr>
            </w:pPr>
            <w:r w:rsidRPr="00DD4C71">
              <w:rPr>
                <w:rFonts w:eastAsia="Times New Roman" w:cs="Arial"/>
                <w:color w:val="000000"/>
                <w:sz w:val="20"/>
                <w:szCs w:val="20"/>
                <w:lang w:eastAsia="en-AU"/>
              </w:rPr>
              <w:t>66.0</w:t>
            </w:r>
          </w:p>
        </w:tc>
        <w:tc>
          <w:tcPr>
            <w:tcW w:w="1060" w:type="dxa"/>
            <w:tcBorders>
              <w:top w:val="nil"/>
              <w:left w:val="nil"/>
              <w:bottom w:val="nil"/>
              <w:right w:val="nil"/>
            </w:tcBorders>
            <w:shd w:val="clear" w:color="auto" w:fill="auto"/>
            <w:vAlign w:val="center"/>
            <w:hideMark/>
          </w:tcPr>
          <w:p w14:paraId="7F449C62" w14:textId="77777777" w:rsidR="007502C1" w:rsidRPr="00DD4C71" w:rsidRDefault="007502C1" w:rsidP="009E791A">
            <w:pPr>
              <w:spacing w:after="0" w:line="240" w:lineRule="auto"/>
              <w:jc w:val="center"/>
              <w:rPr>
                <w:rFonts w:eastAsia="Times New Roman" w:cs="Arial"/>
                <w:color w:val="000000"/>
                <w:sz w:val="20"/>
                <w:szCs w:val="20"/>
                <w:lang w:eastAsia="en-AU"/>
              </w:rPr>
            </w:pPr>
            <w:r w:rsidRPr="00DD4C71">
              <w:rPr>
                <w:rFonts w:eastAsia="Times New Roman" w:cs="Arial"/>
                <w:color w:val="000000"/>
                <w:sz w:val="20"/>
                <w:szCs w:val="20"/>
                <w:lang w:eastAsia="en-AU"/>
              </w:rPr>
              <w:t>-0.1</w:t>
            </w:r>
          </w:p>
        </w:tc>
      </w:tr>
      <w:tr w:rsidR="007502C1" w:rsidRPr="00DD4C71" w14:paraId="7BEDDF7A" w14:textId="77777777" w:rsidTr="009E791A">
        <w:trPr>
          <w:trHeight w:val="300"/>
        </w:trPr>
        <w:tc>
          <w:tcPr>
            <w:tcW w:w="2800" w:type="dxa"/>
            <w:tcBorders>
              <w:top w:val="nil"/>
              <w:left w:val="nil"/>
              <w:bottom w:val="nil"/>
              <w:right w:val="nil"/>
            </w:tcBorders>
            <w:shd w:val="clear" w:color="000000" w:fill="E6E6E6"/>
            <w:vAlign w:val="center"/>
            <w:hideMark/>
          </w:tcPr>
          <w:p w14:paraId="0952B32C" w14:textId="77777777" w:rsidR="007502C1" w:rsidRPr="00DD4C71" w:rsidRDefault="007502C1" w:rsidP="009E791A">
            <w:pPr>
              <w:spacing w:after="0" w:line="240" w:lineRule="auto"/>
              <w:rPr>
                <w:rFonts w:eastAsia="Times New Roman" w:cs="Arial"/>
                <w:color w:val="000000"/>
                <w:sz w:val="20"/>
                <w:szCs w:val="20"/>
                <w:lang w:eastAsia="en-AU"/>
              </w:rPr>
            </w:pPr>
            <w:r w:rsidRPr="00DD4C71">
              <w:rPr>
                <w:rFonts w:eastAsia="Times New Roman" w:cs="Arial"/>
                <w:color w:val="000000"/>
                <w:sz w:val="20"/>
                <w:szCs w:val="20"/>
                <w:lang w:eastAsia="en-AU"/>
              </w:rPr>
              <w:t>Victoria</w:t>
            </w:r>
          </w:p>
        </w:tc>
        <w:tc>
          <w:tcPr>
            <w:tcW w:w="920" w:type="dxa"/>
            <w:tcBorders>
              <w:top w:val="nil"/>
              <w:left w:val="nil"/>
              <w:bottom w:val="nil"/>
              <w:right w:val="nil"/>
            </w:tcBorders>
            <w:shd w:val="clear" w:color="000000" w:fill="E6E6E6"/>
            <w:vAlign w:val="center"/>
            <w:hideMark/>
          </w:tcPr>
          <w:p w14:paraId="44B04CFE" w14:textId="77777777" w:rsidR="007502C1" w:rsidRPr="00DD4C71" w:rsidRDefault="007502C1" w:rsidP="009E791A">
            <w:pPr>
              <w:spacing w:after="0" w:line="240" w:lineRule="auto"/>
              <w:jc w:val="center"/>
              <w:rPr>
                <w:rFonts w:eastAsia="Times New Roman" w:cs="Arial"/>
                <w:color w:val="000000"/>
                <w:sz w:val="20"/>
                <w:szCs w:val="20"/>
                <w:lang w:eastAsia="en-AU"/>
              </w:rPr>
            </w:pPr>
            <w:r w:rsidRPr="00DD4C71">
              <w:rPr>
                <w:rFonts w:eastAsia="Times New Roman" w:cs="Arial"/>
                <w:color w:val="000000"/>
                <w:sz w:val="20"/>
                <w:szCs w:val="20"/>
                <w:lang w:eastAsia="en-AU"/>
              </w:rPr>
              <w:t>3,747.8</w:t>
            </w:r>
          </w:p>
        </w:tc>
        <w:tc>
          <w:tcPr>
            <w:tcW w:w="920" w:type="dxa"/>
            <w:tcBorders>
              <w:top w:val="nil"/>
              <w:left w:val="nil"/>
              <w:bottom w:val="nil"/>
              <w:right w:val="nil"/>
            </w:tcBorders>
            <w:shd w:val="clear" w:color="000000" w:fill="E6E6E6"/>
            <w:vAlign w:val="center"/>
            <w:hideMark/>
          </w:tcPr>
          <w:p w14:paraId="3A8673FB" w14:textId="77777777" w:rsidR="007502C1" w:rsidRPr="00DD4C71" w:rsidRDefault="007502C1" w:rsidP="009E791A">
            <w:pPr>
              <w:spacing w:after="0" w:line="240" w:lineRule="auto"/>
              <w:jc w:val="center"/>
              <w:rPr>
                <w:rFonts w:eastAsia="Times New Roman" w:cs="Arial"/>
                <w:color w:val="000000"/>
                <w:sz w:val="20"/>
                <w:szCs w:val="20"/>
                <w:lang w:eastAsia="en-AU"/>
              </w:rPr>
            </w:pPr>
            <w:r w:rsidRPr="00DD4C71">
              <w:rPr>
                <w:rFonts w:eastAsia="Times New Roman" w:cs="Arial"/>
                <w:color w:val="000000"/>
                <w:sz w:val="20"/>
                <w:szCs w:val="20"/>
                <w:lang w:eastAsia="en-AU"/>
              </w:rPr>
              <w:t>36.2</w:t>
            </w:r>
          </w:p>
        </w:tc>
        <w:tc>
          <w:tcPr>
            <w:tcW w:w="920" w:type="dxa"/>
            <w:tcBorders>
              <w:top w:val="nil"/>
              <w:left w:val="nil"/>
              <w:bottom w:val="nil"/>
              <w:right w:val="nil"/>
            </w:tcBorders>
            <w:shd w:val="clear" w:color="000000" w:fill="E6E6E6"/>
            <w:vAlign w:val="center"/>
            <w:hideMark/>
          </w:tcPr>
          <w:p w14:paraId="531C3781" w14:textId="77777777" w:rsidR="007502C1" w:rsidRPr="00DD4C71" w:rsidRDefault="007502C1" w:rsidP="009E791A">
            <w:pPr>
              <w:spacing w:after="0" w:line="240" w:lineRule="auto"/>
              <w:jc w:val="center"/>
              <w:rPr>
                <w:rFonts w:eastAsia="Times New Roman" w:cs="Arial"/>
                <w:color w:val="000000"/>
                <w:sz w:val="20"/>
                <w:szCs w:val="20"/>
                <w:lang w:eastAsia="en-AU"/>
              </w:rPr>
            </w:pPr>
            <w:r w:rsidRPr="00DD4C71">
              <w:rPr>
                <w:rFonts w:eastAsia="Times New Roman" w:cs="Arial"/>
                <w:color w:val="000000"/>
                <w:sz w:val="20"/>
                <w:szCs w:val="20"/>
                <w:lang w:eastAsia="en-AU"/>
              </w:rPr>
              <w:t>1.0</w:t>
            </w:r>
          </w:p>
        </w:tc>
        <w:tc>
          <w:tcPr>
            <w:tcW w:w="920" w:type="dxa"/>
            <w:tcBorders>
              <w:top w:val="nil"/>
              <w:left w:val="nil"/>
              <w:bottom w:val="nil"/>
              <w:right w:val="nil"/>
            </w:tcBorders>
            <w:shd w:val="clear" w:color="000000" w:fill="E6E6E6"/>
            <w:vAlign w:val="center"/>
            <w:hideMark/>
          </w:tcPr>
          <w:p w14:paraId="7C8A2919" w14:textId="77777777" w:rsidR="007502C1" w:rsidRPr="00DD4C71" w:rsidRDefault="007502C1" w:rsidP="009E791A">
            <w:pPr>
              <w:spacing w:after="0" w:line="240" w:lineRule="auto"/>
              <w:jc w:val="center"/>
              <w:rPr>
                <w:rFonts w:eastAsia="Times New Roman" w:cs="Arial"/>
                <w:color w:val="000000"/>
                <w:sz w:val="20"/>
                <w:szCs w:val="20"/>
                <w:lang w:eastAsia="en-AU"/>
              </w:rPr>
            </w:pPr>
            <w:r w:rsidRPr="00DD4C71">
              <w:rPr>
                <w:rFonts w:eastAsia="Times New Roman" w:cs="Arial"/>
                <w:color w:val="000000"/>
                <w:sz w:val="20"/>
                <w:szCs w:val="20"/>
                <w:lang w:eastAsia="en-AU"/>
              </w:rPr>
              <w:t>4.5</w:t>
            </w:r>
          </w:p>
        </w:tc>
        <w:tc>
          <w:tcPr>
            <w:tcW w:w="1020" w:type="dxa"/>
            <w:tcBorders>
              <w:top w:val="nil"/>
              <w:left w:val="nil"/>
              <w:bottom w:val="nil"/>
              <w:right w:val="nil"/>
            </w:tcBorders>
            <w:shd w:val="clear" w:color="000000" w:fill="E6E6E6"/>
            <w:vAlign w:val="center"/>
            <w:hideMark/>
          </w:tcPr>
          <w:p w14:paraId="5B57B119" w14:textId="77777777" w:rsidR="007502C1" w:rsidRPr="00DD4C71" w:rsidRDefault="007502C1" w:rsidP="009E791A">
            <w:pPr>
              <w:spacing w:after="0" w:line="240" w:lineRule="auto"/>
              <w:jc w:val="center"/>
              <w:rPr>
                <w:rFonts w:eastAsia="Times New Roman" w:cs="Arial"/>
                <w:color w:val="000000"/>
                <w:sz w:val="20"/>
                <w:szCs w:val="20"/>
                <w:lang w:eastAsia="en-AU"/>
              </w:rPr>
            </w:pPr>
            <w:r w:rsidRPr="00DD4C71">
              <w:rPr>
                <w:rFonts w:eastAsia="Times New Roman" w:cs="Arial"/>
                <w:color w:val="000000"/>
                <w:sz w:val="20"/>
                <w:szCs w:val="20"/>
                <w:lang w:eastAsia="en-AU"/>
              </w:rPr>
              <w:t>0.4</w:t>
            </w:r>
          </w:p>
        </w:tc>
        <w:tc>
          <w:tcPr>
            <w:tcW w:w="920" w:type="dxa"/>
            <w:tcBorders>
              <w:top w:val="nil"/>
              <w:left w:val="nil"/>
              <w:bottom w:val="nil"/>
              <w:right w:val="nil"/>
            </w:tcBorders>
            <w:shd w:val="clear" w:color="000000" w:fill="E6E6E6"/>
            <w:vAlign w:val="center"/>
            <w:hideMark/>
          </w:tcPr>
          <w:p w14:paraId="4E31E03A" w14:textId="77777777" w:rsidR="007502C1" w:rsidRPr="00DD4C71" w:rsidRDefault="007502C1" w:rsidP="009E791A">
            <w:pPr>
              <w:spacing w:after="0" w:line="240" w:lineRule="auto"/>
              <w:jc w:val="center"/>
              <w:rPr>
                <w:rFonts w:eastAsia="Times New Roman" w:cs="Arial"/>
                <w:color w:val="000000"/>
                <w:sz w:val="20"/>
                <w:szCs w:val="20"/>
                <w:lang w:eastAsia="en-AU"/>
              </w:rPr>
            </w:pPr>
            <w:r w:rsidRPr="00DD4C71">
              <w:rPr>
                <w:rFonts w:eastAsia="Times New Roman" w:cs="Arial"/>
                <w:color w:val="000000"/>
                <w:sz w:val="20"/>
                <w:szCs w:val="20"/>
                <w:lang w:eastAsia="en-AU"/>
              </w:rPr>
              <w:t>67.9</w:t>
            </w:r>
          </w:p>
        </w:tc>
        <w:tc>
          <w:tcPr>
            <w:tcW w:w="1060" w:type="dxa"/>
            <w:tcBorders>
              <w:top w:val="nil"/>
              <w:left w:val="nil"/>
              <w:bottom w:val="nil"/>
              <w:right w:val="nil"/>
            </w:tcBorders>
            <w:shd w:val="clear" w:color="000000" w:fill="E6E6E6"/>
            <w:vAlign w:val="center"/>
            <w:hideMark/>
          </w:tcPr>
          <w:p w14:paraId="6A73EA3C" w14:textId="77777777" w:rsidR="007502C1" w:rsidRPr="00DD4C71" w:rsidRDefault="007502C1" w:rsidP="009E791A">
            <w:pPr>
              <w:spacing w:after="0" w:line="240" w:lineRule="auto"/>
              <w:jc w:val="center"/>
              <w:rPr>
                <w:rFonts w:eastAsia="Times New Roman" w:cs="Arial"/>
                <w:color w:val="000000"/>
                <w:sz w:val="20"/>
                <w:szCs w:val="20"/>
                <w:lang w:eastAsia="en-AU"/>
              </w:rPr>
            </w:pPr>
            <w:r w:rsidRPr="00DD4C71">
              <w:rPr>
                <w:rFonts w:eastAsia="Times New Roman" w:cs="Arial"/>
                <w:color w:val="000000"/>
                <w:sz w:val="20"/>
                <w:szCs w:val="20"/>
                <w:lang w:eastAsia="en-AU"/>
              </w:rPr>
              <w:t>0.5</w:t>
            </w:r>
          </w:p>
        </w:tc>
      </w:tr>
      <w:tr w:rsidR="007502C1" w:rsidRPr="00DD4C71" w14:paraId="31C87CE4" w14:textId="77777777" w:rsidTr="009E791A">
        <w:trPr>
          <w:trHeight w:val="300"/>
        </w:trPr>
        <w:tc>
          <w:tcPr>
            <w:tcW w:w="2800" w:type="dxa"/>
            <w:tcBorders>
              <w:top w:val="nil"/>
              <w:left w:val="nil"/>
              <w:bottom w:val="nil"/>
              <w:right w:val="nil"/>
            </w:tcBorders>
            <w:shd w:val="clear" w:color="auto" w:fill="auto"/>
            <w:vAlign w:val="center"/>
            <w:hideMark/>
          </w:tcPr>
          <w:p w14:paraId="6FA349CC" w14:textId="77777777" w:rsidR="007502C1" w:rsidRPr="00DD4C71" w:rsidRDefault="007502C1" w:rsidP="009E791A">
            <w:pPr>
              <w:spacing w:after="0" w:line="240" w:lineRule="auto"/>
              <w:rPr>
                <w:rFonts w:eastAsia="Times New Roman" w:cs="Arial"/>
                <w:color w:val="000000"/>
                <w:sz w:val="20"/>
                <w:szCs w:val="20"/>
                <w:lang w:eastAsia="en-AU"/>
              </w:rPr>
            </w:pPr>
            <w:r w:rsidRPr="00DD4C71">
              <w:rPr>
                <w:rFonts w:eastAsia="Times New Roman" w:cs="Arial"/>
                <w:color w:val="000000"/>
                <w:sz w:val="20"/>
                <w:szCs w:val="20"/>
                <w:lang w:eastAsia="en-AU"/>
              </w:rPr>
              <w:t>Queensland</w:t>
            </w:r>
          </w:p>
        </w:tc>
        <w:tc>
          <w:tcPr>
            <w:tcW w:w="920" w:type="dxa"/>
            <w:tcBorders>
              <w:top w:val="nil"/>
              <w:left w:val="nil"/>
              <w:bottom w:val="nil"/>
              <w:right w:val="nil"/>
            </w:tcBorders>
            <w:shd w:val="clear" w:color="auto" w:fill="auto"/>
            <w:vAlign w:val="center"/>
            <w:hideMark/>
          </w:tcPr>
          <w:p w14:paraId="66530853" w14:textId="77777777" w:rsidR="007502C1" w:rsidRPr="00DD4C71" w:rsidRDefault="007502C1" w:rsidP="009E791A">
            <w:pPr>
              <w:spacing w:after="0" w:line="240" w:lineRule="auto"/>
              <w:jc w:val="center"/>
              <w:rPr>
                <w:rFonts w:eastAsia="Times New Roman" w:cs="Arial"/>
                <w:color w:val="000000"/>
                <w:sz w:val="20"/>
                <w:szCs w:val="20"/>
                <w:lang w:eastAsia="en-AU"/>
              </w:rPr>
            </w:pPr>
            <w:r w:rsidRPr="00DD4C71">
              <w:rPr>
                <w:rFonts w:eastAsia="Times New Roman" w:cs="Arial"/>
                <w:color w:val="000000"/>
                <w:sz w:val="20"/>
                <w:szCs w:val="20"/>
                <w:lang w:eastAsia="en-AU"/>
              </w:rPr>
              <w:t>2,960.6</w:t>
            </w:r>
          </w:p>
        </w:tc>
        <w:tc>
          <w:tcPr>
            <w:tcW w:w="920" w:type="dxa"/>
            <w:tcBorders>
              <w:top w:val="nil"/>
              <w:left w:val="nil"/>
              <w:bottom w:val="nil"/>
              <w:right w:val="nil"/>
            </w:tcBorders>
            <w:shd w:val="clear" w:color="auto" w:fill="auto"/>
            <w:vAlign w:val="center"/>
            <w:hideMark/>
          </w:tcPr>
          <w:p w14:paraId="1A7343AD" w14:textId="77777777" w:rsidR="007502C1" w:rsidRPr="00DD4C71" w:rsidRDefault="007502C1" w:rsidP="009E791A">
            <w:pPr>
              <w:spacing w:after="0" w:line="240" w:lineRule="auto"/>
              <w:jc w:val="center"/>
              <w:rPr>
                <w:rFonts w:eastAsia="Times New Roman" w:cs="Arial"/>
                <w:color w:val="000000"/>
                <w:sz w:val="20"/>
                <w:szCs w:val="20"/>
                <w:lang w:eastAsia="en-AU"/>
              </w:rPr>
            </w:pPr>
            <w:r w:rsidRPr="00DD4C71">
              <w:rPr>
                <w:rFonts w:eastAsia="Times New Roman" w:cs="Arial"/>
                <w:color w:val="000000"/>
                <w:sz w:val="20"/>
                <w:szCs w:val="20"/>
                <w:lang w:eastAsia="en-AU"/>
              </w:rPr>
              <w:t>53.5</w:t>
            </w:r>
          </w:p>
        </w:tc>
        <w:tc>
          <w:tcPr>
            <w:tcW w:w="920" w:type="dxa"/>
            <w:tcBorders>
              <w:top w:val="nil"/>
              <w:left w:val="nil"/>
              <w:bottom w:val="nil"/>
              <w:right w:val="nil"/>
            </w:tcBorders>
            <w:shd w:val="clear" w:color="auto" w:fill="auto"/>
            <w:vAlign w:val="center"/>
            <w:hideMark/>
          </w:tcPr>
          <w:p w14:paraId="52F8106C" w14:textId="77777777" w:rsidR="007502C1" w:rsidRPr="00DD4C71" w:rsidRDefault="007502C1" w:rsidP="009E791A">
            <w:pPr>
              <w:spacing w:after="0" w:line="240" w:lineRule="auto"/>
              <w:jc w:val="center"/>
              <w:rPr>
                <w:rFonts w:eastAsia="Times New Roman" w:cs="Arial"/>
                <w:color w:val="000000"/>
                <w:sz w:val="20"/>
                <w:szCs w:val="20"/>
                <w:lang w:eastAsia="en-AU"/>
              </w:rPr>
            </w:pPr>
            <w:r w:rsidRPr="00DD4C71">
              <w:rPr>
                <w:rFonts w:eastAsia="Times New Roman" w:cs="Arial"/>
                <w:color w:val="000000"/>
                <w:sz w:val="20"/>
                <w:szCs w:val="20"/>
                <w:lang w:eastAsia="en-AU"/>
              </w:rPr>
              <w:t>1.8</w:t>
            </w:r>
          </w:p>
        </w:tc>
        <w:tc>
          <w:tcPr>
            <w:tcW w:w="920" w:type="dxa"/>
            <w:tcBorders>
              <w:top w:val="nil"/>
              <w:left w:val="nil"/>
              <w:bottom w:val="nil"/>
              <w:right w:val="nil"/>
            </w:tcBorders>
            <w:shd w:val="clear" w:color="auto" w:fill="auto"/>
            <w:vAlign w:val="center"/>
            <w:hideMark/>
          </w:tcPr>
          <w:p w14:paraId="119AF181" w14:textId="77777777" w:rsidR="007502C1" w:rsidRPr="00DD4C71" w:rsidRDefault="007502C1" w:rsidP="009E791A">
            <w:pPr>
              <w:spacing w:after="0" w:line="240" w:lineRule="auto"/>
              <w:jc w:val="center"/>
              <w:rPr>
                <w:rFonts w:eastAsia="Times New Roman" w:cs="Arial"/>
                <w:color w:val="000000"/>
                <w:sz w:val="20"/>
                <w:szCs w:val="20"/>
                <w:lang w:eastAsia="en-AU"/>
              </w:rPr>
            </w:pPr>
            <w:r w:rsidRPr="00DD4C71">
              <w:rPr>
                <w:rFonts w:eastAsia="Times New Roman" w:cs="Arial"/>
                <w:color w:val="000000"/>
                <w:sz w:val="20"/>
                <w:szCs w:val="20"/>
                <w:lang w:eastAsia="en-AU"/>
              </w:rPr>
              <w:t>3.9</w:t>
            </w:r>
          </w:p>
        </w:tc>
        <w:tc>
          <w:tcPr>
            <w:tcW w:w="1020" w:type="dxa"/>
            <w:tcBorders>
              <w:top w:val="nil"/>
              <w:left w:val="nil"/>
              <w:bottom w:val="nil"/>
              <w:right w:val="nil"/>
            </w:tcBorders>
            <w:shd w:val="clear" w:color="auto" w:fill="auto"/>
            <w:vAlign w:val="center"/>
            <w:hideMark/>
          </w:tcPr>
          <w:p w14:paraId="002F956B" w14:textId="77777777" w:rsidR="007502C1" w:rsidRPr="00DD4C71" w:rsidRDefault="007502C1" w:rsidP="009E791A">
            <w:pPr>
              <w:spacing w:after="0" w:line="240" w:lineRule="auto"/>
              <w:jc w:val="center"/>
              <w:rPr>
                <w:rFonts w:eastAsia="Times New Roman" w:cs="Arial"/>
                <w:color w:val="000000"/>
                <w:sz w:val="20"/>
                <w:szCs w:val="20"/>
                <w:lang w:eastAsia="en-AU"/>
              </w:rPr>
            </w:pPr>
            <w:r w:rsidRPr="00DD4C71">
              <w:rPr>
                <w:rFonts w:eastAsia="Times New Roman" w:cs="Arial"/>
                <w:color w:val="000000"/>
                <w:sz w:val="20"/>
                <w:szCs w:val="20"/>
                <w:lang w:eastAsia="en-AU"/>
              </w:rPr>
              <w:t>-0.3</w:t>
            </w:r>
          </w:p>
        </w:tc>
        <w:tc>
          <w:tcPr>
            <w:tcW w:w="920" w:type="dxa"/>
            <w:tcBorders>
              <w:top w:val="nil"/>
              <w:left w:val="nil"/>
              <w:bottom w:val="nil"/>
              <w:right w:val="nil"/>
            </w:tcBorders>
            <w:shd w:val="clear" w:color="auto" w:fill="auto"/>
            <w:vAlign w:val="center"/>
            <w:hideMark/>
          </w:tcPr>
          <w:p w14:paraId="3C83DC26" w14:textId="77777777" w:rsidR="007502C1" w:rsidRPr="00DD4C71" w:rsidRDefault="007502C1" w:rsidP="009E791A">
            <w:pPr>
              <w:spacing w:after="0" w:line="240" w:lineRule="auto"/>
              <w:jc w:val="center"/>
              <w:rPr>
                <w:rFonts w:eastAsia="Times New Roman" w:cs="Arial"/>
                <w:color w:val="000000"/>
                <w:sz w:val="20"/>
                <w:szCs w:val="20"/>
                <w:lang w:eastAsia="en-AU"/>
              </w:rPr>
            </w:pPr>
            <w:r w:rsidRPr="00DD4C71">
              <w:rPr>
                <w:rFonts w:eastAsia="Times New Roman" w:cs="Arial"/>
                <w:color w:val="000000"/>
                <w:sz w:val="20"/>
                <w:szCs w:val="20"/>
                <w:lang w:eastAsia="en-AU"/>
              </w:rPr>
              <w:t>67.2</w:t>
            </w:r>
          </w:p>
        </w:tc>
        <w:tc>
          <w:tcPr>
            <w:tcW w:w="1060" w:type="dxa"/>
            <w:tcBorders>
              <w:top w:val="nil"/>
              <w:left w:val="nil"/>
              <w:bottom w:val="nil"/>
              <w:right w:val="nil"/>
            </w:tcBorders>
            <w:shd w:val="clear" w:color="auto" w:fill="auto"/>
            <w:vAlign w:val="center"/>
            <w:hideMark/>
          </w:tcPr>
          <w:p w14:paraId="29A17314" w14:textId="77777777" w:rsidR="007502C1" w:rsidRPr="00DD4C71" w:rsidRDefault="007502C1" w:rsidP="009E791A">
            <w:pPr>
              <w:spacing w:after="0" w:line="240" w:lineRule="auto"/>
              <w:jc w:val="center"/>
              <w:rPr>
                <w:rFonts w:eastAsia="Times New Roman" w:cs="Arial"/>
                <w:color w:val="000000"/>
                <w:sz w:val="20"/>
                <w:szCs w:val="20"/>
                <w:lang w:eastAsia="en-AU"/>
              </w:rPr>
            </w:pPr>
            <w:r w:rsidRPr="00DD4C71">
              <w:rPr>
                <w:rFonts w:eastAsia="Times New Roman" w:cs="Arial"/>
                <w:color w:val="000000"/>
                <w:sz w:val="20"/>
                <w:szCs w:val="20"/>
                <w:lang w:eastAsia="en-AU"/>
              </w:rPr>
              <w:t>0.5</w:t>
            </w:r>
          </w:p>
        </w:tc>
      </w:tr>
      <w:tr w:rsidR="007502C1" w:rsidRPr="00DD4C71" w14:paraId="2BAB9CAA" w14:textId="77777777" w:rsidTr="009E791A">
        <w:trPr>
          <w:trHeight w:val="300"/>
        </w:trPr>
        <w:tc>
          <w:tcPr>
            <w:tcW w:w="2800" w:type="dxa"/>
            <w:tcBorders>
              <w:top w:val="nil"/>
              <w:left w:val="nil"/>
              <w:bottom w:val="nil"/>
              <w:right w:val="nil"/>
            </w:tcBorders>
            <w:shd w:val="clear" w:color="000000" w:fill="E6E6E6"/>
            <w:vAlign w:val="center"/>
            <w:hideMark/>
          </w:tcPr>
          <w:p w14:paraId="736BFA43" w14:textId="77777777" w:rsidR="007502C1" w:rsidRPr="00DD4C71" w:rsidRDefault="007502C1" w:rsidP="009E791A">
            <w:pPr>
              <w:spacing w:after="0" w:line="240" w:lineRule="auto"/>
              <w:rPr>
                <w:rFonts w:eastAsia="Times New Roman" w:cs="Arial"/>
                <w:color w:val="000000"/>
                <w:sz w:val="20"/>
                <w:szCs w:val="20"/>
                <w:lang w:eastAsia="en-AU"/>
              </w:rPr>
            </w:pPr>
            <w:r w:rsidRPr="00DD4C71">
              <w:rPr>
                <w:rFonts w:eastAsia="Times New Roman" w:cs="Arial"/>
                <w:color w:val="000000"/>
                <w:sz w:val="20"/>
                <w:szCs w:val="20"/>
                <w:lang w:eastAsia="en-AU"/>
              </w:rPr>
              <w:t>South Australia</w:t>
            </w:r>
          </w:p>
        </w:tc>
        <w:tc>
          <w:tcPr>
            <w:tcW w:w="920" w:type="dxa"/>
            <w:tcBorders>
              <w:top w:val="nil"/>
              <w:left w:val="nil"/>
              <w:bottom w:val="nil"/>
              <w:right w:val="nil"/>
            </w:tcBorders>
            <w:shd w:val="clear" w:color="000000" w:fill="E6E6E6"/>
            <w:vAlign w:val="center"/>
            <w:hideMark/>
          </w:tcPr>
          <w:p w14:paraId="106CC877" w14:textId="77777777" w:rsidR="007502C1" w:rsidRPr="00DD4C71" w:rsidRDefault="007502C1" w:rsidP="009E791A">
            <w:pPr>
              <w:spacing w:after="0" w:line="240" w:lineRule="auto"/>
              <w:jc w:val="center"/>
              <w:rPr>
                <w:rFonts w:eastAsia="Times New Roman" w:cs="Arial"/>
                <w:color w:val="000000"/>
                <w:sz w:val="20"/>
                <w:szCs w:val="20"/>
                <w:lang w:eastAsia="en-AU"/>
              </w:rPr>
            </w:pPr>
            <w:r w:rsidRPr="00DD4C71">
              <w:rPr>
                <w:rFonts w:eastAsia="Times New Roman" w:cs="Arial"/>
                <w:color w:val="000000"/>
                <w:sz w:val="20"/>
                <w:szCs w:val="20"/>
                <w:lang w:eastAsia="en-AU"/>
              </w:rPr>
              <w:t>939.1</w:t>
            </w:r>
          </w:p>
        </w:tc>
        <w:tc>
          <w:tcPr>
            <w:tcW w:w="920" w:type="dxa"/>
            <w:tcBorders>
              <w:top w:val="nil"/>
              <w:left w:val="nil"/>
              <w:bottom w:val="nil"/>
              <w:right w:val="nil"/>
            </w:tcBorders>
            <w:shd w:val="clear" w:color="000000" w:fill="E6E6E6"/>
            <w:vAlign w:val="center"/>
            <w:hideMark/>
          </w:tcPr>
          <w:p w14:paraId="385334E7" w14:textId="77777777" w:rsidR="007502C1" w:rsidRPr="00DD4C71" w:rsidRDefault="007502C1" w:rsidP="009E791A">
            <w:pPr>
              <w:spacing w:after="0" w:line="240" w:lineRule="auto"/>
              <w:jc w:val="center"/>
              <w:rPr>
                <w:rFonts w:eastAsia="Times New Roman" w:cs="Arial"/>
                <w:color w:val="000000"/>
                <w:sz w:val="20"/>
                <w:szCs w:val="20"/>
                <w:lang w:eastAsia="en-AU"/>
              </w:rPr>
            </w:pPr>
            <w:r w:rsidRPr="00DD4C71">
              <w:rPr>
                <w:rFonts w:eastAsia="Times New Roman" w:cs="Arial"/>
                <w:color w:val="000000"/>
                <w:sz w:val="20"/>
                <w:szCs w:val="20"/>
                <w:lang w:eastAsia="en-AU"/>
              </w:rPr>
              <w:t>-0.4</w:t>
            </w:r>
          </w:p>
        </w:tc>
        <w:tc>
          <w:tcPr>
            <w:tcW w:w="920" w:type="dxa"/>
            <w:tcBorders>
              <w:top w:val="nil"/>
              <w:left w:val="nil"/>
              <w:bottom w:val="nil"/>
              <w:right w:val="nil"/>
            </w:tcBorders>
            <w:shd w:val="clear" w:color="000000" w:fill="E6E6E6"/>
            <w:vAlign w:val="center"/>
            <w:hideMark/>
          </w:tcPr>
          <w:p w14:paraId="6B215A2E" w14:textId="77777777" w:rsidR="007502C1" w:rsidRPr="00DD4C71" w:rsidRDefault="007502C1" w:rsidP="009E791A">
            <w:pPr>
              <w:spacing w:after="0" w:line="240" w:lineRule="auto"/>
              <w:jc w:val="center"/>
              <w:rPr>
                <w:rFonts w:eastAsia="Times New Roman" w:cs="Arial"/>
                <w:color w:val="000000"/>
                <w:sz w:val="20"/>
                <w:szCs w:val="20"/>
                <w:lang w:eastAsia="en-AU"/>
              </w:rPr>
            </w:pPr>
            <w:r w:rsidRPr="00DD4C71">
              <w:rPr>
                <w:rFonts w:eastAsia="Times New Roman" w:cs="Arial"/>
                <w:color w:val="000000"/>
                <w:sz w:val="20"/>
                <w:szCs w:val="20"/>
                <w:lang w:eastAsia="en-AU"/>
              </w:rPr>
              <w:t>0.0</w:t>
            </w:r>
          </w:p>
        </w:tc>
        <w:tc>
          <w:tcPr>
            <w:tcW w:w="920" w:type="dxa"/>
            <w:tcBorders>
              <w:top w:val="nil"/>
              <w:left w:val="nil"/>
              <w:bottom w:val="nil"/>
              <w:right w:val="nil"/>
            </w:tcBorders>
            <w:shd w:val="clear" w:color="000000" w:fill="E6E6E6"/>
            <w:vAlign w:val="center"/>
            <w:hideMark/>
          </w:tcPr>
          <w:p w14:paraId="798D95DC" w14:textId="77777777" w:rsidR="007502C1" w:rsidRPr="00DD4C71" w:rsidRDefault="007502C1" w:rsidP="009E791A">
            <w:pPr>
              <w:spacing w:after="0" w:line="240" w:lineRule="auto"/>
              <w:jc w:val="center"/>
              <w:rPr>
                <w:rFonts w:eastAsia="Times New Roman" w:cs="Arial"/>
                <w:color w:val="000000"/>
                <w:sz w:val="20"/>
                <w:szCs w:val="20"/>
                <w:lang w:eastAsia="en-AU"/>
              </w:rPr>
            </w:pPr>
            <w:r w:rsidRPr="00DD4C71">
              <w:rPr>
                <w:rFonts w:eastAsia="Times New Roman" w:cs="Arial"/>
                <w:color w:val="000000"/>
                <w:sz w:val="20"/>
                <w:szCs w:val="20"/>
                <w:lang w:eastAsia="en-AU"/>
              </w:rPr>
              <w:t>3.9</w:t>
            </w:r>
          </w:p>
        </w:tc>
        <w:tc>
          <w:tcPr>
            <w:tcW w:w="1020" w:type="dxa"/>
            <w:tcBorders>
              <w:top w:val="nil"/>
              <w:left w:val="nil"/>
              <w:bottom w:val="nil"/>
              <w:right w:val="nil"/>
            </w:tcBorders>
            <w:shd w:val="clear" w:color="000000" w:fill="E6E6E6"/>
            <w:vAlign w:val="center"/>
            <w:hideMark/>
          </w:tcPr>
          <w:p w14:paraId="47BB2291" w14:textId="77777777" w:rsidR="007502C1" w:rsidRPr="00DD4C71" w:rsidRDefault="007502C1" w:rsidP="009E791A">
            <w:pPr>
              <w:spacing w:after="0" w:line="240" w:lineRule="auto"/>
              <w:jc w:val="center"/>
              <w:rPr>
                <w:rFonts w:eastAsia="Times New Roman" w:cs="Arial"/>
                <w:color w:val="000000"/>
                <w:sz w:val="20"/>
                <w:szCs w:val="20"/>
                <w:lang w:eastAsia="en-AU"/>
              </w:rPr>
            </w:pPr>
            <w:r w:rsidRPr="00DD4C71">
              <w:rPr>
                <w:rFonts w:eastAsia="Times New Roman" w:cs="Arial"/>
                <w:color w:val="000000"/>
                <w:sz w:val="20"/>
                <w:szCs w:val="20"/>
                <w:lang w:eastAsia="en-AU"/>
              </w:rPr>
              <w:t>0.0</w:t>
            </w:r>
          </w:p>
        </w:tc>
        <w:tc>
          <w:tcPr>
            <w:tcW w:w="920" w:type="dxa"/>
            <w:tcBorders>
              <w:top w:val="nil"/>
              <w:left w:val="nil"/>
              <w:bottom w:val="nil"/>
              <w:right w:val="nil"/>
            </w:tcBorders>
            <w:shd w:val="clear" w:color="000000" w:fill="E6E6E6"/>
            <w:vAlign w:val="center"/>
            <w:hideMark/>
          </w:tcPr>
          <w:p w14:paraId="7129E213" w14:textId="77777777" w:rsidR="007502C1" w:rsidRPr="00DD4C71" w:rsidRDefault="007502C1" w:rsidP="009E791A">
            <w:pPr>
              <w:spacing w:after="0" w:line="240" w:lineRule="auto"/>
              <w:jc w:val="center"/>
              <w:rPr>
                <w:rFonts w:eastAsia="Times New Roman" w:cs="Arial"/>
                <w:color w:val="000000"/>
                <w:sz w:val="20"/>
                <w:szCs w:val="20"/>
                <w:lang w:eastAsia="en-AU"/>
              </w:rPr>
            </w:pPr>
            <w:r w:rsidRPr="00DD4C71">
              <w:rPr>
                <w:rFonts w:eastAsia="Times New Roman" w:cs="Arial"/>
                <w:color w:val="000000"/>
                <w:sz w:val="20"/>
                <w:szCs w:val="20"/>
                <w:lang w:eastAsia="en-AU"/>
              </w:rPr>
              <w:t>62.4</w:t>
            </w:r>
          </w:p>
        </w:tc>
        <w:tc>
          <w:tcPr>
            <w:tcW w:w="1060" w:type="dxa"/>
            <w:tcBorders>
              <w:top w:val="nil"/>
              <w:left w:val="nil"/>
              <w:bottom w:val="nil"/>
              <w:right w:val="nil"/>
            </w:tcBorders>
            <w:shd w:val="clear" w:color="000000" w:fill="E6E6E6"/>
            <w:vAlign w:val="center"/>
            <w:hideMark/>
          </w:tcPr>
          <w:p w14:paraId="6ED2E517" w14:textId="77777777" w:rsidR="007502C1" w:rsidRPr="00DD4C71" w:rsidRDefault="007502C1" w:rsidP="009E791A">
            <w:pPr>
              <w:spacing w:after="0" w:line="240" w:lineRule="auto"/>
              <w:jc w:val="center"/>
              <w:rPr>
                <w:rFonts w:eastAsia="Times New Roman" w:cs="Arial"/>
                <w:color w:val="000000"/>
                <w:sz w:val="20"/>
                <w:szCs w:val="20"/>
                <w:lang w:eastAsia="en-AU"/>
              </w:rPr>
            </w:pPr>
            <w:r w:rsidRPr="00DD4C71">
              <w:rPr>
                <w:rFonts w:eastAsia="Times New Roman" w:cs="Arial"/>
                <w:color w:val="000000"/>
                <w:sz w:val="20"/>
                <w:szCs w:val="20"/>
                <w:lang w:eastAsia="en-AU"/>
              </w:rPr>
              <w:t>-0.3</w:t>
            </w:r>
          </w:p>
        </w:tc>
      </w:tr>
      <w:tr w:rsidR="007502C1" w:rsidRPr="00DD4C71" w14:paraId="1EF803DF" w14:textId="77777777" w:rsidTr="009E791A">
        <w:trPr>
          <w:trHeight w:val="300"/>
        </w:trPr>
        <w:tc>
          <w:tcPr>
            <w:tcW w:w="2800" w:type="dxa"/>
            <w:tcBorders>
              <w:top w:val="nil"/>
              <w:left w:val="nil"/>
              <w:bottom w:val="nil"/>
              <w:right w:val="nil"/>
            </w:tcBorders>
            <w:shd w:val="clear" w:color="auto" w:fill="auto"/>
            <w:vAlign w:val="center"/>
            <w:hideMark/>
          </w:tcPr>
          <w:p w14:paraId="71A60297" w14:textId="77777777" w:rsidR="007502C1" w:rsidRPr="00DD4C71" w:rsidRDefault="007502C1" w:rsidP="009E791A">
            <w:pPr>
              <w:spacing w:after="0" w:line="240" w:lineRule="auto"/>
              <w:rPr>
                <w:rFonts w:eastAsia="Times New Roman" w:cs="Arial"/>
                <w:color w:val="000000"/>
                <w:sz w:val="20"/>
                <w:szCs w:val="20"/>
                <w:lang w:eastAsia="en-AU"/>
              </w:rPr>
            </w:pPr>
            <w:r w:rsidRPr="00DD4C71">
              <w:rPr>
                <w:rFonts w:eastAsia="Times New Roman" w:cs="Arial"/>
                <w:color w:val="000000"/>
                <w:sz w:val="20"/>
                <w:szCs w:val="20"/>
                <w:lang w:eastAsia="en-AU"/>
              </w:rPr>
              <w:t>Western Australia</w:t>
            </w:r>
          </w:p>
        </w:tc>
        <w:tc>
          <w:tcPr>
            <w:tcW w:w="920" w:type="dxa"/>
            <w:tcBorders>
              <w:top w:val="nil"/>
              <w:left w:val="nil"/>
              <w:bottom w:val="nil"/>
              <w:right w:val="nil"/>
            </w:tcBorders>
            <w:shd w:val="clear" w:color="auto" w:fill="auto"/>
            <w:vAlign w:val="center"/>
            <w:hideMark/>
          </w:tcPr>
          <w:p w14:paraId="08BE5D16" w14:textId="77777777" w:rsidR="007502C1" w:rsidRPr="00DD4C71" w:rsidRDefault="007502C1" w:rsidP="009E791A">
            <w:pPr>
              <w:spacing w:after="0" w:line="240" w:lineRule="auto"/>
              <w:jc w:val="center"/>
              <w:rPr>
                <w:rFonts w:eastAsia="Times New Roman" w:cs="Arial"/>
                <w:color w:val="000000"/>
                <w:sz w:val="20"/>
                <w:szCs w:val="20"/>
                <w:lang w:eastAsia="en-AU"/>
              </w:rPr>
            </w:pPr>
            <w:r w:rsidRPr="00DD4C71">
              <w:rPr>
                <w:rFonts w:eastAsia="Times New Roman" w:cs="Arial"/>
                <w:color w:val="000000"/>
                <w:sz w:val="20"/>
                <w:szCs w:val="20"/>
                <w:lang w:eastAsia="en-AU"/>
              </w:rPr>
              <w:t>1,607.4</w:t>
            </w:r>
          </w:p>
        </w:tc>
        <w:tc>
          <w:tcPr>
            <w:tcW w:w="920" w:type="dxa"/>
            <w:tcBorders>
              <w:top w:val="nil"/>
              <w:left w:val="nil"/>
              <w:bottom w:val="nil"/>
              <w:right w:val="nil"/>
            </w:tcBorders>
            <w:shd w:val="clear" w:color="auto" w:fill="auto"/>
            <w:vAlign w:val="center"/>
            <w:hideMark/>
          </w:tcPr>
          <w:p w14:paraId="0A05BCC8" w14:textId="77777777" w:rsidR="007502C1" w:rsidRPr="00DD4C71" w:rsidRDefault="007502C1" w:rsidP="009E791A">
            <w:pPr>
              <w:spacing w:after="0" w:line="240" w:lineRule="auto"/>
              <w:jc w:val="center"/>
              <w:rPr>
                <w:rFonts w:eastAsia="Times New Roman" w:cs="Arial"/>
                <w:color w:val="000000"/>
                <w:sz w:val="20"/>
                <w:szCs w:val="20"/>
                <w:lang w:eastAsia="en-AU"/>
              </w:rPr>
            </w:pPr>
            <w:r w:rsidRPr="00DD4C71">
              <w:rPr>
                <w:rFonts w:eastAsia="Times New Roman" w:cs="Arial"/>
                <w:color w:val="000000"/>
                <w:sz w:val="20"/>
                <w:szCs w:val="20"/>
                <w:lang w:eastAsia="en-AU"/>
              </w:rPr>
              <w:t>2.4</w:t>
            </w:r>
          </w:p>
        </w:tc>
        <w:tc>
          <w:tcPr>
            <w:tcW w:w="920" w:type="dxa"/>
            <w:tcBorders>
              <w:top w:val="nil"/>
              <w:left w:val="nil"/>
              <w:bottom w:val="nil"/>
              <w:right w:val="nil"/>
            </w:tcBorders>
            <w:shd w:val="clear" w:color="auto" w:fill="auto"/>
            <w:vAlign w:val="center"/>
            <w:hideMark/>
          </w:tcPr>
          <w:p w14:paraId="19280971" w14:textId="77777777" w:rsidR="007502C1" w:rsidRPr="00DD4C71" w:rsidRDefault="007502C1" w:rsidP="009E791A">
            <w:pPr>
              <w:spacing w:after="0" w:line="240" w:lineRule="auto"/>
              <w:jc w:val="center"/>
              <w:rPr>
                <w:rFonts w:eastAsia="Times New Roman" w:cs="Arial"/>
                <w:color w:val="000000"/>
                <w:sz w:val="20"/>
                <w:szCs w:val="20"/>
                <w:lang w:eastAsia="en-AU"/>
              </w:rPr>
            </w:pPr>
            <w:r w:rsidRPr="00DD4C71">
              <w:rPr>
                <w:rFonts w:eastAsia="Times New Roman" w:cs="Arial"/>
                <w:color w:val="000000"/>
                <w:sz w:val="20"/>
                <w:szCs w:val="20"/>
                <w:lang w:eastAsia="en-AU"/>
              </w:rPr>
              <w:t>0.2</w:t>
            </w:r>
          </w:p>
        </w:tc>
        <w:tc>
          <w:tcPr>
            <w:tcW w:w="920" w:type="dxa"/>
            <w:tcBorders>
              <w:top w:val="nil"/>
              <w:left w:val="nil"/>
              <w:bottom w:val="nil"/>
              <w:right w:val="nil"/>
            </w:tcBorders>
            <w:shd w:val="clear" w:color="auto" w:fill="auto"/>
            <w:vAlign w:val="center"/>
            <w:hideMark/>
          </w:tcPr>
          <w:p w14:paraId="2FFF0427" w14:textId="77777777" w:rsidR="007502C1" w:rsidRPr="00DD4C71" w:rsidRDefault="007502C1" w:rsidP="009E791A">
            <w:pPr>
              <w:spacing w:after="0" w:line="240" w:lineRule="auto"/>
              <w:jc w:val="center"/>
              <w:rPr>
                <w:rFonts w:eastAsia="Times New Roman" w:cs="Arial"/>
                <w:color w:val="000000"/>
                <w:sz w:val="20"/>
                <w:szCs w:val="20"/>
                <w:lang w:eastAsia="en-AU"/>
              </w:rPr>
            </w:pPr>
            <w:r w:rsidRPr="00DD4C71">
              <w:rPr>
                <w:rFonts w:eastAsia="Times New Roman" w:cs="Arial"/>
                <w:color w:val="000000"/>
                <w:sz w:val="20"/>
                <w:szCs w:val="20"/>
                <w:lang w:eastAsia="en-AU"/>
              </w:rPr>
              <w:t>3.8</w:t>
            </w:r>
          </w:p>
        </w:tc>
        <w:tc>
          <w:tcPr>
            <w:tcW w:w="1020" w:type="dxa"/>
            <w:tcBorders>
              <w:top w:val="nil"/>
              <w:left w:val="nil"/>
              <w:bottom w:val="nil"/>
              <w:right w:val="nil"/>
            </w:tcBorders>
            <w:shd w:val="clear" w:color="auto" w:fill="auto"/>
            <w:vAlign w:val="center"/>
            <w:hideMark/>
          </w:tcPr>
          <w:p w14:paraId="654F064F" w14:textId="77777777" w:rsidR="007502C1" w:rsidRPr="00DD4C71" w:rsidRDefault="007502C1" w:rsidP="009E791A">
            <w:pPr>
              <w:spacing w:after="0" w:line="240" w:lineRule="auto"/>
              <w:jc w:val="center"/>
              <w:rPr>
                <w:rFonts w:eastAsia="Times New Roman" w:cs="Arial"/>
                <w:color w:val="000000"/>
                <w:sz w:val="20"/>
                <w:szCs w:val="20"/>
                <w:lang w:eastAsia="en-AU"/>
              </w:rPr>
            </w:pPr>
            <w:r w:rsidRPr="00DD4C71">
              <w:rPr>
                <w:rFonts w:eastAsia="Times New Roman" w:cs="Arial"/>
                <w:color w:val="000000"/>
                <w:sz w:val="20"/>
                <w:szCs w:val="20"/>
                <w:lang w:eastAsia="en-AU"/>
              </w:rPr>
              <w:t>0.4</w:t>
            </w:r>
          </w:p>
        </w:tc>
        <w:tc>
          <w:tcPr>
            <w:tcW w:w="920" w:type="dxa"/>
            <w:tcBorders>
              <w:top w:val="nil"/>
              <w:left w:val="nil"/>
              <w:bottom w:val="nil"/>
              <w:right w:val="nil"/>
            </w:tcBorders>
            <w:shd w:val="clear" w:color="auto" w:fill="auto"/>
            <w:vAlign w:val="center"/>
            <w:hideMark/>
          </w:tcPr>
          <w:p w14:paraId="23B2031B" w14:textId="77777777" w:rsidR="007502C1" w:rsidRPr="00DD4C71" w:rsidRDefault="007502C1" w:rsidP="009E791A">
            <w:pPr>
              <w:spacing w:after="0" w:line="240" w:lineRule="auto"/>
              <w:jc w:val="center"/>
              <w:rPr>
                <w:rFonts w:eastAsia="Times New Roman" w:cs="Arial"/>
                <w:color w:val="000000"/>
                <w:sz w:val="20"/>
                <w:szCs w:val="20"/>
                <w:lang w:eastAsia="en-AU"/>
              </w:rPr>
            </w:pPr>
            <w:r w:rsidRPr="00DD4C71">
              <w:rPr>
                <w:rFonts w:eastAsia="Times New Roman" w:cs="Arial"/>
                <w:color w:val="000000"/>
                <w:sz w:val="20"/>
                <w:szCs w:val="20"/>
                <w:lang w:eastAsia="en-AU"/>
              </w:rPr>
              <w:t>68.8</w:t>
            </w:r>
          </w:p>
        </w:tc>
        <w:tc>
          <w:tcPr>
            <w:tcW w:w="1060" w:type="dxa"/>
            <w:tcBorders>
              <w:top w:val="nil"/>
              <w:left w:val="nil"/>
              <w:bottom w:val="nil"/>
              <w:right w:val="nil"/>
            </w:tcBorders>
            <w:shd w:val="clear" w:color="auto" w:fill="auto"/>
            <w:vAlign w:val="center"/>
            <w:hideMark/>
          </w:tcPr>
          <w:p w14:paraId="7F2DE6B1" w14:textId="77777777" w:rsidR="007502C1" w:rsidRPr="00DD4C71" w:rsidRDefault="007502C1" w:rsidP="009E791A">
            <w:pPr>
              <w:spacing w:after="0" w:line="240" w:lineRule="auto"/>
              <w:jc w:val="center"/>
              <w:rPr>
                <w:rFonts w:eastAsia="Times New Roman" w:cs="Arial"/>
                <w:color w:val="000000"/>
                <w:sz w:val="20"/>
                <w:szCs w:val="20"/>
                <w:lang w:eastAsia="en-AU"/>
              </w:rPr>
            </w:pPr>
            <w:r w:rsidRPr="00DD4C71">
              <w:rPr>
                <w:rFonts w:eastAsia="Times New Roman" w:cs="Arial"/>
                <w:color w:val="000000"/>
                <w:sz w:val="20"/>
                <w:szCs w:val="20"/>
                <w:lang w:eastAsia="en-AU"/>
              </w:rPr>
              <w:t>-0.2</w:t>
            </w:r>
          </w:p>
        </w:tc>
      </w:tr>
      <w:tr w:rsidR="007502C1" w:rsidRPr="00DD4C71" w14:paraId="5CDFC6D3" w14:textId="77777777" w:rsidTr="009E791A">
        <w:trPr>
          <w:trHeight w:val="300"/>
        </w:trPr>
        <w:tc>
          <w:tcPr>
            <w:tcW w:w="2800" w:type="dxa"/>
            <w:tcBorders>
              <w:top w:val="nil"/>
              <w:left w:val="nil"/>
              <w:bottom w:val="nil"/>
              <w:right w:val="nil"/>
            </w:tcBorders>
            <w:shd w:val="clear" w:color="000000" w:fill="E6E6E6"/>
            <w:vAlign w:val="center"/>
            <w:hideMark/>
          </w:tcPr>
          <w:p w14:paraId="2BB94752" w14:textId="77777777" w:rsidR="007502C1" w:rsidRPr="00DD4C71" w:rsidRDefault="007502C1" w:rsidP="009E791A">
            <w:pPr>
              <w:spacing w:after="0" w:line="240" w:lineRule="auto"/>
              <w:rPr>
                <w:rFonts w:eastAsia="Times New Roman" w:cs="Arial"/>
                <w:color w:val="000000"/>
                <w:sz w:val="20"/>
                <w:szCs w:val="20"/>
                <w:lang w:eastAsia="en-AU"/>
              </w:rPr>
            </w:pPr>
            <w:r w:rsidRPr="00DD4C71">
              <w:rPr>
                <w:rFonts w:eastAsia="Times New Roman" w:cs="Arial"/>
                <w:color w:val="000000"/>
                <w:sz w:val="20"/>
                <w:szCs w:val="20"/>
                <w:lang w:eastAsia="en-AU"/>
              </w:rPr>
              <w:t>Tasmania</w:t>
            </w:r>
          </w:p>
        </w:tc>
        <w:tc>
          <w:tcPr>
            <w:tcW w:w="920" w:type="dxa"/>
            <w:tcBorders>
              <w:top w:val="nil"/>
              <w:left w:val="nil"/>
              <w:bottom w:val="nil"/>
              <w:right w:val="nil"/>
            </w:tcBorders>
            <w:shd w:val="clear" w:color="000000" w:fill="E6E6E6"/>
            <w:vAlign w:val="center"/>
            <w:hideMark/>
          </w:tcPr>
          <w:p w14:paraId="7DF1EF4D" w14:textId="77777777" w:rsidR="007502C1" w:rsidRPr="00DD4C71" w:rsidRDefault="007502C1" w:rsidP="009E791A">
            <w:pPr>
              <w:spacing w:after="0" w:line="240" w:lineRule="auto"/>
              <w:jc w:val="center"/>
              <w:rPr>
                <w:rFonts w:eastAsia="Times New Roman" w:cs="Arial"/>
                <w:color w:val="000000"/>
                <w:sz w:val="20"/>
                <w:szCs w:val="20"/>
                <w:lang w:eastAsia="en-AU"/>
              </w:rPr>
            </w:pPr>
            <w:r w:rsidRPr="00DD4C71">
              <w:rPr>
                <w:rFonts w:eastAsia="Times New Roman" w:cs="Arial"/>
                <w:color w:val="000000"/>
                <w:sz w:val="20"/>
                <w:szCs w:val="20"/>
                <w:lang w:eastAsia="en-AU"/>
              </w:rPr>
              <w:t>283.9</w:t>
            </w:r>
          </w:p>
        </w:tc>
        <w:tc>
          <w:tcPr>
            <w:tcW w:w="920" w:type="dxa"/>
            <w:tcBorders>
              <w:top w:val="nil"/>
              <w:left w:val="nil"/>
              <w:bottom w:val="nil"/>
              <w:right w:val="nil"/>
            </w:tcBorders>
            <w:shd w:val="clear" w:color="000000" w:fill="E6E6E6"/>
            <w:vAlign w:val="center"/>
            <w:hideMark/>
          </w:tcPr>
          <w:p w14:paraId="457646FF" w14:textId="77777777" w:rsidR="007502C1" w:rsidRPr="00DD4C71" w:rsidRDefault="007502C1" w:rsidP="009E791A">
            <w:pPr>
              <w:spacing w:after="0" w:line="240" w:lineRule="auto"/>
              <w:jc w:val="center"/>
              <w:rPr>
                <w:rFonts w:eastAsia="Times New Roman" w:cs="Arial"/>
                <w:color w:val="000000"/>
                <w:sz w:val="20"/>
                <w:szCs w:val="20"/>
                <w:lang w:eastAsia="en-AU"/>
              </w:rPr>
            </w:pPr>
            <w:r w:rsidRPr="00DD4C71">
              <w:rPr>
                <w:rFonts w:eastAsia="Times New Roman" w:cs="Arial"/>
                <w:color w:val="000000"/>
                <w:sz w:val="20"/>
                <w:szCs w:val="20"/>
                <w:lang w:eastAsia="en-AU"/>
              </w:rPr>
              <w:t>0.7</w:t>
            </w:r>
          </w:p>
        </w:tc>
        <w:tc>
          <w:tcPr>
            <w:tcW w:w="920" w:type="dxa"/>
            <w:tcBorders>
              <w:top w:val="nil"/>
              <w:left w:val="nil"/>
              <w:bottom w:val="nil"/>
              <w:right w:val="nil"/>
            </w:tcBorders>
            <w:shd w:val="clear" w:color="000000" w:fill="E6E6E6"/>
            <w:vAlign w:val="center"/>
            <w:hideMark/>
          </w:tcPr>
          <w:p w14:paraId="658E7F5F" w14:textId="77777777" w:rsidR="007502C1" w:rsidRPr="00DD4C71" w:rsidRDefault="007502C1" w:rsidP="009E791A">
            <w:pPr>
              <w:spacing w:after="0" w:line="240" w:lineRule="auto"/>
              <w:jc w:val="center"/>
              <w:rPr>
                <w:rFonts w:eastAsia="Times New Roman" w:cs="Arial"/>
                <w:color w:val="000000"/>
                <w:sz w:val="20"/>
                <w:szCs w:val="20"/>
                <w:lang w:eastAsia="en-AU"/>
              </w:rPr>
            </w:pPr>
            <w:r w:rsidRPr="00DD4C71">
              <w:rPr>
                <w:rFonts w:eastAsia="Times New Roman" w:cs="Arial"/>
                <w:color w:val="000000"/>
                <w:sz w:val="20"/>
                <w:szCs w:val="20"/>
                <w:lang w:eastAsia="en-AU"/>
              </w:rPr>
              <w:t>0.3</w:t>
            </w:r>
          </w:p>
        </w:tc>
        <w:tc>
          <w:tcPr>
            <w:tcW w:w="920" w:type="dxa"/>
            <w:tcBorders>
              <w:top w:val="nil"/>
              <w:left w:val="nil"/>
              <w:bottom w:val="nil"/>
              <w:right w:val="nil"/>
            </w:tcBorders>
            <w:shd w:val="clear" w:color="000000" w:fill="E6E6E6"/>
            <w:vAlign w:val="center"/>
            <w:hideMark/>
          </w:tcPr>
          <w:p w14:paraId="26B95E71" w14:textId="77777777" w:rsidR="007502C1" w:rsidRPr="00DD4C71" w:rsidRDefault="007502C1" w:rsidP="009E791A">
            <w:pPr>
              <w:spacing w:after="0" w:line="240" w:lineRule="auto"/>
              <w:jc w:val="center"/>
              <w:rPr>
                <w:rFonts w:eastAsia="Times New Roman" w:cs="Arial"/>
                <w:color w:val="000000"/>
                <w:sz w:val="20"/>
                <w:szCs w:val="20"/>
                <w:lang w:eastAsia="en-AU"/>
              </w:rPr>
            </w:pPr>
            <w:r w:rsidRPr="00DD4C71">
              <w:rPr>
                <w:rFonts w:eastAsia="Times New Roman" w:cs="Arial"/>
                <w:color w:val="000000"/>
                <w:sz w:val="20"/>
                <w:szCs w:val="20"/>
                <w:lang w:eastAsia="en-AU"/>
              </w:rPr>
              <w:t>3.7</w:t>
            </w:r>
          </w:p>
        </w:tc>
        <w:tc>
          <w:tcPr>
            <w:tcW w:w="1020" w:type="dxa"/>
            <w:tcBorders>
              <w:top w:val="nil"/>
              <w:left w:val="nil"/>
              <w:bottom w:val="nil"/>
              <w:right w:val="nil"/>
            </w:tcBorders>
            <w:shd w:val="clear" w:color="000000" w:fill="E6E6E6"/>
            <w:vAlign w:val="center"/>
            <w:hideMark/>
          </w:tcPr>
          <w:p w14:paraId="3068E35A" w14:textId="77777777" w:rsidR="007502C1" w:rsidRPr="00DD4C71" w:rsidRDefault="007502C1" w:rsidP="009E791A">
            <w:pPr>
              <w:spacing w:after="0" w:line="240" w:lineRule="auto"/>
              <w:jc w:val="center"/>
              <w:rPr>
                <w:rFonts w:eastAsia="Times New Roman" w:cs="Arial"/>
                <w:color w:val="000000"/>
                <w:sz w:val="20"/>
                <w:szCs w:val="20"/>
                <w:lang w:eastAsia="en-AU"/>
              </w:rPr>
            </w:pPr>
            <w:r w:rsidRPr="00DD4C71">
              <w:rPr>
                <w:rFonts w:eastAsia="Times New Roman" w:cs="Arial"/>
                <w:color w:val="000000"/>
                <w:sz w:val="20"/>
                <w:szCs w:val="20"/>
                <w:lang w:eastAsia="en-AU"/>
              </w:rPr>
              <w:t>-0.1</w:t>
            </w:r>
          </w:p>
        </w:tc>
        <w:tc>
          <w:tcPr>
            <w:tcW w:w="920" w:type="dxa"/>
            <w:tcBorders>
              <w:top w:val="nil"/>
              <w:left w:val="nil"/>
              <w:bottom w:val="nil"/>
              <w:right w:val="nil"/>
            </w:tcBorders>
            <w:shd w:val="clear" w:color="000000" w:fill="E6E6E6"/>
            <w:vAlign w:val="center"/>
            <w:hideMark/>
          </w:tcPr>
          <w:p w14:paraId="42E6C66B" w14:textId="77777777" w:rsidR="007502C1" w:rsidRPr="00DD4C71" w:rsidRDefault="007502C1" w:rsidP="009E791A">
            <w:pPr>
              <w:spacing w:after="0" w:line="240" w:lineRule="auto"/>
              <w:jc w:val="center"/>
              <w:rPr>
                <w:rFonts w:eastAsia="Times New Roman" w:cs="Arial"/>
                <w:color w:val="000000"/>
                <w:sz w:val="20"/>
                <w:szCs w:val="20"/>
                <w:lang w:eastAsia="en-AU"/>
              </w:rPr>
            </w:pPr>
            <w:r w:rsidRPr="00DD4C71">
              <w:rPr>
                <w:rFonts w:eastAsia="Times New Roman" w:cs="Arial"/>
                <w:color w:val="000000"/>
                <w:sz w:val="20"/>
                <w:szCs w:val="20"/>
                <w:lang w:eastAsia="en-AU"/>
              </w:rPr>
              <w:t>61.0</w:t>
            </w:r>
          </w:p>
        </w:tc>
        <w:tc>
          <w:tcPr>
            <w:tcW w:w="1060" w:type="dxa"/>
            <w:tcBorders>
              <w:top w:val="nil"/>
              <w:left w:val="nil"/>
              <w:bottom w:val="nil"/>
              <w:right w:val="nil"/>
            </w:tcBorders>
            <w:shd w:val="clear" w:color="000000" w:fill="E6E6E6"/>
            <w:vAlign w:val="center"/>
            <w:hideMark/>
          </w:tcPr>
          <w:p w14:paraId="2A56BEBB" w14:textId="77777777" w:rsidR="007502C1" w:rsidRPr="00DD4C71" w:rsidRDefault="007502C1" w:rsidP="009E791A">
            <w:pPr>
              <w:spacing w:after="0" w:line="240" w:lineRule="auto"/>
              <w:jc w:val="center"/>
              <w:rPr>
                <w:rFonts w:eastAsia="Times New Roman" w:cs="Arial"/>
                <w:color w:val="000000"/>
                <w:sz w:val="20"/>
                <w:szCs w:val="20"/>
                <w:lang w:eastAsia="en-AU"/>
              </w:rPr>
            </w:pPr>
            <w:r w:rsidRPr="00DD4C71">
              <w:rPr>
                <w:rFonts w:eastAsia="Times New Roman" w:cs="Arial"/>
                <w:color w:val="000000"/>
                <w:sz w:val="20"/>
                <w:szCs w:val="20"/>
                <w:lang w:eastAsia="en-AU"/>
              </w:rPr>
              <w:t>0.0</w:t>
            </w:r>
          </w:p>
        </w:tc>
      </w:tr>
      <w:tr w:rsidR="007502C1" w:rsidRPr="00DD4C71" w14:paraId="6F1F7559" w14:textId="77777777" w:rsidTr="009E791A">
        <w:trPr>
          <w:trHeight w:val="300"/>
        </w:trPr>
        <w:tc>
          <w:tcPr>
            <w:tcW w:w="2800" w:type="dxa"/>
            <w:tcBorders>
              <w:top w:val="nil"/>
              <w:left w:val="nil"/>
              <w:bottom w:val="nil"/>
              <w:right w:val="nil"/>
            </w:tcBorders>
            <w:shd w:val="clear" w:color="auto" w:fill="auto"/>
            <w:vAlign w:val="center"/>
            <w:hideMark/>
          </w:tcPr>
          <w:p w14:paraId="0FDB8404" w14:textId="77777777" w:rsidR="007502C1" w:rsidRPr="00DD4C71" w:rsidRDefault="007502C1" w:rsidP="009E791A">
            <w:pPr>
              <w:spacing w:after="0" w:line="240" w:lineRule="auto"/>
              <w:rPr>
                <w:rFonts w:eastAsia="Times New Roman" w:cs="Arial"/>
                <w:color w:val="000000"/>
                <w:sz w:val="20"/>
                <w:szCs w:val="20"/>
                <w:lang w:eastAsia="en-AU"/>
              </w:rPr>
            </w:pPr>
            <w:r w:rsidRPr="00DD4C71">
              <w:rPr>
                <w:rFonts w:eastAsia="Times New Roman" w:cs="Arial"/>
                <w:color w:val="000000"/>
                <w:sz w:val="20"/>
                <w:szCs w:val="20"/>
                <w:lang w:eastAsia="en-AU"/>
              </w:rPr>
              <w:t>Northern Territory</w:t>
            </w:r>
          </w:p>
        </w:tc>
        <w:tc>
          <w:tcPr>
            <w:tcW w:w="920" w:type="dxa"/>
            <w:tcBorders>
              <w:top w:val="nil"/>
              <w:left w:val="nil"/>
              <w:bottom w:val="nil"/>
              <w:right w:val="nil"/>
            </w:tcBorders>
            <w:shd w:val="clear" w:color="auto" w:fill="auto"/>
            <w:vAlign w:val="center"/>
            <w:hideMark/>
          </w:tcPr>
          <w:p w14:paraId="73644E7D" w14:textId="77777777" w:rsidR="007502C1" w:rsidRPr="00DD4C71" w:rsidRDefault="007502C1" w:rsidP="009E791A">
            <w:pPr>
              <w:spacing w:after="0" w:line="240" w:lineRule="auto"/>
              <w:jc w:val="center"/>
              <w:rPr>
                <w:rFonts w:eastAsia="Times New Roman" w:cs="Arial"/>
                <w:color w:val="000000"/>
                <w:sz w:val="20"/>
                <w:szCs w:val="20"/>
                <w:lang w:eastAsia="en-AU"/>
              </w:rPr>
            </w:pPr>
            <w:r w:rsidRPr="00DD4C71">
              <w:rPr>
                <w:rFonts w:eastAsia="Times New Roman" w:cs="Arial"/>
                <w:color w:val="000000"/>
                <w:sz w:val="20"/>
                <w:szCs w:val="20"/>
                <w:lang w:eastAsia="en-AU"/>
              </w:rPr>
              <w:t>138.9</w:t>
            </w:r>
          </w:p>
        </w:tc>
        <w:tc>
          <w:tcPr>
            <w:tcW w:w="920" w:type="dxa"/>
            <w:tcBorders>
              <w:top w:val="nil"/>
              <w:left w:val="nil"/>
              <w:bottom w:val="nil"/>
              <w:right w:val="nil"/>
            </w:tcBorders>
            <w:shd w:val="clear" w:color="auto" w:fill="auto"/>
            <w:vAlign w:val="center"/>
            <w:hideMark/>
          </w:tcPr>
          <w:p w14:paraId="6A2404B9" w14:textId="77777777" w:rsidR="007502C1" w:rsidRPr="00DD4C71" w:rsidRDefault="007502C1" w:rsidP="009E791A">
            <w:pPr>
              <w:spacing w:after="0" w:line="240" w:lineRule="auto"/>
              <w:jc w:val="center"/>
              <w:rPr>
                <w:rFonts w:eastAsia="Times New Roman" w:cs="Arial"/>
                <w:color w:val="000000"/>
                <w:sz w:val="20"/>
                <w:szCs w:val="20"/>
                <w:lang w:eastAsia="en-AU"/>
              </w:rPr>
            </w:pPr>
            <w:r w:rsidRPr="00DD4C71">
              <w:rPr>
                <w:rFonts w:eastAsia="Times New Roman" w:cs="Arial"/>
                <w:color w:val="000000"/>
                <w:sz w:val="20"/>
                <w:szCs w:val="20"/>
                <w:lang w:eastAsia="en-AU"/>
              </w:rPr>
              <w:t>-1.8</w:t>
            </w:r>
          </w:p>
        </w:tc>
        <w:tc>
          <w:tcPr>
            <w:tcW w:w="920" w:type="dxa"/>
            <w:tcBorders>
              <w:top w:val="nil"/>
              <w:left w:val="nil"/>
              <w:bottom w:val="nil"/>
              <w:right w:val="nil"/>
            </w:tcBorders>
            <w:shd w:val="clear" w:color="auto" w:fill="auto"/>
            <w:vAlign w:val="center"/>
            <w:hideMark/>
          </w:tcPr>
          <w:p w14:paraId="02D61C08" w14:textId="77777777" w:rsidR="007502C1" w:rsidRPr="00DD4C71" w:rsidRDefault="007502C1" w:rsidP="009E791A">
            <w:pPr>
              <w:spacing w:after="0" w:line="240" w:lineRule="auto"/>
              <w:jc w:val="center"/>
              <w:rPr>
                <w:rFonts w:eastAsia="Times New Roman" w:cs="Arial"/>
                <w:color w:val="000000"/>
                <w:sz w:val="20"/>
                <w:szCs w:val="20"/>
                <w:lang w:eastAsia="en-AU"/>
              </w:rPr>
            </w:pPr>
            <w:r w:rsidRPr="00DD4C71">
              <w:rPr>
                <w:rFonts w:eastAsia="Times New Roman" w:cs="Arial"/>
                <w:color w:val="000000"/>
                <w:sz w:val="20"/>
                <w:szCs w:val="20"/>
                <w:lang w:eastAsia="en-AU"/>
              </w:rPr>
              <w:t>-1.3</w:t>
            </w:r>
          </w:p>
        </w:tc>
        <w:tc>
          <w:tcPr>
            <w:tcW w:w="920" w:type="dxa"/>
            <w:tcBorders>
              <w:top w:val="nil"/>
              <w:left w:val="nil"/>
              <w:bottom w:val="nil"/>
              <w:right w:val="nil"/>
            </w:tcBorders>
            <w:shd w:val="clear" w:color="auto" w:fill="auto"/>
            <w:vAlign w:val="center"/>
            <w:hideMark/>
          </w:tcPr>
          <w:p w14:paraId="6AFE04D1" w14:textId="77777777" w:rsidR="007502C1" w:rsidRPr="00DD4C71" w:rsidRDefault="007502C1" w:rsidP="009E791A">
            <w:pPr>
              <w:spacing w:after="0" w:line="240" w:lineRule="auto"/>
              <w:jc w:val="center"/>
              <w:rPr>
                <w:rFonts w:eastAsia="Times New Roman" w:cs="Arial"/>
                <w:color w:val="000000"/>
                <w:sz w:val="20"/>
                <w:szCs w:val="20"/>
                <w:lang w:eastAsia="en-AU"/>
              </w:rPr>
            </w:pPr>
            <w:r w:rsidRPr="00DD4C71">
              <w:rPr>
                <w:rFonts w:eastAsia="Times New Roman" w:cs="Arial"/>
                <w:color w:val="000000"/>
                <w:sz w:val="20"/>
                <w:szCs w:val="20"/>
                <w:lang w:eastAsia="en-AU"/>
              </w:rPr>
              <w:t>4.6</w:t>
            </w:r>
          </w:p>
        </w:tc>
        <w:tc>
          <w:tcPr>
            <w:tcW w:w="1020" w:type="dxa"/>
            <w:tcBorders>
              <w:top w:val="nil"/>
              <w:left w:val="nil"/>
              <w:bottom w:val="nil"/>
              <w:right w:val="nil"/>
            </w:tcBorders>
            <w:shd w:val="clear" w:color="auto" w:fill="auto"/>
            <w:vAlign w:val="center"/>
            <w:hideMark/>
          </w:tcPr>
          <w:p w14:paraId="2E0BC2AF" w14:textId="77777777" w:rsidR="007502C1" w:rsidRPr="00DD4C71" w:rsidRDefault="007502C1" w:rsidP="009E791A">
            <w:pPr>
              <w:spacing w:after="0" w:line="240" w:lineRule="auto"/>
              <w:jc w:val="center"/>
              <w:rPr>
                <w:rFonts w:eastAsia="Times New Roman" w:cs="Arial"/>
                <w:color w:val="000000"/>
                <w:sz w:val="20"/>
                <w:szCs w:val="20"/>
                <w:lang w:eastAsia="en-AU"/>
              </w:rPr>
            </w:pPr>
            <w:r w:rsidRPr="00DD4C71">
              <w:rPr>
                <w:rFonts w:eastAsia="Times New Roman" w:cs="Arial"/>
                <w:color w:val="000000"/>
                <w:sz w:val="20"/>
                <w:szCs w:val="20"/>
                <w:lang w:eastAsia="en-AU"/>
              </w:rPr>
              <w:t>0.8</w:t>
            </w:r>
          </w:p>
        </w:tc>
        <w:tc>
          <w:tcPr>
            <w:tcW w:w="920" w:type="dxa"/>
            <w:tcBorders>
              <w:top w:val="nil"/>
              <w:left w:val="nil"/>
              <w:bottom w:val="nil"/>
              <w:right w:val="nil"/>
            </w:tcBorders>
            <w:shd w:val="clear" w:color="auto" w:fill="auto"/>
            <w:vAlign w:val="center"/>
            <w:hideMark/>
          </w:tcPr>
          <w:p w14:paraId="14388E9D" w14:textId="77777777" w:rsidR="007502C1" w:rsidRPr="00DD4C71" w:rsidRDefault="007502C1" w:rsidP="009E791A">
            <w:pPr>
              <w:spacing w:after="0" w:line="240" w:lineRule="auto"/>
              <w:jc w:val="center"/>
              <w:rPr>
                <w:rFonts w:eastAsia="Times New Roman" w:cs="Arial"/>
                <w:color w:val="000000"/>
                <w:sz w:val="20"/>
                <w:szCs w:val="20"/>
                <w:lang w:eastAsia="en-AU"/>
              </w:rPr>
            </w:pPr>
            <w:r w:rsidRPr="00DD4C71">
              <w:rPr>
                <w:rFonts w:eastAsia="Times New Roman" w:cs="Arial"/>
                <w:color w:val="000000"/>
                <w:sz w:val="20"/>
                <w:szCs w:val="20"/>
                <w:lang w:eastAsia="en-AU"/>
              </w:rPr>
              <w:t>72.8</w:t>
            </w:r>
          </w:p>
        </w:tc>
        <w:tc>
          <w:tcPr>
            <w:tcW w:w="1060" w:type="dxa"/>
            <w:tcBorders>
              <w:top w:val="nil"/>
              <w:left w:val="nil"/>
              <w:bottom w:val="nil"/>
              <w:right w:val="nil"/>
            </w:tcBorders>
            <w:shd w:val="clear" w:color="auto" w:fill="auto"/>
            <w:vAlign w:val="center"/>
            <w:hideMark/>
          </w:tcPr>
          <w:p w14:paraId="58C3EB1C" w14:textId="77777777" w:rsidR="007502C1" w:rsidRPr="00DD4C71" w:rsidRDefault="007502C1" w:rsidP="009E791A">
            <w:pPr>
              <w:spacing w:after="0" w:line="240" w:lineRule="auto"/>
              <w:jc w:val="center"/>
              <w:rPr>
                <w:rFonts w:eastAsia="Times New Roman" w:cs="Arial"/>
                <w:color w:val="000000"/>
                <w:sz w:val="20"/>
                <w:szCs w:val="20"/>
                <w:lang w:eastAsia="en-AU"/>
              </w:rPr>
            </w:pPr>
            <w:r w:rsidRPr="00DD4C71">
              <w:rPr>
                <w:rFonts w:eastAsia="Times New Roman" w:cs="Arial"/>
                <w:color w:val="000000"/>
                <w:sz w:val="20"/>
                <w:szCs w:val="20"/>
                <w:lang w:eastAsia="en-AU"/>
              </w:rPr>
              <w:t>-0.6</w:t>
            </w:r>
          </w:p>
        </w:tc>
      </w:tr>
      <w:tr w:rsidR="007502C1" w:rsidRPr="00DD4C71" w14:paraId="72DC96BF" w14:textId="77777777" w:rsidTr="009E791A">
        <w:trPr>
          <w:trHeight w:val="300"/>
        </w:trPr>
        <w:tc>
          <w:tcPr>
            <w:tcW w:w="2800" w:type="dxa"/>
            <w:tcBorders>
              <w:top w:val="nil"/>
              <w:left w:val="nil"/>
              <w:bottom w:val="nil"/>
              <w:right w:val="nil"/>
            </w:tcBorders>
            <w:shd w:val="clear" w:color="000000" w:fill="E6E6E6"/>
            <w:vAlign w:val="center"/>
            <w:hideMark/>
          </w:tcPr>
          <w:p w14:paraId="24E5D1EB" w14:textId="77777777" w:rsidR="007502C1" w:rsidRPr="00DD4C71" w:rsidRDefault="007502C1" w:rsidP="009E791A">
            <w:pPr>
              <w:spacing w:after="0" w:line="240" w:lineRule="auto"/>
              <w:rPr>
                <w:rFonts w:eastAsia="Times New Roman" w:cs="Arial"/>
                <w:color w:val="000000"/>
                <w:sz w:val="20"/>
                <w:szCs w:val="20"/>
                <w:lang w:eastAsia="en-AU"/>
              </w:rPr>
            </w:pPr>
            <w:r w:rsidRPr="00DD4C71">
              <w:rPr>
                <w:rFonts w:eastAsia="Times New Roman" w:cs="Arial"/>
                <w:color w:val="000000"/>
                <w:sz w:val="20"/>
                <w:szCs w:val="20"/>
                <w:lang w:eastAsia="en-AU"/>
              </w:rPr>
              <w:t>Australian Capital Territory</w:t>
            </w:r>
          </w:p>
        </w:tc>
        <w:tc>
          <w:tcPr>
            <w:tcW w:w="920" w:type="dxa"/>
            <w:tcBorders>
              <w:top w:val="nil"/>
              <w:left w:val="nil"/>
              <w:bottom w:val="nil"/>
              <w:right w:val="nil"/>
            </w:tcBorders>
            <w:shd w:val="clear" w:color="000000" w:fill="E6E6E6"/>
            <w:vAlign w:val="center"/>
            <w:hideMark/>
          </w:tcPr>
          <w:p w14:paraId="1FB2DE25" w14:textId="77777777" w:rsidR="007502C1" w:rsidRPr="00DD4C71" w:rsidRDefault="007502C1" w:rsidP="009E791A">
            <w:pPr>
              <w:spacing w:after="0" w:line="240" w:lineRule="auto"/>
              <w:jc w:val="center"/>
              <w:rPr>
                <w:rFonts w:eastAsia="Times New Roman" w:cs="Arial"/>
                <w:color w:val="000000"/>
                <w:sz w:val="20"/>
                <w:szCs w:val="20"/>
                <w:lang w:eastAsia="en-AU"/>
              </w:rPr>
            </w:pPr>
            <w:r w:rsidRPr="00DD4C71">
              <w:rPr>
                <w:rFonts w:eastAsia="Times New Roman" w:cs="Arial"/>
                <w:color w:val="000000"/>
                <w:sz w:val="20"/>
                <w:szCs w:val="20"/>
                <w:lang w:eastAsia="en-AU"/>
              </w:rPr>
              <w:t>271.3</w:t>
            </w:r>
          </w:p>
        </w:tc>
        <w:tc>
          <w:tcPr>
            <w:tcW w:w="920" w:type="dxa"/>
            <w:tcBorders>
              <w:top w:val="nil"/>
              <w:left w:val="nil"/>
              <w:bottom w:val="nil"/>
              <w:right w:val="nil"/>
            </w:tcBorders>
            <w:shd w:val="clear" w:color="000000" w:fill="E6E6E6"/>
            <w:vAlign w:val="center"/>
            <w:hideMark/>
          </w:tcPr>
          <w:p w14:paraId="2C00E6A4" w14:textId="77777777" w:rsidR="007502C1" w:rsidRPr="00DD4C71" w:rsidRDefault="007502C1" w:rsidP="009E791A">
            <w:pPr>
              <w:spacing w:after="0" w:line="240" w:lineRule="auto"/>
              <w:jc w:val="center"/>
              <w:rPr>
                <w:rFonts w:eastAsia="Times New Roman" w:cs="Arial"/>
                <w:color w:val="000000"/>
                <w:sz w:val="20"/>
                <w:szCs w:val="20"/>
                <w:lang w:eastAsia="en-AU"/>
              </w:rPr>
            </w:pPr>
            <w:r w:rsidRPr="00DD4C71">
              <w:rPr>
                <w:rFonts w:eastAsia="Times New Roman" w:cs="Arial"/>
                <w:color w:val="000000"/>
                <w:sz w:val="20"/>
                <w:szCs w:val="20"/>
                <w:lang w:eastAsia="en-AU"/>
              </w:rPr>
              <w:t>4.0</w:t>
            </w:r>
          </w:p>
        </w:tc>
        <w:tc>
          <w:tcPr>
            <w:tcW w:w="920" w:type="dxa"/>
            <w:tcBorders>
              <w:top w:val="nil"/>
              <w:left w:val="nil"/>
              <w:bottom w:val="nil"/>
              <w:right w:val="nil"/>
            </w:tcBorders>
            <w:shd w:val="clear" w:color="000000" w:fill="E6E6E6"/>
            <w:vAlign w:val="center"/>
            <w:hideMark/>
          </w:tcPr>
          <w:p w14:paraId="399CFA12" w14:textId="77777777" w:rsidR="007502C1" w:rsidRPr="00DD4C71" w:rsidRDefault="007502C1" w:rsidP="009E791A">
            <w:pPr>
              <w:spacing w:after="0" w:line="240" w:lineRule="auto"/>
              <w:jc w:val="center"/>
              <w:rPr>
                <w:rFonts w:eastAsia="Times New Roman" w:cs="Arial"/>
                <w:color w:val="000000"/>
                <w:sz w:val="20"/>
                <w:szCs w:val="20"/>
                <w:lang w:eastAsia="en-AU"/>
              </w:rPr>
            </w:pPr>
            <w:r w:rsidRPr="00DD4C71">
              <w:rPr>
                <w:rFonts w:eastAsia="Times New Roman" w:cs="Arial"/>
                <w:color w:val="000000"/>
                <w:sz w:val="20"/>
                <w:szCs w:val="20"/>
                <w:lang w:eastAsia="en-AU"/>
              </w:rPr>
              <w:t>1.5</w:t>
            </w:r>
          </w:p>
        </w:tc>
        <w:tc>
          <w:tcPr>
            <w:tcW w:w="920" w:type="dxa"/>
            <w:tcBorders>
              <w:top w:val="nil"/>
              <w:left w:val="nil"/>
              <w:bottom w:val="nil"/>
              <w:right w:val="nil"/>
            </w:tcBorders>
            <w:shd w:val="clear" w:color="000000" w:fill="E6E6E6"/>
            <w:vAlign w:val="center"/>
            <w:hideMark/>
          </w:tcPr>
          <w:p w14:paraId="56324BDF" w14:textId="77777777" w:rsidR="007502C1" w:rsidRPr="00DD4C71" w:rsidRDefault="007502C1" w:rsidP="009E791A">
            <w:pPr>
              <w:spacing w:after="0" w:line="240" w:lineRule="auto"/>
              <w:jc w:val="center"/>
              <w:rPr>
                <w:rFonts w:eastAsia="Times New Roman" w:cs="Arial"/>
                <w:color w:val="000000"/>
                <w:sz w:val="20"/>
                <w:szCs w:val="20"/>
                <w:lang w:eastAsia="en-AU"/>
              </w:rPr>
            </w:pPr>
            <w:r w:rsidRPr="00DD4C71">
              <w:rPr>
                <w:rFonts w:eastAsia="Times New Roman" w:cs="Arial"/>
                <w:color w:val="000000"/>
                <w:sz w:val="20"/>
                <w:szCs w:val="20"/>
                <w:lang w:eastAsia="en-AU"/>
              </w:rPr>
              <w:t>3.0</w:t>
            </w:r>
          </w:p>
        </w:tc>
        <w:tc>
          <w:tcPr>
            <w:tcW w:w="1020" w:type="dxa"/>
            <w:tcBorders>
              <w:top w:val="nil"/>
              <w:left w:val="nil"/>
              <w:bottom w:val="nil"/>
              <w:right w:val="nil"/>
            </w:tcBorders>
            <w:shd w:val="clear" w:color="000000" w:fill="E6E6E6"/>
            <w:vAlign w:val="center"/>
            <w:hideMark/>
          </w:tcPr>
          <w:p w14:paraId="629580DA" w14:textId="77777777" w:rsidR="007502C1" w:rsidRPr="00DD4C71" w:rsidRDefault="007502C1" w:rsidP="009E791A">
            <w:pPr>
              <w:spacing w:after="0" w:line="240" w:lineRule="auto"/>
              <w:jc w:val="center"/>
              <w:rPr>
                <w:rFonts w:eastAsia="Times New Roman" w:cs="Arial"/>
                <w:color w:val="000000"/>
                <w:sz w:val="20"/>
                <w:szCs w:val="20"/>
                <w:lang w:eastAsia="en-AU"/>
              </w:rPr>
            </w:pPr>
            <w:r w:rsidRPr="00DD4C71">
              <w:rPr>
                <w:rFonts w:eastAsia="Times New Roman" w:cs="Arial"/>
                <w:color w:val="000000"/>
                <w:sz w:val="20"/>
                <w:szCs w:val="20"/>
                <w:lang w:eastAsia="en-AU"/>
              </w:rPr>
              <w:t>0.1</w:t>
            </w:r>
          </w:p>
        </w:tc>
        <w:tc>
          <w:tcPr>
            <w:tcW w:w="920" w:type="dxa"/>
            <w:tcBorders>
              <w:top w:val="nil"/>
              <w:left w:val="nil"/>
              <w:bottom w:val="nil"/>
              <w:right w:val="nil"/>
            </w:tcBorders>
            <w:shd w:val="clear" w:color="000000" w:fill="E6E6E6"/>
            <w:vAlign w:val="center"/>
            <w:hideMark/>
          </w:tcPr>
          <w:p w14:paraId="1C7D190B" w14:textId="77777777" w:rsidR="007502C1" w:rsidRPr="00DD4C71" w:rsidRDefault="007502C1" w:rsidP="009E791A">
            <w:pPr>
              <w:spacing w:after="0" w:line="240" w:lineRule="auto"/>
              <w:jc w:val="center"/>
              <w:rPr>
                <w:rFonts w:eastAsia="Times New Roman" w:cs="Arial"/>
                <w:color w:val="000000"/>
                <w:sz w:val="20"/>
                <w:szCs w:val="20"/>
                <w:lang w:eastAsia="en-AU"/>
              </w:rPr>
            </w:pPr>
            <w:r w:rsidRPr="00DD4C71">
              <w:rPr>
                <w:rFonts w:eastAsia="Times New Roman" w:cs="Arial"/>
                <w:color w:val="000000"/>
                <w:sz w:val="20"/>
                <w:szCs w:val="20"/>
                <w:lang w:eastAsia="en-AU"/>
              </w:rPr>
              <w:t>72.5</w:t>
            </w:r>
          </w:p>
        </w:tc>
        <w:tc>
          <w:tcPr>
            <w:tcW w:w="1060" w:type="dxa"/>
            <w:tcBorders>
              <w:top w:val="nil"/>
              <w:left w:val="nil"/>
              <w:bottom w:val="nil"/>
              <w:right w:val="nil"/>
            </w:tcBorders>
            <w:shd w:val="clear" w:color="000000" w:fill="E6E6E6"/>
            <w:vAlign w:val="center"/>
            <w:hideMark/>
          </w:tcPr>
          <w:p w14:paraId="0636796A" w14:textId="77777777" w:rsidR="007502C1" w:rsidRPr="00DD4C71" w:rsidRDefault="007502C1" w:rsidP="009E791A">
            <w:pPr>
              <w:spacing w:after="0" w:line="240" w:lineRule="auto"/>
              <w:jc w:val="center"/>
              <w:rPr>
                <w:rFonts w:eastAsia="Times New Roman" w:cs="Arial"/>
                <w:color w:val="000000"/>
                <w:sz w:val="20"/>
                <w:szCs w:val="20"/>
                <w:lang w:eastAsia="en-AU"/>
              </w:rPr>
            </w:pPr>
            <w:r w:rsidRPr="00DD4C71">
              <w:rPr>
                <w:rFonts w:eastAsia="Times New Roman" w:cs="Arial"/>
                <w:color w:val="000000"/>
                <w:sz w:val="20"/>
                <w:szCs w:val="20"/>
                <w:lang w:eastAsia="en-AU"/>
              </w:rPr>
              <w:t>0.8</w:t>
            </w:r>
          </w:p>
        </w:tc>
      </w:tr>
      <w:tr w:rsidR="007502C1" w:rsidRPr="00DD4C71" w14:paraId="5103E55C" w14:textId="77777777" w:rsidTr="009E791A">
        <w:trPr>
          <w:trHeight w:val="315"/>
        </w:trPr>
        <w:tc>
          <w:tcPr>
            <w:tcW w:w="2800" w:type="dxa"/>
            <w:tcBorders>
              <w:top w:val="nil"/>
              <w:left w:val="nil"/>
              <w:bottom w:val="single" w:sz="8" w:space="0" w:color="4B0885"/>
              <w:right w:val="nil"/>
            </w:tcBorders>
            <w:shd w:val="clear" w:color="auto" w:fill="auto"/>
            <w:vAlign w:val="center"/>
            <w:hideMark/>
          </w:tcPr>
          <w:p w14:paraId="139002EB" w14:textId="77777777" w:rsidR="007502C1" w:rsidRPr="00DD4C71" w:rsidRDefault="007502C1" w:rsidP="009E791A">
            <w:pPr>
              <w:spacing w:after="0" w:line="240" w:lineRule="auto"/>
              <w:rPr>
                <w:rFonts w:eastAsia="Times New Roman" w:cs="Arial"/>
                <w:b/>
                <w:bCs/>
                <w:color w:val="000000"/>
                <w:sz w:val="20"/>
                <w:szCs w:val="20"/>
                <w:lang w:eastAsia="en-AU"/>
              </w:rPr>
            </w:pPr>
            <w:r w:rsidRPr="00DD4C71">
              <w:rPr>
                <w:rFonts w:eastAsia="Times New Roman" w:cs="Arial"/>
                <w:b/>
                <w:bCs/>
                <w:color w:val="000000"/>
                <w:sz w:val="20"/>
                <w:szCs w:val="20"/>
                <w:lang w:eastAsia="en-AU"/>
              </w:rPr>
              <w:t>Australia</w:t>
            </w:r>
          </w:p>
        </w:tc>
        <w:tc>
          <w:tcPr>
            <w:tcW w:w="920" w:type="dxa"/>
            <w:tcBorders>
              <w:top w:val="nil"/>
              <w:left w:val="nil"/>
              <w:bottom w:val="single" w:sz="8" w:space="0" w:color="4B0885"/>
              <w:right w:val="nil"/>
            </w:tcBorders>
            <w:shd w:val="clear" w:color="auto" w:fill="auto"/>
            <w:vAlign w:val="center"/>
            <w:hideMark/>
          </w:tcPr>
          <w:p w14:paraId="16CCA9A5" w14:textId="77777777" w:rsidR="007502C1" w:rsidRPr="00DD4C71" w:rsidRDefault="007502C1" w:rsidP="009E791A">
            <w:pPr>
              <w:spacing w:after="0" w:line="240" w:lineRule="auto"/>
              <w:jc w:val="center"/>
              <w:rPr>
                <w:rFonts w:eastAsia="Times New Roman" w:cs="Arial"/>
                <w:b/>
                <w:bCs/>
                <w:sz w:val="20"/>
                <w:szCs w:val="20"/>
                <w:lang w:eastAsia="en-AU"/>
              </w:rPr>
            </w:pPr>
            <w:r w:rsidRPr="00DD4C71">
              <w:rPr>
                <w:rFonts w:eastAsia="Times New Roman" w:cs="Arial"/>
                <w:b/>
                <w:bCs/>
                <w:sz w:val="20"/>
                <w:szCs w:val="20"/>
                <w:lang w:eastAsia="en-AU"/>
              </w:rPr>
              <w:t>14,406.1</w:t>
            </w:r>
          </w:p>
        </w:tc>
        <w:tc>
          <w:tcPr>
            <w:tcW w:w="920" w:type="dxa"/>
            <w:tcBorders>
              <w:top w:val="nil"/>
              <w:left w:val="nil"/>
              <w:bottom w:val="single" w:sz="8" w:space="0" w:color="4B0885"/>
              <w:right w:val="nil"/>
            </w:tcBorders>
            <w:shd w:val="clear" w:color="auto" w:fill="auto"/>
            <w:vAlign w:val="center"/>
            <w:hideMark/>
          </w:tcPr>
          <w:p w14:paraId="4494E23A" w14:textId="77777777" w:rsidR="007502C1" w:rsidRPr="00DD4C71" w:rsidRDefault="007502C1" w:rsidP="009E791A">
            <w:pPr>
              <w:spacing w:after="0" w:line="240" w:lineRule="auto"/>
              <w:jc w:val="center"/>
              <w:rPr>
                <w:rFonts w:eastAsia="Times New Roman" w:cs="Arial"/>
                <w:b/>
                <w:bCs/>
                <w:sz w:val="20"/>
                <w:szCs w:val="20"/>
                <w:lang w:eastAsia="en-AU"/>
              </w:rPr>
            </w:pPr>
            <w:r w:rsidRPr="00DD4C71">
              <w:rPr>
                <w:rFonts w:eastAsia="Times New Roman" w:cs="Arial"/>
                <w:b/>
                <w:bCs/>
                <w:sz w:val="20"/>
                <w:szCs w:val="20"/>
                <w:lang w:eastAsia="en-AU"/>
              </w:rPr>
              <w:t>125.8</w:t>
            </w:r>
          </w:p>
        </w:tc>
        <w:tc>
          <w:tcPr>
            <w:tcW w:w="920" w:type="dxa"/>
            <w:tcBorders>
              <w:top w:val="nil"/>
              <w:left w:val="nil"/>
              <w:bottom w:val="single" w:sz="8" w:space="0" w:color="4B0885"/>
              <w:right w:val="nil"/>
            </w:tcBorders>
            <w:shd w:val="clear" w:color="auto" w:fill="auto"/>
            <w:vAlign w:val="center"/>
            <w:hideMark/>
          </w:tcPr>
          <w:p w14:paraId="1EB7A942" w14:textId="77777777" w:rsidR="007502C1" w:rsidRPr="00DD4C71" w:rsidRDefault="007502C1" w:rsidP="009E791A">
            <w:pPr>
              <w:spacing w:after="0" w:line="240" w:lineRule="auto"/>
              <w:jc w:val="center"/>
              <w:rPr>
                <w:rFonts w:eastAsia="Times New Roman" w:cs="Arial"/>
                <w:b/>
                <w:bCs/>
                <w:sz w:val="20"/>
                <w:szCs w:val="20"/>
                <w:lang w:eastAsia="en-AU"/>
              </w:rPr>
            </w:pPr>
            <w:r w:rsidRPr="00DD4C71">
              <w:rPr>
                <w:rFonts w:eastAsia="Times New Roman" w:cs="Arial"/>
                <w:b/>
                <w:bCs/>
                <w:sz w:val="20"/>
                <w:szCs w:val="20"/>
                <w:lang w:eastAsia="en-AU"/>
              </w:rPr>
              <w:t>0.9</w:t>
            </w:r>
          </w:p>
        </w:tc>
        <w:tc>
          <w:tcPr>
            <w:tcW w:w="920" w:type="dxa"/>
            <w:tcBorders>
              <w:top w:val="nil"/>
              <w:left w:val="nil"/>
              <w:bottom w:val="single" w:sz="8" w:space="0" w:color="4B0885"/>
              <w:right w:val="nil"/>
            </w:tcBorders>
            <w:shd w:val="clear" w:color="auto" w:fill="auto"/>
            <w:vAlign w:val="center"/>
            <w:hideMark/>
          </w:tcPr>
          <w:p w14:paraId="06E508D2" w14:textId="77777777" w:rsidR="007502C1" w:rsidRPr="00DD4C71" w:rsidRDefault="007502C1" w:rsidP="009E791A">
            <w:pPr>
              <w:spacing w:after="0" w:line="240" w:lineRule="auto"/>
              <w:jc w:val="center"/>
              <w:rPr>
                <w:rFonts w:eastAsia="Times New Roman" w:cs="Arial"/>
                <w:b/>
                <w:bCs/>
                <w:sz w:val="20"/>
                <w:szCs w:val="20"/>
                <w:lang w:eastAsia="en-AU"/>
              </w:rPr>
            </w:pPr>
            <w:r w:rsidRPr="00DD4C71">
              <w:rPr>
                <w:rFonts w:eastAsia="Times New Roman" w:cs="Arial"/>
                <w:b/>
                <w:bCs/>
                <w:sz w:val="20"/>
                <w:szCs w:val="20"/>
                <w:lang w:eastAsia="en-AU"/>
              </w:rPr>
              <w:t>4.1</w:t>
            </w:r>
          </w:p>
        </w:tc>
        <w:tc>
          <w:tcPr>
            <w:tcW w:w="1020" w:type="dxa"/>
            <w:tcBorders>
              <w:top w:val="nil"/>
              <w:left w:val="nil"/>
              <w:bottom w:val="single" w:sz="8" w:space="0" w:color="4B0885"/>
              <w:right w:val="nil"/>
            </w:tcBorders>
            <w:shd w:val="clear" w:color="auto" w:fill="auto"/>
            <w:vAlign w:val="center"/>
            <w:hideMark/>
          </w:tcPr>
          <w:p w14:paraId="1B900A7A" w14:textId="77777777" w:rsidR="007502C1" w:rsidRPr="00DD4C71" w:rsidRDefault="007502C1" w:rsidP="009E791A">
            <w:pPr>
              <w:spacing w:after="0" w:line="240" w:lineRule="auto"/>
              <w:jc w:val="center"/>
              <w:rPr>
                <w:rFonts w:eastAsia="Times New Roman" w:cs="Arial"/>
                <w:b/>
                <w:bCs/>
                <w:sz w:val="20"/>
                <w:szCs w:val="20"/>
                <w:lang w:eastAsia="en-AU"/>
              </w:rPr>
            </w:pPr>
            <w:r w:rsidRPr="00DD4C71">
              <w:rPr>
                <w:rFonts w:eastAsia="Times New Roman" w:cs="Arial"/>
                <w:b/>
                <w:bCs/>
                <w:sz w:val="20"/>
                <w:szCs w:val="20"/>
                <w:lang w:eastAsia="en-AU"/>
              </w:rPr>
              <w:t>0.2</w:t>
            </w:r>
          </w:p>
        </w:tc>
        <w:tc>
          <w:tcPr>
            <w:tcW w:w="920" w:type="dxa"/>
            <w:tcBorders>
              <w:top w:val="nil"/>
              <w:left w:val="nil"/>
              <w:bottom w:val="single" w:sz="8" w:space="0" w:color="4B0885"/>
              <w:right w:val="nil"/>
            </w:tcBorders>
            <w:shd w:val="clear" w:color="auto" w:fill="auto"/>
            <w:vAlign w:val="center"/>
            <w:hideMark/>
          </w:tcPr>
          <w:p w14:paraId="7FEEA7E8" w14:textId="77777777" w:rsidR="007502C1" w:rsidRPr="00DD4C71" w:rsidRDefault="007502C1" w:rsidP="009E791A">
            <w:pPr>
              <w:spacing w:after="0" w:line="240" w:lineRule="auto"/>
              <w:jc w:val="center"/>
              <w:rPr>
                <w:rFonts w:eastAsia="Times New Roman" w:cs="Arial"/>
                <w:b/>
                <w:bCs/>
                <w:sz w:val="20"/>
                <w:szCs w:val="20"/>
                <w:lang w:eastAsia="en-AU"/>
              </w:rPr>
            </w:pPr>
            <w:r w:rsidRPr="00DD4C71">
              <w:rPr>
                <w:rFonts w:eastAsia="Times New Roman" w:cs="Arial"/>
                <w:b/>
                <w:bCs/>
                <w:sz w:val="20"/>
                <w:szCs w:val="20"/>
                <w:lang w:eastAsia="en-AU"/>
              </w:rPr>
              <w:t>66.9</w:t>
            </w:r>
          </w:p>
        </w:tc>
        <w:tc>
          <w:tcPr>
            <w:tcW w:w="1060" w:type="dxa"/>
            <w:tcBorders>
              <w:top w:val="nil"/>
              <w:left w:val="nil"/>
              <w:bottom w:val="single" w:sz="8" w:space="0" w:color="4B0885"/>
              <w:right w:val="nil"/>
            </w:tcBorders>
            <w:shd w:val="clear" w:color="auto" w:fill="auto"/>
            <w:vAlign w:val="center"/>
            <w:hideMark/>
          </w:tcPr>
          <w:p w14:paraId="01AC7B54" w14:textId="77777777" w:rsidR="007502C1" w:rsidRPr="00DD4C71" w:rsidRDefault="007502C1" w:rsidP="009E791A">
            <w:pPr>
              <w:spacing w:after="0" w:line="240" w:lineRule="auto"/>
              <w:jc w:val="center"/>
              <w:rPr>
                <w:rFonts w:eastAsia="Times New Roman" w:cs="Arial"/>
                <w:b/>
                <w:bCs/>
                <w:sz w:val="20"/>
                <w:szCs w:val="20"/>
                <w:lang w:eastAsia="en-AU"/>
              </w:rPr>
            </w:pPr>
            <w:r w:rsidRPr="00DD4C71">
              <w:rPr>
                <w:rFonts w:eastAsia="Times New Roman" w:cs="Arial"/>
                <w:b/>
                <w:bCs/>
                <w:sz w:val="20"/>
                <w:szCs w:val="20"/>
                <w:lang w:eastAsia="en-AU"/>
              </w:rPr>
              <w:t>0.3</w:t>
            </w:r>
          </w:p>
        </w:tc>
      </w:tr>
    </w:tbl>
    <w:p w14:paraId="1D82DBD5" w14:textId="77777777" w:rsidR="007502C1" w:rsidRPr="00DD4C71" w:rsidRDefault="007502C1" w:rsidP="007502C1">
      <w:pPr>
        <w:pStyle w:val="Source"/>
        <w:spacing w:before="0"/>
      </w:pPr>
      <w:r w:rsidRPr="006D4B28">
        <w:t>Source: ABS, Labour Force, Australia, June 2024, seasonally adjusted data</w:t>
      </w:r>
      <w:r w:rsidRPr="00DD4C71">
        <w:t>.</w:t>
      </w:r>
    </w:p>
    <w:p w14:paraId="140CF73F" w14:textId="77777777" w:rsidR="00C57211" w:rsidRDefault="00C57211" w:rsidP="007502C1">
      <w:pPr>
        <w:rPr>
          <w:rFonts w:eastAsia="Arial" w:cs="Times New Roman"/>
        </w:rPr>
      </w:pPr>
    </w:p>
    <w:p w14:paraId="624A8FB4" w14:textId="079D75B6" w:rsidR="007502C1" w:rsidRDefault="00311F7F" w:rsidP="007502C1">
      <w:r>
        <w:rPr>
          <w:rFonts w:eastAsia="Arial" w:cs="Times New Roman"/>
        </w:rPr>
        <w:t>Modelled estimates show</w:t>
      </w:r>
      <w:r w:rsidR="007502C1" w:rsidRPr="00DD4C71">
        <w:rPr>
          <w:rFonts w:eastAsia="Arial" w:cs="Times New Roman"/>
        </w:rPr>
        <w:t xml:space="preserve"> employment rose strongly in capital cities (up by 98,000 or 1.0%) and rest of state areas (up by 55,900 or 1.3%) over the June quarter 2024</w:t>
      </w:r>
      <w:r w:rsidR="00D4086A">
        <w:rPr>
          <w:rFonts w:eastAsia="Arial" w:cs="Times New Roman"/>
        </w:rPr>
        <w:t xml:space="preserve"> </w:t>
      </w:r>
      <w:r w:rsidR="00D4086A" w:rsidRPr="00DD4C71">
        <w:rPr>
          <w:rFonts w:eastAsia="Arial" w:cs="Times New Roman"/>
        </w:rPr>
        <w:t xml:space="preserve">(Table </w:t>
      </w:r>
      <w:r w:rsidR="00D4086A">
        <w:rPr>
          <w:rFonts w:eastAsia="Arial" w:cs="Times New Roman"/>
        </w:rPr>
        <w:t>3</w:t>
      </w:r>
      <w:r w:rsidR="00D4086A" w:rsidRPr="00DD4C71">
        <w:rPr>
          <w:rFonts w:eastAsia="Arial" w:cs="Times New Roman"/>
        </w:rPr>
        <w:t>)</w:t>
      </w:r>
      <w:r w:rsidR="00D4086A" w:rsidRPr="00DD4C71">
        <w:t>.</w:t>
      </w:r>
      <w:r w:rsidR="00D4086A">
        <w:t xml:space="preserve"> </w:t>
      </w:r>
      <w:r w:rsidR="007502C1" w:rsidRPr="00DD4C71">
        <w:rPr>
          <w:rFonts w:eastAsia="Arial" w:cs="Times New Roman"/>
        </w:rPr>
        <w:t xml:space="preserve">Against the backdrop of strong labour market activity, the unemployment rate fell in capital cities (by 0.2 percentage points) and rest of state areas (by 0.3 percentage points) over the quarter, to stand at 4.1% and 3.6%, respectively, in June 2024. The participation rate increased in the capital cities (by 0.1 percentage points) and rest of state areas (by 0.2 percentage points) over the same period, to 68.7% and 63.5%, respectively, in June 2024 </w:t>
      </w:r>
    </w:p>
    <w:p w14:paraId="54B64814" w14:textId="77777777" w:rsidR="00C57211" w:rsidRPr="00DD4C71" w:rsidRDefault="00C57211" w:rsidP="007502C1"/>
    <w:p w14:paraId="6177E985" w14:textId="60A42493" w:rsidR="007502C1" w:rsidRPr="00DD4C71" w:rsidRDefault="007502C1" w:rsidP="007502C1">
      <w:pPr>
        <w:pStyle w:val="ChartandTablelabel"/>
        <w:rPr>
          <w:rFonts w:asciiTheme="minorHAnsi" w:hAnsiTheme="minorHAnsi"/>
          <w:lang w:val="en-AU"/>
        </w:rPr>
      </w:pPr>
      <w:r w:rsidRPr="00DD4C71">
        <w:rPr>
          <w:rFonts w:asciiTheme="minorHAnsi" w:hAnsiTheme="minorHAnsi"/>
          <w:lang w:val="en-AU"/>
        </w:rPr>
        <w:t xml:space="preserve">Table </w:t>
      </w:r>
      <w:r w:rsidR="00904B4B">
        <w:rPr>
          <w:rFonts w:asciiTheme="minorHAnsi" w:hAnsiTheme="minorHAnsi"/>
          <w:lang w:val="en-AU"/>
        </w:rPr>
        <w:t>3</w:t>
      </w:r>
      <w:r w:rsidRPr="00DD4C71">
        <w:rPr>
          <w:rFonts w:asciiTheme="minorHAnsi" w:hAnsiTheme="minorHAnsi"/>
          <w:lang w:val="en-AU"/>
        </w:rPr>
        <w:t>: Key labour market indicators by capital cities and rest of state areas, June 2024</w:t>
      </w:r>
    </w:p>
    <w:tbl>
      <w:tblPr>
        <w:tblW w:w="9072" w:type="dxa"/>
        <w:tblLayout w:type="fixed"/>
        <w:tblLook w:val="04A0" w:firstRow="1" w:lastRow="0" w:firstColumn="1" w:lastColumn="0" w:noHBand="0" w:noVBand="1"/>
      </w:tblPr>
      <w:tblGrid>
        <w:gridCol w:w="2410"/>
        <w:gridCol w:w="1134"/>
        <w:gridCol w:w="1134"/>
        <w:gridCol w:w="1135"/>
        <w:gridCol w:w="1133"/>
        <w:gridCol w:w="1134"/>
        <w:gridCol w:w="992"/>
      </w:tblGrid>
      <w:tr w:rsidR="007502C1" w:rsidRPr="00DD4C71" w14:paraId="02AB20AB" w14:textId="77777777" w:rsidTr="009E791A">
        <w:trPr>
          <w:trHeight w:val="300"/>
        </w:trPr>
        <w:tc>
          <w:tcPr>
            <w:tcW w:w="2410" w:type="dxa"/>
            <w:vMerge w:val="restart"/>
            <w:tcBorders>
              <w:top w:val="nil"/>
              <w:left w:val="nil"/>
              <w:bottom w:val="nil"/>
              <w:right w:val="nil"/>
            </w:tcBorders>
            <w:shd w:val="clear" w:color="000000" w:fill="012749"/>
            <w:vAlign w:val="center"/>
            <w:hideMark/>
          </w:tcPr>
          <w:p w14:paraId="50467A31" w14:textId="77777777" w:rsidR="007502C1" w:rsidRPr="00DD4C71" w:rsidRDefault="007502C1" w:rsidP="009E791A">
            <w:pPr>
              <w:spacing w:after="0" w:line="240" w:lineRule="auto"/>
              <w:rPr>
                <w:rFonts w:asciiTheme="majorHAnsi" w:eastAsia="Times New Roman" w:hAnsiTheme="majorHAnsi" w:cstheme="majorHAnsi"/>
                <w:color w:val="000000"/>
                <w:sz w:val="19"/>
                <w:szCs w:val="19"/>
                <w:lang w:eastAsia="en-AU"/>
              </w:rPr>
            </w:pPr>
            <w:r w:rsidRPr="00DD4C71">
              <w:rPr>
                <w:rFonts w:asciiTheme="majorHAnsi" w:eastAsia="Times New Roman" w:hAnsiTheme="majorHAnsi" w:cstheme="majorHAnsi"/>
                <w:color w:val="000000"/>
                <w:sz w:val="19"/>
                <w:szCs w:val="19"/>
                <w:lang w:eastAsia="en-AU"/>
              </w:rPr>
              <w:t> </w:t>
            </w:r>
          </w:p>
        </w:tc>
        <w:tc>
          <w:tcPr>
            <w:tcW w:w="3403" w:type="dxa"/>
            <w:gridSpan w:val="3"/>
            <w:tcBorders>
              <w:top w:val="nil"/>
              <w:left w:val="nil"/>
              <w:bottom w:val="nil"/>
              <w:right w:val="nil"/>
            </w:tcBorders>
            <w:shd w:val="clear" w:color="000000" w:fill="012749"/>
            <w:vAlign w:val="center"/>
            <w:hideMark/>
          </w:tcPr>
          <w:p w14:paraId="3ACA92B3" w14:textId="77777777" w:rsidR="007502C1" w:rsidRPr="00DD4C71" w:rsidRDefault="007502C1" w:rsidP="009E791A">
            <w:pPr>
              <w:spacing w:after="0" w:line="240" w:lineRule="auto"/>
              <w:jc w:val="center"/>
              <w:rPr>
                <w:rFonts w:asciiTheme="majorHAnsi" w:eastAsia="Times New Roman" w:hAnsiTheme="majorHAnsi" w:cstheme="majorHAnsi"/>
                <w:color w:val="FFFFFF"/>
                <w:sz w:val="19"/>
                <w:szCs w:val="19"/>
                <w:lang w:eastAsia="en-AU"/>
              </w:rPr>
            </w:pPr>
            <w:r w:rsidRPr="00DD4C71">
              <w:rPr>
                <w:rFonts w:asciiTheme="majorHAnsi" w:eastAsia="Times New Roman" w:hAnsiTheme="majorHAnsi" w:cstheme="majorHAnsi"/>
                <w:color w:val="FFFFFF"/>
                <w:sz w:val="19"/>
                <w:szCs w:val="19"/>
                <w:lang w:eastAsia="en-AU"/>
              </w:rPr>
              <w:t>Capital cities</w:t>
            </w:r>
          </w:p>
        </w:tc>
        <w:tc>
          <w:tcPr>
            <w:tcW w:w="3259" w:type="dxa"/>
            <w:gridSpan w:val="3"/>
            <w:tcBorders>
              <w:top w:val="nil"/>
              <w:left w:val="nil"/>
              <w:bottom w:val="nil"/>
              <w:right w:val="nil"/>
            </w:tcBorders>
            <w:shd w:val="clear" w:color="000000" w:fill="012749"/>
            <w:vAlign w:val="center"/>
            <w:hideMark/>
          </w:tcPr>
          <w:p w14:paraId="086AC242" w14:textId="77777777" w:rsidR="007502C1" w:rsidRPr="00DD4C71" w:rsidRDefault="007502C1" w:rsidP="009E791A">
            <w:pPr>
              <w:spacing w:after="0" w:line="240" w:lineRule="auto"/>
              <w:jc w:val="center"/>
              <w:rPr>
                <w:rFonts w:asciiTheme="majorHAnsi" w:eastAsia="Times New Roman" w:hAnsiTheme="majorHAnsi" w:cstheme="majorHAnsi"/>
                <w:color w:val="FFFFFF"/>
                <w:sz w:val="19"/>
                <w:szCs w:val="19"/>
                <w:lang w:eastAsia="en-AU"/>
              </w:rPr>
            </w:pPr>
            <w:r w:rsidRPr="00DD4C71">
              <w:rPr>
                <w:rFonts w:asciiTheme="majorHAnsi" w:eastAsia="Times New Roman" w:hAnsiTheme="majorHAnsi" w:cstheme="majorHAnsi"/>
                <w:color w:val="FFFFFF"/>
                <w:sz w:val="19"/>
                <w:szCs w:val="19"/>
                <w:lang w:eastAsia="en-AU"/>
              </w:rPr>
              <w:t>Rest of state areas</w:t>
            </w:r>
          </w:p>
        </w:tc>
      </w:tr>
      <w:tr w:rsidR="007502C1" w:rsidRPr="00DD4C71" w14:paraId="6D882424" w14:textId="77777777" w:rsidTr="009E791A">
        <w:trPr>
          <w:trHeight w:val="315"/>
        </w:trPr>
        <w:tc>
          <w:tcPr>
            <w:tcW w:w="2410" w:type="dxa"/>
            <w:vMerge/>
            <w:tcBorders>
              <w:top w:val="nil"/>
              <w:left w:val="nil"/>
              <w:bottom w:val="nil"/>
              <w:right w:val="nil"/>
            </w:tcBorders>
            <w:vAlign w:val="center"/>
            <w:hideMark/>
          </w:tcPr>
          <w:p w14:paraId="7A10E68E" w14:textId="77777777" w:rsidR="007502C1" w:rsidRPr="00DD4C71" w:rsidRDefault="007502C1" w:rsidP="009E791A">
            <w:pPr>
              <w:spacing w:after="0" w:line="240" w:lineRule="auto"/>
              <w:rPr>
                <w:rFonts w:asciiTheme="majorHAnsi" w:eastAsia="Times New Roman" w:hAnsiTheme="majorHAnsi" w:cstheme="majorHAnsi"/>
                <w:color w:val="000000"/>
                <w:sz w:val="19"/>
                <w:szCs w:val="19"/>
                <w:lang w:eastAsia="en-AU"/>
              </w:rPr>
            </w:pPr>
          </w:p>
        </w:tc>
        <w:tc>
          <w:tcPr>
            <w:tcW w:w="1134" w:type="dxa"/>
            <w:vMerge w:val="restart"/>
            <w:tcBorders>
              <w:top w:val="nil"/>
              <w:left w:val="nil"/>
              <w:bottom w:val="nil"/>
              <w:right w:val="nil"/>
            </w:tcBorders>
            <w:shd w:val="clear" w:color="000000" w:fill="012749"/>
            <w:vAlign w:val="center"/>
            <w:hideMark/>
          </w:tcPr>
          <w:p w14:paraId="7569DCC2" w14:textId="77777777" w:rsidR="007502C1" w:rsidRPr="00DD4C71" w:rsidRDefault="007502C1" w:rsidP="009E791A">
            <w:pPr>
              <w:spacing w:after="0" w:line="240" w:lineRule="auto"/>
              <w:jc w:val="center"/>
              <w:rPr>
                <w:rFonts w:asciiTheme="majorHAnsi" w:eastAsia="Times New Roman" w:hAnsiTheme="majorHAnsi" w:cstheme="majorHAnsi"/>
                <w:color w:val="FFFFFF"/>
                <w:sz w:val="19"/>
                <w:szCs w:val="19"/>
                <w:lang w:eastAsia="en-AU"/>
              </w:rPr>
            </w:pPr>
            <w:r w:rsidRPr="00DD4C71">
              <w:rPr>
                <w:rFonts w:asciiTheme="majorHAnsi" w:eastAsia="Times New Roman" w:hAnsiTheme="majorHAnsi" w:cstheme="majorHAnsi"/>
                <w:color w:val="FFFFFF"/>
                <w:sz w:val="19"/>
                <w:szCs w:val="19"/>
                <w:lang w:eastAsia="en-AU"/>
              </w:rPr>
              <w:t>Jun-24</w:t>
            </w:r>
          </w:p>
        </w:tc>
        <w:tc>
          <w:tcPr>
            <w:tcW w:w="2269" w:type="dxa"/>
            <w:gridSpan w:val="2"/>
            <w:tcBorders>
              <w:top w:val="nil"/>
              <w:left w:val="nil"/>
              <w:bottom w:val="single" w:sz="8" w:space="0" w:color="FFFFFF"/>
              <w:right w:val="nil"/>
            </w:tcBorders>
            <w:shd w:val="clear" w:color="000000" w:fill="012749"/>
            <w:vAlign w:val="center"/>
            <w:hideMark/>
          </w:tcPr>
          <w:p w14:paraId="7946E31A" w14:textId="77777777" w:rsidR="007502C1" w:rsidRPr="00DD4C71" w:rsidRDefault="007502C1" w:rsidP="009E791A">
            <w:pPr>
              <w:spacing w:after="0" w:line="240" w:lineRule="auto"/>
              <w:jc w:val="center"/>
              <w:rPr>
                <w:rFonts w:asciiTheme="majorHAnsi" w:eastAsia="Times New Roman" w:hAnsiTheme="majorHAnsi" w:cstheme="majorHAnsi"/>
                <w:color w:val="FFFFFF"/>
                <w:sz w:val="19"/>
                <w:szCs w:val="19"/>
                <w:lang w:eastAsia="en-AU"/>
              </w:rPr>
            </w:pPr>
            <w:r w:rsidRPr="00DD4C71">
              <w:rPr>
                <w:rFonts w:asciiTheme="majorHAnsi" w:eastAsia="Times New Roman" w:hAnsiTheme="majorHAnsi" w:cstheme="majorHAnsi"/>
                <w:color w:val="FFFFFF"/>
                <w:sz w:val="19"/>
                <w:szCs w:val="19"/>
                <w:lang w:eastAsia="en-AU"/>
              </w:rPr>
              <w:t>Quarterly change</w:t>
            </w:r>
          </w:p>
        </w:tc>
        <w:tc>
          <w:tcPr>
            <w:tcW w:w="1133" w:type="dxa"/>
            <w:vMerge w:val="restart"/>
            <w:tcBorders>
              <w:top w:val="nil"/>
              <w:left w:val="nil"/>
              <w:bottom w:val="nil"/>
              <w:right w:val="nil"/>
            </w:tcBorders>
            <w:shd w:val="clear" w:color="000000" w:fill="012749"/>
            <w:vAlign w:val="center"/>
            <w:hideMark/>
          </w:tcPr>
          <w:p w14:paraId="2F835A8D" w14:textId="77777777" w:rsidR="007502C1" w:rsidRPr="00DD4C71" w:rsidRDefault="007502C1" w:rsidP="009E791A">
            <w:pPr>
              <w:spacing w:after="0" w:line="240" w:lineRule="auto"/>
              <w:jc w:val="center"/>
              <w:rPr>
                <w:rFonts w:asciiTheme="majorHAnsi" w:eastAsia="Times New Roman" w:hAnsiTheme="majorHAnsi" w:cstheme="majorHAnsi"/>
                <w:color w:val="FFFFFF"/>
                <w:sz w:val="19"/>
                <w:szCs w:val="19"/>
                <w:lang w:eastAsia="en-AU"/>
              </w:rPr>
            </w:pPr>
            <w:r w:rsidRPr="00DD4C71">
              <w:rPr>
                <w:rFonts w:asciiTheme="majorHAnsi" w:eastAsia="Times New Roman" w:hAnsiTheme="majorHAnsi" w:cstheme="majorHAnsi"/>
                <w:color w:val="FFFFFF"/>
                <w:sz w:val="19"/>
                <w:szCs w:val="19"/>
                <w:lang w:eastAsia="en-AU"/>
              </w:rPr>
              <w:t>Jun-24</w:t>
            </w:r>
          </w:p>
        </w:tc>
        <w:tc>
          <w:tcPr>
            <w:tcW w:w="2126" w:type="dxa"/>
            <w:gridSpan w:val="2"/>
            <w:tcBorders>
              <w:top w:val="nil"/>
              <w:left w:val="nil"/>
              <w:bottom w:val="single" w:sz="8" w:space="0" w:color="FFFFFF"/>
              <w:right w:val="nil"/>
            </w:tcBorders>
            <w:shd w:val="clear" w:color="000000" w:fill="012749"/>
            <w:vAlign w:val="center"/>
            <w:hideMark/>
          </w:tcPr>
          <w:p w14:paraId="5D35A1AC" w14:textId="77777777" w:rsidR="007502C1" w:rsidRPr="00DD4C71" w:rsidRDefault="007502C1" w:rsidP="009E791A">
            <w:pPr>
              <w:spacing w:after="0" w:line="240" w:lineRule="auto"/>
              <w:jc w:val="center"/>
              <w:rPr>
                <w:rFonts w:asciiTheme="majorHAnsi" w:eastAsia="Times New Roman" w:hAnsiTheme="majorHAnsi" w:cstheme="majorHAnsi"/>
                <w:color w:val="FFFFFF"/>
                <w:sz w:val="19"/>
                <w:szCs w:val="19"/>
                <w:lang w:eastAsia="en-AU"/>
              </w:rPr>
            </w:pPr>
            <w:r w:rsidRPr="00DD4C71">
              <w:rPr>
                <w:rFonts w:asciiTheme="majorHAnsi" w:eastAsia="Times New Roman" w:hAnsiTheme="majorHAnsi" w:cstheme="majorHAnsi"/>
                <w:color w:val="FFFFFF"/>
                <w:sz w:val="19"/>
                <w:szCs w:val="19"/>
                <w:lang w:eastAsia="en-AU"/>
              </w:rPr>
              <w:t>Quarterly change</w:t>
            </w:r>
          </w:p>
        </w:tc>
      </w:tr>
      <w:tr w:rsidR="007502C1" w:rsidRPr="00DD4C71" w14:paraId="0C5B8D41" w14:textId="77777777" w:rsidTr="009E791A">
        <w:trPr>
          <w:trHeight w:val="300"/>
        </w:trPr>
        <w:tc>
          <w:tcPr>
            <w:tcW w:w="2410" w:type="dxa"/>
            <w:vMerge/>
            <w:tcBorders>
              <w:top w:val="nil"/>
              <w:left w:val="nil"/>
              <w:bottom w:val="nil"/>
              <w:right w:val="nil"/>
            </w:tcBorders>
            <w:vAlign w:val="center"/>
            <w:hideMark/>
          </w:tcPr>
          <w:p w14:paraId="1ADF5F0F" w14:textId="77777777" w:rsidR="007502C1" w:rsidRPr="00DD4C71" w:rsidRDefault="007502C1" w:rsidP="009E791A">
            <w:pPr>
              <w:spacing w:after="0" w:line="240" w:lineRule="auto"/>
              <w:rPr>
                <w:rFonts w:asciiTheme="majorHAnsi" w:eastAsia="Times New Roman" w:hAnsiTheme="majorHAnsi" w:cstheme="majorHAnsi"/>
                <w:color w:val="000000"/>
                <w:sz w:val="19"/>
                <w:szCs w:val="19"/>
                <w:lang w:eastAsia="en-AU"/>
              </w:rPr>
            </w:pPr>
          </w:p>
        </w:tc>
        <w:tc>
          <w:tcPr>
            <w:tcW w:w="1134" w:type="dxa"/>
            <w:vMerge/>
            <w:tcBorders>
              <w:top w:val="nil"/>
              <w:left w:val="nil"/>
              <w:bottom w:val="nil"/>
              <w:right w:val="nil"/>
            </w:tcBorders>
            <w:vAlign w:val="center"/>
            <w:hideMark/>
          </w:tcPr>
          <w:p w14:paraId="064E7E2C" w14:textId="77777777" w:rsidR="007502C1" w:rsidRPr="00DD4C71" w:rsidRDefault="007502C1" w:rsidP="009E791A">
            <w:pPr>
              <w:spacing w:after="0" w:line="240" w:lineRule="auto"/>
              <w:rPr>
                <w:rFonts w:asciiTheme="majorHAnsi" w:eastAsia="Times New Roman" w:hAnsiTheme="majorHAnsi" w:cstheme="majorHAnsi"/>
                <w:color w:val="FFFFFF"/>
                <w:sz w:val="19"/>
                <w:szCs w:val="19"/>
                <w:lang w:eastAsia="en-AU"/>
              </w:rPr>
            </w:pPr>
          </w:p>
        </w:tc>
        <w:tc>
          <w:tcPr>
            <w:tcW w:w="1134" w:type="dxa"/>
            <w:tcBorders>
              <w:top w:val="nil"/>
              <w:left w:val="nil"/>
              <w:bottom w:val="nil"/>
              <w:right w:val="nil"/>
            </w:tcBorders>
            <w:shd w:val="clear" w:color="000000" w:fill="012749"/>
            <w:vAlign w:val="center"/>
            <w:hideMark/>
          </w:tcPr>
          <w:p w14:paraId="0C4B088C" w14:textId="77777777" w:rsidR="007502C1" w:rsidRPr="00DD4C71" w:rsidRDefault="007502C1" w:rsidP="009E791A">
            <w:pPr>
              <w:spacing w:after="0" w:line="240" w:lineRule="auto"/>
              <w:jc w:val="center"/>
              <w:rPr>
                <w:rFonts w:asciiTheme="majorHAnsi" w:eastAsia="Times New Roman" w:hAnsiTheme="majorHAnsi" w:cstheme="majorHAnsi"/>
                <w:color w:val="FFFFFF"/>
                <w:sz w:val="19"/>
                <w:szCs w:val="19"/>
                <w:lang w:eastAsia="en-AU"/>
              </w:rPr>
            </w:pPr>
            <w:r w:rsidRPr="00DD4C71">
              <w:rPr>
                <w:rFonts w:asciiTheme="majorHAnsi" w:eastAsia="Times New Roman" w:hAnsiTheme="majorHAnsi" w:cstheme="majorHAnsi"/>
                <w:color w:val="FFFFFF"/>
                <w:sz w:val="19"/>
                <w:szCs w:val="19"/>
                <w:lang w:eastAsia="en-AU"/>
              </w:rPr>
              <w:t>(‘000)</w:t>
            </w:r>
          </w:p>
        </w:tc>
        <w:tc>
          <w:tcPr>
            <w:tcW w:w="1135" w:type="dxa"/>
            <w:tcBorders>
              <w:top w:val="nil"/>
              <w:left w:val="nil"/>
              <w:bottom w:val="nil"/>
              <w:right w:val="nil"/>
            </w:tcBorders>
            <w:shd w:val="clear" w:color="000000" w:fill="012749"/>
            <w:vAlign w:val="center"/>
            <w:hideMark/>
          </w:tcPr>
          <w:p w14:paraId="35939CEE" w14:textId="77777777" w:rsidR="007502C1" w:rsidRPr="00DD4C71" w:rsidRDefault="007502C1" w:rsidP="009E791A">
            <w:pPr>
              <w:spacing w:after="0" w:line="240" w:lineRule="auto"/>
              <w:jc w:val="center"/>
              <w:rPr>
                <w:rFonts w:asciiTheme="majorHAnsi" w:eastAsia="Times New Roman" w:hAnsiTheme="majorHAnsi" w:cstheme="majorHAnsi"/>
                <w:color w:val="FFFFFF"/>
                <w:sz w:val="19"/>
                <w:szCs w:val="19"/>
                <w:lang w:eastAsia="en-AU"/>
              </w:rPr>
            </w:pPr>
            <w:r w:rsidRPr="00DD4C71">
              <w:rPr>
                <w:rFonts w:asciiTheme="majorHAnsi" w:eastAsia="Times New Roman" w:hAnsiTheme="majorHAnsi" w:cstheme="majorHAnsi"/>
                <w:color w:val="FFFFFF"/>
                <w:sz w:val="19"/>
                <w:szCs w:val="19"/>
                <w:lang w:eastAsia="en-AU"/>
              </w:rPr>
              <w:t>(%)</w:t>
            </w:r>
          </w:p>
        </w:tc>
        <w:tc>
          <w:tcPr>
            <w:tcW w:w="1133" w:type="dxa"/>
            <w:vMerge/>
            <w:tcBorders>
              <w:top w:val="nil"/>
              <w:left w:val="nil"/>
              <w:bottom w:val="nil"/>
              <w:right w:val="nil"/>
            </w:tcBorders>
            <w:vAlign w:val="center"/>
            <w:hideMark/>
          </w:tcPr>
          <w:p w14:paraId="7AF82788" w14:textId="77777777" w:rsidR="007502C1" w:rsidRPr="00DD4C71" w:rsidRDefault="007502C1" w:rsidP="009E791A">
            <w:pPr>
              <w:spacing w:after="0" w:line="240" w:lineRule="auto"/>
              <w:rPr>
                <w:rFonts w:asciiTheme="majorHAnsi" w:eastAsia="Times New Roman" w:hAnsiTheme="majorHAnsi" w:cstheme="majorHAnsi"/>
                <w:color w:val="FFFFFF"/>
                <w:sz w:val="19"/>
                <w:szCs w:val="19"/>
                <w:lang w:eastAsia="en-AU"/>
              </w:rPr>
            </w:pPr>
          </w:p>
        </w:tc>
        <w:tc>
          <w:tcPr>
            <w:tcW w:w="1134" w:type="dxa"/>
            <w:tcBorders>
              <w:top w:val="nil"/>
              <w:left w:val="nil"/>
              <w:bottom w:val="nil"/>
              <w:right w:val="nil"/>
            </w:tcBorders>
            <w:shd w:val="clear" w:color="000000" w:fill="012749"/>
            <w:vAlign w:val="center"/>
            <w:hideMark/>
          </w:tcPr>
          <w:p w14:paraId="1D117AC7" w14:textId="77777777" w:rsidR="007502C1" w:rsidRPr="00DD4C71" w:rsidRDefault="007502C1" w:rsidP="009E791A">
            <w:pPr>
              <w:spacing w:after="0" w:line="240" w:lineRule="auto"/>
              <w:jc w:val="center"/>
              <w:rPr>
                <w:rFonts w:asciiTheme="majorHAnsi" w:eastAsia="Times New Roman" w:hAnsiTheme="majorHAnsi" w:cstheme="majorHAnsi"/>
                <w:color w:val="FFFFFF"/>
                <w:sz w:val="19"/>
                <w:szCs w:val="19"/>
                <w:lang w:eastAsia="en-AU"/>
              </w:rPr>
            </w:pPr>
            <w:r w:rsidRPr="00DD4C71">
              <w:rPr>
                <w:rFonts w:asciiTheme="majorHAnsi" w:eastAsia="Times New Roman" w:hAnsiTheme="majorHAnsi" w:cstheme="majorHAnsi"/>
                <w:color w:val="FFFFFF"/>
                <w:sz w:val="19"/>
                <w:szCs w:val="19"/>
                <w:lang w:eastAsia="en-AU"/>
              </w:rPr>
              <w:t>(‘000)</w:t>
            </w:r>
          </w:p>
        </w:tc>
        <w:tc>
          <w:tcPr>
            <w:tcW w:w="992" w:type="dxa"/>
            <w:tcBorders>
              <w:top w:val="nil"/>
              <w:left w:val="nil"/>
              <w:bottom w:val="nil"/>
              <w:right w:val="nil"/>
            </w:tcBorders>
            <w:shd w:val="clear" w:color="000000" w:fill="012749"/>
            <w:vAlign w:val="center"/>
            <w:hideMark/>
          </w:tcPr>
          <w:p w14:paraId="429FED33" w14:textId="77777777" w:rsidR="007502C1" w:rsidRPr="00DD4C71" w:rsidRDefault="007502C1" w:rsidP="009E791A">
            <w:pPr>
              <w:spacing w:after="0" w:line="240" w:lineRule="auto"/>
              <w:jc w:val="center"/>
              <w:rPr>
                <w:rFonts w:asciiTheme="majorHAnsi" w:eastAsia="Times New Roman" w:hAnsiTheme="majorHAnsi" w:cstheme="majorHAnsi"/>
                <w:color w:val="FFFFFF"/>
                <w:sz w:val="19"/>
                <w:szCs w:val="19"/>
                <w:lang w:eastAsia="en-AU"/>
              </w:rPr>
            </w:pPr>
            <w:r w:rsidRPr="00DD4C71">
              <w:rPr>
                <w:rFonts w:asciiTheme="majorHAnsi" w:eastAsia="Times New Roman" w:hAnsiTheme="majorHAnsi" w:cstheme="majorHAnsi"/>
                <w:color w:val="FFFFFF"/>
                <w:sz w:val="19"/>
                <w:szCs w:val="19"/>
                <w:lang w:eastAsia="en-AU"/>
              </w:rPr>
              <w:t>(%)</w:t>
            </w:r>
          </w:p>
        </w:tc>
      </w:tr>
      <w:tr w:rsidR="007502C1" w:rsidRPr="00DD4C71" w14:paraId="125381E1" w14:textId="77777777" w:rsidTr="009E791A">
        <w:trPr>
          <w:trHeight w:val="340"/>
        </w:trPr>
        <w:tc>
          <w:tcPr>
            <w:tcW w:w="2410" w:type="dxa"/>
            <w:tcBorders>
              <w:top w:val="nil"/>
              <w:left w:val="nil"/>
              <w:bottom w:val="nil"/>
              <w:right w:val="nil"/>
            </w:tcBorders>
            <w:shd w:val="clear" w:color="auto" w:fill="auto"/>
            <w:vAlign w:val="center"/>
            <w:hideMark/>
          </w:tcPr>
          <w:p w14:paraId="2F46B448" w14:textId="77777777" w:rsidR="007502C1" w:rsidRPr="00DD4C71" w:rsidRDefault="007502C1" w:rsidP="009E791A">
            <w:pPr>
              <w:spacing w:after="0" w:line="240" w:lineRule="auto"/>
              <w:rPr>
                <w:rFonts w:asciiTheme="majorHAnsi" w:eastAsia="Times New Roman" w:hAnsiTheme="majorHAnsi" w:cstheme="majorHAnsi"/>
                <w:color w:val="000000"/>
                <w:sz w:val="20"/>
                <w:szCs w:val="20"/>
                <w:lang w:eastAsia="en-AU"/>
              </w:rPr>
            </w:pPr>
            <w:r w:rsidRPr="00DD4C71">
              <w:rPr>
                <w:rFonts w:asciiTheme="majorHAnsi" w:eastAsia="Times New Roman" w:hAnsiTheme="majorHAnsi" w:cstheme="majorHAnsi"/>
                <w:color w:val="000000"/>
                <w:sz w:val="20"/>
                <w:szCs w:val="20"/>
                <w:lang w:eastAsia="en-AU"/>
              </w:rPr>
              <w:t>Employment (‘000)</w:t>
            </w:r>
          </w:p>
        </w:tc>
        <w:tc>
          <w:tcPr>
            <w:tcW w:w="1134" w:type="dxa"/>
            <w:tcBorders>
              <w:top w:val="nil"/>
              <w:left w:val="nil"/>
              <w:bottom w:val="nil"/>
              <w:right w:val="nil"/>
            </w:tcBorders>
            <w:shd w:val="clear" w:color="auto" w:fill="auto"/>
            <w:vAlign w:val="center"/>
            <w:hideMark/>
          </w:tcPr>
          <w:p w14:paraId="467EF470" w14:textId="77777777" w:rsidR="007502C1" w:rsidRPr="00DD4C71" w:rsidRDefault="007502C1" w:rsidP="009E791A">
            <w:pPr>
              <w:spacing w:after="0" w:line="240" w:lineRule="auto"/>
              <w:jc w:val="center"/>
              <w:rPr>
                <w:rFonts w:asciiTheme="majorHAnsi" w:eastAsia="Times New Roman" w:hAnsiTheme="majorHAnsi" w:cstheme="majorHAnsi"/>
                <w:color w:val="000000"/>
                <w:sz w:val="20"/>
                <w:szCs w:val="20"/>
                <w:lang w:eastAsia="en-AU"/>
              </w:rPr>
            </w:pPr>
            <w:r w:rsidRPr="00DD4C71">
              <w:rPr>
                <w:rFonts w:cs="Arial"/>
                <w:color w:val="000000"/>
                <w:sz w:val="20"/>
                <w:szCs w:val="20"/>
              </w:rPr>
              <w:t>9,951.1</w:t>
            </w:r>
          </w:p>
        </w:tc>
        <w:tc>
          <w:tcPr>
            <w:tcW w:w="1134" w:type="dxa"/>
            <w:tcBorders>
              <w:top w:val="nil"/>
              <w:left w:val="nil"/>
              <w:bottom w:val="nil"/>
              <w:right w:val="nil"/>
            </w:tcBorders>
            <w:shd w:val="clear" w:color="auto" w:fill="auto"/>
            <w:vAlign w:val="center"/>
            <w:hideMark/>
          </w:tcPr>
          <w:p w14:paraId="0F745511" w14:textId="77777777" w:rsidR="007502C1" w:rsidRPr="00DD4C71" w:rsidRDefault="007502C1" w:rsidP="009E791A">
            <w:pPr>
              <w:spacing w:after="0" w:line="240" w:lineRule="auto"/>
              <w:jc w:val="center"/>
              <w:rPr>
                <w:rFonts w:asciiTheme="majorHAnsi" w:eastAsia="Times New Roman" w:hAnsiTheme="majorHAnsi" w:cstheme="majorHAnsi"/>
                <w:color w:val="000000"/>
                <w:sz w:val="20"/>
                <w:szCs w:val="20"/>
                <w:lang w:eastAsia="en-AU"/>
              </w:rPr>
            </w:pPr>
            <w:r w:rsidRPr="00DD4C71">
              <w:rPr>
                <w:rFonts w:cs="Arial"/>
                <w:color w:val="000000"/>
                <w:sz w:val="20"/>
                <w:szCs w:val="20"/>
              </w:rPr>
              <w:t>98.0</w:t>
            </w:r>
          </w:p>
        </w:tc>
        <w:tc>
          <w:tcPr>
            <w:tcW w:w="1135" w:type="dxa"/>
            <w:tcBorders>
              <w:top w:val="nil"/>
              <w:left w:val="nil"/>
              <w:bottom w:val="nil"/>
              <w:right w:val="nil"/>
            </w:tcBorders>
            <w:shd w:val="clear" w:color="auto" w:fill="auto"/>
            <w:vAlign w:val="center"/>
            <w:hideMark/>
          </w:tcPr>
          <w:p w14:paraId="7CF0219F" w14:textId="77777777" w:rsidR="007502C1" w:rsidRPr="00DD4C71" w:rsidRDefault="007502C1" w:rsidP="009E791A">
            <w:pPr>
              <w:spacing w:after="0" w:line="240" w:lineRule="auto"/>
              <w:jc w:val="center"/>
              <w:rPr>
                <w:rFonts w:asciiTheme="majorHAnsi" w:eastAsia="Times New Roman" w:hAnsiTheme="majorHAnsi" w:cstheme="majorHAnsi"/>
                <w:color w:val="000000"/>
                <w:sz w:val="20"/>
                <w:szCs w:val="20"/>
                <w:lang w:eastAsia="en-AU"/>
              </w:rPr>
            </w:pPr>
            <w:r w:rsidRPr="00DD4C71">
              <w:rPr>
                <w:rFonts w:cs="Arial"/>
                <w:color w:val="000000"/>
                <w:sz w:val="20"/>
                <w:szCs w:val="20"/>
              </w:rPr>
              <w:t>1.0</w:t>
            </w:r>
          </w:p>
        </w:tc>
        <w:tc>
          <w:tcPr>
            <w:tcW w:w="1133" w:type="dxa"/>
            <w:tcBorders>
              <w:top w:val="nil"/>
              <w:left w:val="nil"/>
              <w:bottom w:val="nil"/>
              <w:right w:val="nil"/>
            </w:tcBorders>
            <w:shd w:val="clear" w:color="auto" w:fill="auto"/>
            <w:vAlign w:val="center"/>
            <w:hideMark/>
          </w:tcPr>
          <w:p w14:paraId="2346D6A9" w14:textId="77777777" w:rsidR="007502C1" w:rsidRPr="00DD4C71" w:rsidRDefault="007502C1" w:rsidP="009E791A">
            <w:pPr>
              <w:spacing w:after="0" w:line="240" w:lineRule="auto"/>
              <w:jc w:val="center"/>
              <w:rPr>
                <w:rFonts w:asciiTheme="majorHAnsi" w:eastAsia="Times New Roman" w:hAnsiTheme="majorHAnsi" w:cstheme="majorHAnsi"/>
                <w:color w:val="000000"/>
                <w:sz w:val="20"/>
                <w:szCs w:val="20"/>
                <w:lang w:eastAsia="en-AU"/>
              </w:rPr>
            </w:pPr>
            <w:r w:rsidRPr="00DD4C71">
              <w:rPr>
                <w:rFonts w:cs="Arial"/>
                <w:color w:val="000000"/>
                <w:sz w:val="20"/>
                <w:szCs w:val="20"/>
              </w:rPr>
              <w:t>4,505.1</w:t>
            </w:r>
          </w:p>
        </w:tc>
        <w:tc>
          <w:tcPr>
            <w:tcW w:w="1134" w:type="dxa"/>
            <w:tcBorders>
              <w:top w:val="nil"/>
              <w:left w:val="nil"/>
              <w:bottom w:val="nil"/>
              <w:right w:val="nil"/>
            </w:tcBorders>
            <w:shd w:val="clear" w:color="auto" w:fill="auto"/>
            <w:vAlign w:val="center"/>
            <w:hideMark/>
          </w:tcPr>
          <w:p w14:paraId="6FA5DBA5" w14:textId="77777777" w:rsidR="007502C1" w:rsidRPr="00DD4C71" w:rsidRDefault="007502C1" w:rsidP="009E791A">
            <w:pPr>
              <w:spacing w:after="0" w:line="240" w:lineRule="auto"/>
              <w:jc w:val="center"/>
              <w:rPr>
                <w:rFonts w:asciiTheme="majorHAnsi" w:eastAsia="Times New Roman" w:hAnsiTheme="majorHAnsi" w:cstheme="majorHAnsi"/>
                <w:color w:val="000000"/>
                <w:sz w:val="20"/>
                <w:szCs w:val="20"/>
                <w:lang w:eastAsia="en-AU"/>
              </w:rPr>
            </w:pPr>
            <w:r w:rsidRPr="00DD4C71">
              <w:rPr>
                <w:rFonts w:cs="Arial"/>
                <w:color w:val="000000"/>
                <w:sz w:val="20"/>
                <w:szCs w:val="20"/>
              </w:rPr>
              <w:t>55.9</w:t>
            </w:r>
          </w:p>
        </w:tc>
        <w:tc>
          <w:tcPr>
            <w:tcW w:w="992" w:type="dxa"/>
            <w:tcBorders>
              <w:top w:val="nil"/>
              <w:left w:val="nil"/>
              <w:bottom w:val="nil"/>
              <w:right w:val="nil"/>
            </w:tcBorders>
            <w:shd w:val="clear" w:color="auto" w:fill="auto"/>
            <w:vAlign w:val="center"/>
            <w:hideMark/>
          </w:tcPr>
          <w:p w14:paraId="48E8495E" w14:textId="77777777" w:rsidR="007502C1" w:rsidRPr="00DD4C71" w:rsidRDefault="007502C1" w:rsidP="009E791A">
            <w:pPr>
              <w:spacing w:after="0" w:line="240" w:lineRule="auto"/>
              <w:jc w:val="center"/>
              <w:rPr>
                <w:rFonts w:asciiTheme="majorHAnsi" w:eastAsia="Times New Roman" w:hAnsiTheme="majorHAnsi" w:cstheme="majorHAnsi"/>
                <w:color w:val="000000"/>
                <w:sz w:val="20"/>
                <w:szCs w:val="20"/>
                <w:lang w:eastAsia="en-AU"/>
              </w:rPr>
            </w:pPr>
            <w:r w:rsidRPr="00DD4C71">
              <w:rPr>
                <w:rFonts w:cs="Arial"/>
                <w:color w:val="000000"/>
                <w:sz w:val="20"/>
                <w:szCs w:val="20"/>
              </w:rPr>
              <w:t>1.3</w:t>
            </w:r>
          </w:p>
        </w:tc>
      </w:tr>
      <w:tr w:rsidR="007502C1" w:rsidRPr="00DD4C71" w14:paraId="6929088B" w14:textId="77777777" w:rsidTr="009E791A">
        <w:trPr>
          <w:trHeight w:val="340"/>
        </w:trPr>
        <w:tc>
          <w:tcPr>
            <w:tcW w:w="2410" w:type="dxa"/>
            <w:tcBorders>
              <w:top w:val="nil"/>
              <w:left w:val="nil"/>
              <w:right w:val="nil"/>
            </w:tcBorders>
            <w:shd w:val="clear" w:color="000000" w:fill="E6E6E6"/>
            <w:vAlign w:val="center"/>
            <w:hideMark/>
          </w:tcPr>
          <w:p w14:paraId="28AA4957" w14:textId="77777777" w:rsidR="007502C1" w:rsidRPr="00DD4C71" w:rsidRDefault="007502C1" w:rsidP="009E791A">
            <w:pPr>
              <w:spacing w:after="0" w:line="240" w:lineRule="auto"/>
              <w:rPr>
                <w:rFonts w:asciiTheme="majorHAnsi" w:eastAsia="Times New Roman" w:hAnsiTheme="majorHAnsi" w:cstheme="majorHAnsi"/>
                <w:color w:val="000000"/>
                <w:sz w:val="20"/>
                <w:szCs w:val="20"/>
                <w:lang w:eastAsia="en-AU"/>
              </w:rPr>
            </w:pPr>
            <w:r w:rsidRPr="00DD4C71">
              <w:rPr>
                <w:rFonts w:asciiTheme="majorHAnsi" w:eastAsia="Times New Roman" w:hAnsiTheme="majorHAnsi" w:cstheme="majorHAnsi"/>
                <w:sz w:val="20"/>
                <w:szCs w:val="20"/>
                <w:lang w:eastAsia="en-AU"/>
              </w:rPr>
              <w:t>Unemployment rate (%)</w:t>
            </w:r>
          </w:p>
        </w:tc>
        <w:tc>
          <w:tcPr>
            <w:tcW w:w="1134" w:type="dxa"/>
            <w:tcBorders>
              <w:top w:val="nil"/>
              <w:left w:val="nil"/>
              <w:bottom w:val="nil"/>
              <w:right w:val="nil"/>
            </w:tcBorders>
            <w:shd w:val="clear" w:color="000000" w:fill="E6E6E6"/>
            <w:vAlign w:val="center"/>
            <w:hideMark/>
          </w:tcPr>
          <w:p w14:paraId="27CC55B7" w14:textId="77777777" w:rsidR="007502C1" w:rsidRPr="00DD4C71" w:rsidRDefault="007502C1" w:rsidP="009E791A">
            <w:pPr>
              <w:spacing w:after="0" w:line="240" w:lineRule="auto"/>
              <w:jc w:val="center"/>
              <w:rPr>
                <w:rFonts w:asciiTheme="majorHAnsi" w:eastAsia="Times New Roman" w:hAnsiTheme="majorHAnsi" w:cstheme="majorHAnsi"/>
                <w:color w:val="000000"/>
                <w:sz w:val="20"/>
                <w:szCs w:val="20"/>
                <w:lang w:eastAsia="en-AU"/>
              </w:rPr>
            </w:pPr>
            <w:r w:rsidRPr="00DD4C71">
              <w:rPr>
                <w:rFonts w:cs="Arial"/>
                <w:color w:val="000000"/>
                <w:sz w:val="20"/>
                <w:szCs w:val="20"/>
              </w:rPr>
              <w:t>4.1</w:t>
            </w:r>
          </w:p>
        </w:tc>
        <w:tc>
          <w:tcPr>
            <w:tcW w:w="1134" w:type="dxa"/>
            <w:tcBorders>
              <w:top w:val="nil"/>
              <w:left w:val="nil"/>
              <w:bottom w:val="nil"/>
              <w:right w:val="nil"/>
            </w:tcBorders>
            <w:shd w:val="clear" w:color="000000" w:fill="E6E6E6"/>
            <w:vAlign w:val="center"/>
            <w:hideMark/>
          </w:tcPr>
          <w:p w14:paraId="65010F6A" w14:textId="77777777" w:rsidR="007502C1" w:rsidRPr="00DD4C71" w:rsidRDefault="007502C1" w:rsidP="009E791A">
            <w:pPr>
              <w:spacing w:after="0" w:line="240" w:lineRule="auto"/>
              <w:jc w:val="center"/>
              <w:rPr>
                <w:rFonts w:asciiTheme="majorHAnsi" w:eastAsia="Times New Roman" w:hAnsiTheme="majorHAnsi" w:cstheme="majorHAnsi"/>
                <w:color w:val="000000"/>
                <w:sz w:val="20"/>
                <w:szCs w:val="20"/>
                <w:lang w:eastAsia="en-AU"/>
              </w:rPr>
            </w:pPr>
            <w:r w:rsidRPr="00DD4C71">
              <w:rPr>
                <w:rFonts w:cs="Arial"/>
                <w:color w:val="000000"/>
                <w:sz w:val="20"/>
                <w:szCs w:val="20"/>
              </w:rPr>
              <w:t>-</w:t>
            </w:r>
          </w:p>
        </w:tc>
        <w:tc>
          <w:tcPr>
            <w:tcW w:w="1135" w:type="dxa"/>
            <w:tcBorders>
              <w:top w:val="nil"/>
              <w:left w:val="nil"/>
              <w:bottom w:val="nil"/>
              <w:right w:val="nil"/>
            </w:tcBorders>
            <w:shd w:val="clear" w:color="000000" w:fill="E6E6E6"/>
            <w:vAlign w:val="center"/>
            <w:hideMark/>
          </w:tcPr>
          <w:p w14:paraId="74B94FB7" w14:textId="77777777" w:rsidR="007502C1" w:rsidRPr="00DD4C71" w:rsidRDefault="007502C1" w:rsidP="009E791A">
            <w:pPr>
              <w:spacing w:after="0" w:line="240" w:lineRule="auto"/>
              <w:jc w:val="center"/>
              <w:rPr>
                <w:rFonts w:asciiTheme="majorHAnsi" w:eastAsia="Times New Roman" w:hAnsiTheme="majorHAnsi" w:cstheme="majorHAnsi"/>
                <w:color w:val="000000"/>
                <w:sz w:val="20"/>
                <w:szCs w:val="20"/>
                <w:lang w:eastAsia="en-AU"/>
              </w:rPr>
            </w:pPr>
            <w:r w:rsidRPr="00DD4C71">
              <w:rPr>
                <w:rFonts w:cs="Arial"/>
                <w:color w:val="000000"/>
                <w:sz w:val="20"/>
                <w:szCs w:val="20"/>
              </w:rPr>
              <w:t>-0.2 pts</w:t>
            </w:r>
          </w:p>
        </w:tc>
        <w:tc>
          <w:tcPr>
            <w:tcW w:w="1133" w:type="dxa"/>
            <w:tcBorders>
              <w:top w:val="nil"/>
              <w:left w:val="nil"/>
              <w:bottom w:val="nil"/>
              <w:right w:val="nil"/>
            </w:tcBorders>
            <w:shd w:val="clear" w:color="000000" w:fill="E6E6E6"/>
            <w:vAlign w:val="center"/>
            <w:hideMark/>
          </w:tcPr>
          <w:p w14:paraId="04340324" w14:textId="77777777" w:rsidR="007502C1" w:rsidRPr="00DD4C71" w:rsidRDefault="007502C1" w:rsidP="009E791A">
            <w:pPr>
              <w:spacing w:after="0" w:line="240" w:lineRule="auto"/>
              <w:jc w:val="center"/>
              <w:rPr>
                <w:rFonts w:asciiTheme="majorHAnsi" w:eastAsia="Times New Roman" w:hAnsiTheme="majorHAnsi" w:cstheme="majorHAnsi"/>
                <w:color w:val="000000"/>
                <w:sz w:val="20"/>
                <w:szCs w:val="20"/>
                <w:lang w:eastAsia="en-AU"/>
              </w:rPr>
            </w:pPr>
            <w:r w:rsidRPr="00DD4C71">
              <w:rPr>
                <w:rFonts w:cs="Arial"/>
                <w:color w:val="000000"/>
                <w:sz w:val="20"/>
                <w:szCs w:val="20"/>
              </w:rPr>
              <w:t>3.6</w:t>
            </w:r>
          </w:p>
        </w:tc>
        <w:tc>
          <w:tcPr>
            <w:tcW w:w="1134" w:type="dxa"/>
            <w:tcBorders>
              <w:top w:val="nil"/>
              <w:left w:val="nil"/>
              <w:bottom w:val="nil"/>
              <w:right w:val="nil"/>
            </w:tcBorders>
            <w:shd w:val="clear" w:color="000000" w:fill="E6E6E6"/>
            <w:vAlign w:val="center"/>
            <w:hideMark/>
          </w:tcPr>
          <w:p w14:paraId="5A691FAB" w14:textId="77777777" w:rsidR="007502C1" w:rsidRPr="00DD4C71" w:rsidRDefault="007502C1" w:rsidP="009E791A">
            <w:pPr>
              <w:spacing w:after="0" w:line="240" w:lineRule="auto"/>
              <w:jc w:val="center"/>
              <w:rPr>
                <w:rFonts w:asciiTheme="majorHAnsi" w:eastAsia="Times New Roman" w:hAnsiTheme="majorHAnsi" w:cstheme="majorHAnsi"/>
                <w:color w:val="000000"/>
                <w:sz w:val="20"/>
                <w:szCs w:val="20"/>
                <w:lang w:eastAsia="en-AU"/>
              </w:rPr>
            </w:pPr>
            <w:r w:rsidRPr="00DD4C71">
              <w:rPr>
                <w:rFonts w:cs="Arial"/>
                <w:color w:val="000000"/>
                <w:sz w:val="20"/>
                <w:szCs w:val="20"/>
              </w:rPr>
              <w:t>-</w:t>
            </w:r>
          </w:p>
        </w:tc>
        <w:tc>
          <w:tcPr>
            <w:tcW w:w="992" w:type="dxa"/>
            <w:tcBorders>
              <w:top w:val="nil"/>
              <w:left w:val="nil"/>
              <w:bottom w:val="nil"/>
              <w:right w:val="nil"/>
            </w:tcBorders>
            <w:shd w:val="clear" w:color="000000" w:fill="E6E6E6"/>
            <w:vAlign w:val="center"/>
            <w:hideMark/>
          </w:tcPr>
          <w:p w14:paraId="0DF0C7AE" w14:textId="77777777" w:rsidR="007502C1" w:rsidRPr="00DD4C71" w:rsidRDefault="007502C1" w:rsidP="009E791A">
            <w:pPr>
              <w:spacing w:after="0" w:line="240" w:lineRule="auto"/>
              <w:jc w:val="center"/>
              <w:rPr>
                <w:rFonts w:asciiTheme="majorHAnsi" w:eastAsia="Times New Roman" w:hAnsiTheme="majorHAnsi" w:cstheme="majorHAnsi"/>
                <w:color w:val="000000"/>
                <w:sz w:val="20"/>
                <w:szCs w:val="20"/>
                <w:lang w:eastAsia="en-AU"/>
              </w:rPr>
            </w:pPr>
            <w:r w:rsidRPr="00DD4C71">
              <w:rPr>
                <w:rFonts w:cs="Arial"/>
                <w:color w:val="000000"/>
                <w:sz w:val="20"/>
                <w:szCs w:val="20"/>
              </w:rPr>
              <w:t>-0.3 pts</w:t>
            </w:r>
          </w:p>
        </w:tc>
      </w:tr>
      <w:tr w:rsidR="007502C1" w:rsidRPr="00DD4C71" w14:paraId="11B5E0C8" w14:textId="77777777" w:rsidTr="009E791A">
        <w:trPr>
          <w:trHeight w:val="340"/>
        </w:trPr>
        <w:tc>
          <w:tcPr>
            <w:tcW w:w="2410" w:type="dxa"/>
            <w:tcBorders>
              <w:top w:val="nil"/>
              <w:left w:val="nil"/>
              <w:bottom w:val="single" w:sz="4" w:space="0" w:color="auto"/>
              <w:right w:val="nil"/>
            </w:tcBorders>
            <w:shd w:val="clear" w:color="auto" w:fill="auto"/>
            <w:vAlign w:val="center"/>
            <w:hideMark/>
          </w:tcPr>
          <w:p w14:paraId="6639AE63" w14:textId="77777777" w:rsidR="007502C1" w:rsidRPr="00DD4C71" w:rsidRDefault="007502C1" w:rsidP="009E791A">
            <w:pPr>
              <w:spacing w:after="0" w:line="240" w:lineRule="auto"/>
              <w:rPr>
                <w:rFonts w:asciiTheme="majorHAnsi" w:eastAsia="Times New Roman" w:hAnsiTheme="majorHAnsi" w:cstheme="majorHAnsi"/>
                <w:color w:val="000000"/>
                <w:sz w:val="20"/>
                <w:szCs w:val="20"/>
                <w:lang w:eastAsia="en-AU"/>
              </w:rPr>
            </w:pPr>
            <w:r w:rsidRPr="00DD4C71">
              <w:rPr>
                <w:rFonts w:asciiTheme="majorHAnsi" w:eastAsia="Times New Roman" w:hAnsiTheme="majorHAnsi" w:cstheme="majorHAnsi"/>
                <w:color w:val="000000"/>
                <w:sz w:val="20"/>
                <w:szCs w:val="20"/>
                <w:lang w:eastAsia="en-AU"/>
              </w:rPr>
              <w:t>Participation rate (%)</w:t>
            </w:r>
          </w:p>
        </w:tc>
        <w:tc>
          <w:tcPr>
            <w:tcW w:w="1134" w:type="dxa"/>
            <w:tcBorders>
              <w:top w:val="nil"/>
              <w:left w:val="nil"/>
              <w:bottom w:val="single" w:sz="8" w:space="0" w:color="4B0885"/>
              <w:right w:val="nil"/>
            </w:tcBorders>
            <w:shd w:val="clear" w:color="auto" w:fill="auto"/>
            <w:vAlign w:val="center"/>
            <w:hideMark/>
          </w:tcPr>
          <w:p w14:paraId="4DE3E966" w14:textId="77777777" w:rsidR="007502C1" w:rsidRPr="00DD4C71" w:rsidRDefault="007502C1" w:rsidP="009E791A">
            <w:pPr>
              <w:spacing w:after="0" w:line="240" w:lineRule="auto"/>
              <w:jc w:val="center"/>
              <w:rPr>
                <w:rFonts w:asciiTheme="majorHAnsi" w:eastAsia="Times New Roman" w:hAnsiTheme="majorHAnsi" w:cstheme="majorHAnsi"/>
                <w:color w:val="000000"/>
                <w:sz w:val="20"/>
                <w:szCs w:val="20"/>
                <w:lang w:eastAsia="en-AU"/>
              </w:rPr>
            </w:pPr>
            <w:r w:rsidRPr="00DD4C71">
              <w:rPr>
                <w:rFonts w:cs="Arial"/>
                <w:color w:val="000000"/>
                <w:sz w:val="20"/>
                <w:szCs w:val="20"/>
              </w:rPr>
              <w:t>68.7</w:t>
            </w:r>
          </w:p>
        </w:tc>
        <w:tc>
          <w:tcPr>
            <w:tcW w:w="1134" w:type="dxa"/>
            <w:tcBorders>
              <w:top w:val="nil"/>
              <w:left w:val="nil"/>
              <w:bottom w:val="single" w:sz="8" w:space="0" w:color="4B0885"/>
              <w:right w:val="nil"/>
            </w:tcBorders>
            <w:shd w:val="clear" w:color="auto" w:fill="auto"/>
            <w:vAlign w:val="center"/>
            <w:hideMark/>
          </w:tcPr>
          <w:p w14:paraId="3B7DDB4D" w14:textId="77777777" w:rsidR="007502C1" w:rsidRPr="00DD4C71" w:rsidRDefault="007502C1" w:rsidP="009E791A">
            <w:pPr>
              <w:spacing w:after="0" w:line="240" w:lineRule="auto"/>
              <w:jc w:val="center"/>
              <w:rPr>
                <w:rFonts w:asciiTheme="majorHAnsi" w:eastAsia="Times New Roman" w:hAnsiTheme="majorHAnsi" w:cstheme="majorHAnsi"/>
                <w:color w:val="000000"/>
                <w:sz w:val="20"/>
                <w:szCs w:val="20"/>
                <w:lang w:eastAsia="en-AU"/>
              </w:rPr>
            </w:pPr>
            <w:r w:rsidRPr="00DD4C71">
              <w:rPr>
                <w:rFonts w:cs="Arial"/>
                <w:color w:val="000000"/>
                <w:sz w:val="20"/>
                <w:szCs w:val="20"/>
              </w:rPr>
              <w:t xml:space="preserve"> -</w:t>
            </w:r>
          </w:p>
        </w:tc>
        <w:tc>
          <w:tcPr>
            <w:tcW w:w="1135" w:type="dxa"/>
            <w:tcBorders>
              <w:top w:val="nil"/>
              <w:left w:val="nil"/>
              <w:bottom w:val="single" w:sz="8" w:space="0" w:color="4B0885"/>
              <w:right w:val="nil"/>
            </w:tcBorders>
            <w:shd w:val="clear" w:color="auto" w:fill="auto"/>
            <w:vAlign w:val="center"/>
            <w:hideMark/>
          </w:tcPr>
          <w:p w14:paraId="6652EC5E" w14:textId="77777777" w:rsidR="007502C1" w:rsidRPr="00DD4C71" w:rsidRDefault="007502C1" w:rsidP="009E791A">
            <w:pPr>
              <w:spacing w:after="0" w:line="240" w:lineRule="auto"/>
              <w:jc w:val="center"/>
              <w:rPr>
                <w:rFonts w:asciiTheme="majorHAnsi" w:eastAsia="Times New Roman" w:hAnsiTheme="majorHAnsi" w:cstheme="majorHAnsi"/>
                <w:color w:val="000000"/>
                <w:sz w:val="20"/>
                <w:szCs w:val="20"/>
                <w:lang w:eastAsia="en-AU"/>
              </w:rPr>
            </w:pPr>
            <w:r w:rsidRPr="00DD4C71">
              <w:rPr>
                <w:rFonts w:cs="Arial"/>
                <w:color w:val="000000"/>
                <w:sz w:val="20"/>
                <w:szCs w:val="20"/>
              </w:rPr>
              <w:t>0.1 pts</w:t>
            </w:r>
          </w:p>
        </w:tc>
        <w:tc>
          <w:tcPr>
            <w:tcW w:w="1133" w:type="dxa"/>
            <w:tcBorders>
              <w:top w:val="nil"/>
              <w:left w:val="nil"/>
              <w:bottom w:val="single" w:sz="8" w:space="0" w:color="4B0885"/>
              <w:right w:val="nil"/>
            </w:tcBorders>
            <w:shd w:val="clear" w:color="auto" w:fill="auto"/>
            <w:vAlign w:val="center"/>
            <w:hideMark/>
          </w:tcPr>
          <w:p w14:paraId="1642B25C" w14:textId="77777777" w:rsidR="007502C1" w:rsidRPr="00DD4C71" w:rsidRDefault="007502C1" w:rsidP="009E791A">
            <w:pPr>
              <w:spacing w:after="0" w:line="240" w:lineRule="auto"/>
              <w:jc w:val="center"/>
              <w:rPr>
                <w:rFonts w:asciiTheme="majorHAnsi" w:eastAsia="Times New Roman" w:hAnsiTheme="majorHAnsi" w:cstheme="majorHAnsi"/>
                <w:color w:val="000000"/>
                <w:sz w:val="20"/>
                <w:szCs w:val="20"/>
                <w:lang w:eastAsia="en-AU"/>
              </w:rPr>
            </w:pPr>
            <w:r w:rsidRPr="00DD4C71">
              <w:rPr>
                <w:rFonts w:cs="Arial"/>
                <w:color w:val="000000"/>
                <w:sz w:val="20"/>
                <w:szCs w:val="20"/>
              </w:rPr>
              <w:t>63.5</w:t>
            </w:r>
          </w:p>
        </w:tc>
        <w:tc>
          <w:tcPr>
            <w:tcW w:w="1134" w:type="dxa"/>
            <w:tcBorders>
              <w:top w:val="nil"/>
              <w:left w:val="nil"/>
              <w:bottom w:val="single" w:sz="8" w:space="0" w:color="4B0885"/>
              <w:right w:val="nil"/>
            </w:tcBorders>
            <w:shd w:val="clear" w:color="auto" w:fill="auto"/>
            <w:vAlign w:val="center"/>
            <w:hideMark/>
          </w:tcPr>
          <w:p w14:paraId="17C12F98" w14:textId="77777777" w:rsidR="007502C1" w:rsidRPr="00DD4C71" w:rsidRDefault="007502C1" w:rsidP="009E791A">
            <w:pPr>
              <w:spacing w:after="0" w:line="240" w:lineRule="auto"/>
              <w:jc w:val="center"/>
              <w:rPr>
                <w:rFonts w:asciiTheme="majorHAnsi" w:eastAsia="Times New Roman" w:hAnsiTheme="majorHAnsi" w:cstheme="majorHAnsi"/>
                <w:color w:val="000000"/>
                <w:sz w:val="20"/>
                <w:szCs w:val="20"/>
                <w:lang w:eastAsia="en-AU"/>
              </w:rPr>
            </w:pPr>
            <w:r w:rsidRPr="00DD4C71">
              <w:rPr>
                <w:rFonts w:cs="Arial"/>
                <w:color w:val="000000"/>
                <w:sz w:val="20"/>
                <w:szCs w:val="20"/>
              </w:rPr>
              <w:t xml:space="preserve"> -</w:t>
            </w:r>
          </w:p>
        </w:tc>
        <w:tc>
          <w:tcPr>
            <w:tcW w:w="992" w:type="dxa"/>
            <w:tcBorders>
              <w:top w:val="nil"/>
              <w:left w:val="nil"/>
              <w:bottom w:val="single" w:sz="8" w:space="0" w:color="4B0885"/>
              <w:right w:val="nil"/>
            </w:tcBorders>
            <w:shd w:val="clear" w:color="auto" w:fill="auto"/>
            <w:vAlign w:val="center"/>
            <w:hideMark/>
          </w:tcPr>
          <w:p w14:paraId="694B8839" w14:textId="77777777" w:rsidR="007502C1" w:rsidRPr="00DD4C71" w:rsidRDefault="007502C1" w:rsidP="009E791A">
            <w:pPr>
              <w:spacing w:after="0" w:line="240" w:lineRule="auto"/>
              <w:jc w:val="center"/>
              <w:rPr>
                <w:rFonts w:asciiTheme="majorHAnsi" w:eastAsia="Times New Roman" w:hAnsiTheme="majorHAnsi" w:cstheme="majorHAnsi"/>
                <w:color w:val="000000"/>
                <w:sz w:val="20"/>
                <w:szCs w:val="20"/>
                <w:lang w:eastAsia="en-AU"/>
              </w:rPr>
            </w:pPr>
            <w:r w:rsidRPr="00DD4C71">
              <w:rPr>
                <w:rFonts w:cs="Arial"/>
                <w:color w:val="000000"/>
                <w:sz w:val="20"/>
                <w:szCs w:val="20"/>
              </w:rPr>
              <w:t>0.2 pts</w:t>
            </w:r>
          </w:p>
        </w:tc>
      </w:tr>
    </w:tbl>
    <w:p w14:paraId="097D059E" w14:textId="77777777" w:rsidR="007502C1" w:rsidRDefault="007502C1" w:rsidP="007502C1">
      <w:pPr>
        <w:pStyle w:val="Source"/>
        <w:spacing w:before="0" w:after="0" w:line="240" w:lineRule="auto"/>
      </w:pPr>
      <w:r w:rsidRPr="00DD4C71">
        <w:t xml:space="preserve">Source: ABS, </w:t>
      </w:r>
      <w:r w:rsidRPr="00DD4C71">
        <w:rPr>
          <w:i/>
          <w:iCs/>
        </w:rPr>
        <w:t>Labour Force, Australia, Detailed</w:t>
      </w:r>
      <w:r w:rsidRPr="00DD4C71">
        <w:t>, June 2024, table MRM1 - Modelled estimates of labour force status, by SA4.</w:t>
      </w:r>
    </w:p>
    <w:p w14:paraId="18497ABE" w14:textId="77777777" w:rsidR="00C57211" w:rsidRPr="00C57211" w:rsidRDefault="00C57211" w:rsidP="00C57211"/>
    <w:p w14:paraId="46154AC0" w14:textId="0D54D8CB" w:rsidR="00F348AA" w:rsidRPr="00DD4C71" w:rsidRDefault="007502C1" w:rsidP="00F348AA">
      <w:pPr>
        <w:pStyle w:val="Heading2"/>
      </w:pPr>
      <w:bookmarkStart w:id="14" w:name="_Toc174691122"/>
      <w:r>
        <w:lastRenderedPageBreak/>
        <w:t xml:space="preserve">Employment outcomes have varied by </w:t>
      </w:r>
      <w:r w:rsidR="00775843">
        <w:t>industry,</w:t>
      </w:r>
      <w:r>
        <w:t xml:space="preserve"> </w:t>
      </w:r>
      <w:r w:rsidR="00775843">
        <w:t>occupation and skill level</w:t>
      </w:r>
      <w:bookmarkEnd w:id="14"/>
      <w:r w:rsidR="000704FB">
        <w:rPr>
          <w:rStyle w:val="FootnoteReference"/>
        </w:rPr>
        <w:footnoteReference w:id="2"/>
      </w:r>
    </w:p>
    <w:p w14:paraId="5A2DA064" w14:textId="7C11C432" w:rsidR="008D1C26" w:rsidRDefault="008D1C26" w:rsidP="008D1C26">
      <w:pPr>
        <w:rPr>
          <w:rFonts w:cs="Arial"/>
        </w:rPr>
      </w:pPr>
      <w:r w:rsidRPr="00DD4C71">
        <w:rPr>
          <w:rFonts w:cs="Arial"/>
        </w:rPr>
        <w:t xml:space="preserve">Employment increased in 15 industries and declined in 4 over the year to May 2024 (Figure </w:t>
      </w:r>
      <w:r w:rsidR="00904B4B">
        <w:rPr>
          <w:rFonts w:cs="Arial"/>
        </w:rPr>
        <w:t>3</w:t>
      </w:r>
      <w:r w:rsidRPr="00DD4C71">
        <w:rPr>
          <w:rFonts w:cs="Arial"/>
        </w:rPr>
        <w:t>). Health Care and Social Assistance; Education and Training; and Construction made the largest contributions to employment growth over the year. The largest falls in employment over the year were recorded in Financial and Insurance Services; Retail Trade; and Mining.</w:t>
      </w:r>
    </w:p>
    <w:p w14:paraId="616888CB" w14:textId="77777777" w:rsidR="00AA2A36" w:rsidRDefault="00AA2A36" w:rsidP="008D1C26">
      <w:pPr>
        <w:rPr>
          <w:rFonts w:cs="Arial"/>
        </w:rPr>
      </w:pPr>
    </w:p>
    <w:p w14:paraId="6167A97A" w14:textId="33F6A67A" w:rsidR="008D1C26" w:rsidRPr="00DD4C71" w:rsidRDefault="008D1C26" w:rsidP="008D1C26">
      <w:pPr>
        <w:pStyle w:val="ChartandTablelabel"/>
        <w:spacing w:before="240"/>
        <w:rPr>
          <w:lang w:val="en-AU"/>
        </w:rPr>
      </w:pPr>
      <w:r w:rsidRPr="00DD4C71">
        <w:rPr>
          <w:lang w:val="en-AU"/>
        </w:rPr>
        <w:t xml:space="preserve">Figure </w:t>
      </w:r>
      <w:r w:rsidR="00904B4B">
        <w:rPr>
          <w:lang w:val="en-AU"/>
        </w:rPr>
        <w:t>3</w:t>
      </w:r>
      <w:r w:rsidRPr="00DD4C71">
        <w:rPr>
          <w:lang w:val="en-AU"/>
        </w:rPr>
        <w:t>: Employment change by industry (Jobs and Skills Australia trend series), May 2023 to May 2024</w:t>
      </w:r>
    </w:p>
    <w:p w14:paraId="60DD886E" w14:textId="77777777" w:rsidR="008D1C26" w:rsidRPr="00DD4C71" w:rsidRDefault="008D1C26" w:rsidP="008D1C26">
      <w:r w:rsidRPr="00DD4C71">
        <w:rPr>
          <w:noProof/>
        </w:rPr>
        <w:drawing>
          <wp:inline distT="0" distB="0" distL="0" distR="0" wp14:anchorId="6F3FDDB4" wp14:editId="623AF92E">
            <wp:extent cx="5731510" cy="4838700"/>
            <wp:effectExtent l="0" t="0" r="2540" b="0"/>
            <wp:docPr id="1373671391" name="Chart 1" descr="A bar graph displaying employment change from May 2023 to May 2024 for 19 industries. The Health Care and Social Assistance, Education and Training and Construction industries recorded the largest increases in employment. Declines in employment were recorded in the Financial and Insurance Services, Retail Trade, Mining and Accommodation and Food Services industries.">
              <a:extLst xmlns:a="http://schemas.openxmlformats.org/drawingml/2006/main">
                <a:ext uri="{FF2B5EF4-FFF2-40B4-BE49-F238E27FC236}">
                  <a16:creationId xmlns:a16="http://schemas.microsoft.com/office/drawing/2014/main" id="{3E359ADA-D051-74B3-5F9B-0BF82E76793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492403BE" w14:textId="77777777" w:rsidR="000704FB" w:rsidRDefault="000704FB" w:rsidP="007502C1">
      <w:pPr>
        <w:rPr>
          <w:rFonts w:cs="Arial"/>
        </w:rPr>
      </w:pPr>
    </w:p>
    <w:p w14:paraId="381F9739" w14:textId="41D5FBA7" w:rsidR="007502C1" w:rsidRDefault="007502C1" w:rsidP="007502C1">
      <w:pPr>
        <w:rPr>
          <w:rFonts w:cs="Arial"/>
        </w:rPr>
      </w:pPr>
      <w:r w:rsidRPr="00DD4C71">
        <w:rPr>
          <w:rFonts w:cs="Arial"/>
        </w:rPr>
        <w:t xml:space="preserve">Employment increased in all 8 major </w:t>
      </w:r>
      <w:r w:rsidRPr="00DD4C71">
        <w:rPr>
          <w:rFonts w:cs="Arial"/>
          <w:color w:val="000000"/>
          <w:lang w:eastAsia="en-AU"/>
        </w:rPr>
        <w:t>occupation groups</w:t>
      </w:r>
      <w:r w:rsidRPr="00DD4C71">
        <w:rPr>
          <w:rFonts w:cs="Arial"/>
        </w:rPr>
        <w:t xml:space="preserve"> over the </w:t>
      </w:r>
      <w:r w:rsidRPr="00DD4C71">
        <w:rPr>
          <w:rFonts w:cs="Arial"/>
          <w:i/>
          <w:iCs/>
        </w:rPr>
        <w:t>year</w:t>
      </w:r>
      <w:r w:rsidRPr="00DD4C71">
        <w:rPr>
          <w:rFonts w:cs="Arial"/>
        </w:rPr>
        <w:t xml:space="preserve"> to May 2024. Over the 5 years to May 2024, however, employment rose in 7 major occupation groups and declined in one (Table </w:t>
      </w:r>
      <w:r w:rsidR="00904B4B">
        <w:rPr>
          <w:rFonts w:cs="Arial"/>
        </w:rPr>
        <w:t>4</w:t>
      </w:r>
      <w:r w:rsidRPr="00DD4C71">
        <w:rPr>
          <w:rFonts w:cs="Arial"/>
        </w:rPr>
        <w:t xml:space="preserve">). </w:t>
      </w:r>
    </w:p>
    <w:p w14:paraId="2ABCF2E5" w14:textId="05118426" w:rsidR="007502C1" w:rsidRPr="00DD4C71" w:rsidRDefault="007502C1" w:rsidP="000704FB">
      <w:pPr>
        <w:rPr>
          <w:rFonts w:cs="Arial"/>
        </w:rPr>
      </w:pPr>
      <w:r w:rsidRPr="00DD4C71">
        <w:rPr>
          <w:rFonts w:cs="Arial"/>
        </w:rPr>
        <w:t>Over the year to May 2024</w:t>
      </w:r>
      <w:r w:rsidR="000704FB">
        <w:rPr>
          <w:rFonts w:cs="Arial"/>
        </w:rPr>
        <w:t xml:space="preserve"> t</w:t>
      </w:r>
      <w:r w:rsidRPr="00DD4C71">
        <w:rPr>
          <w:rFonts w:cs="Arial"/>
          <w:color w:val="000000"/>
          <w:lang w:eastAsia="en-AU"/>
        </w:rPr>
        <w:t>he largest increases in employment were recorded for Professionals (up by 116,100 or 3.2%), Community and Personal Services Workers (up by 100,300 or 6.4%), and Technicians and Trades Workers (up by 66,400 or 3.5%).</w:t>
      </w:r>
    </w:p>
    <w:p w14:paraId="63A3B1A3" w14:textId="19E2B3E7" w:rsidR="000704FB" w:rsidRDefault="007502C1" w:rsidP="000704FB">
      <w:pPr>
        <w:rPr>
          <w:rFonts w:cs="Arial"/>
        </w:rPr>
      </w:pPr>
      <w:r w:rsidRPr="00DD4C71">
        <w:rPr>
          <w:rFonts w:cs="Arial"/>
        </w:rPr>
        <w:lastRenderedPageBreak/>
        <w:t>Over the 5 years to May 2024</w:t>
      </w:r>
      <w:r w:rsidR="000704FB">
        <w:rPr>
          <w:rFonts w:cs="Arial"/>
        </w:rPr>
        <w:t xml:space="preserve"> t</w:t>
      </w:r>
      <w:r w:rsidRPr="00DD4C71">
        <w:rPr>
          <w:rFonts w:cs="Arial"/>
        </w:rPr>
        <w:t>he largest increases in employment were recorded for Professionals (up by 668,900 or 21.6%), Managers (up by 330,900 or 21.6%), and Community and Personal Service Workers (up by 281,900 or 20.3%).</w:t>
      </w:r>
    </w:p>
    <w:p w14:paraId="0FADF4B3" w14:textId="77777777" w:rsidR="00BB2D11" w:rsidRDefault="000704FB" w:rsidP="000704FB">
      <w:pPr>
        <w:rPr>
          <w:rFonts w:cs="Arial"/>
        </w:rPr>
      </w:pPr>
      <w:r w:rsidRPr="00DD4C71">
        <w:rPr>
          <w:rFonts w:cs="Arial"/>
        </w:rPr>
        <w:t xml:space="preserve">Employment increased in 4 of the 5 Skill Level groups over the year to May 2024 (Table </w:t>
      </w:r>
      <w:r>
        <w:rPr>
          <w:rFonts w:cs="Arial"/>
        </w:rPr>
        <w:t>5</w:t>
      </w:r>
      <w:r w:rsidRPr="00DD4C71">
        <w:rPr>
          <w:rFonts w:cs="Arial"/>
        </w:rPr>
        <w:t xml:space="preserve">). Skill Level 4 occupations (commensurate with a Certificate III or II) recorded the largest increase in employment over the year (up by 168,800 or 5.0%). Skill Level 1 occupations (commensurate with a </w:t>
      </w:r>
      <w:proofErr w:type="gramStart"/>
      <w:r w:rsidRPr="00DD4C71">
        <w:rPr>
          <w:rFonts w:cs="Arial"/>
        </w:rPr>
        <w:t>Bachelor Degree</w:t>
      </w:r>
      <w:proofErr w:type="gramEnd"/>
      <w:r w:rsidRPr="00DD4C71">
        <w:rPr>
          <w:rFonts w:cs="Arial"/>
        </w:rPr>
        <w:t xml:space="preserve"> or higher) recorded the second largest increase (up by 149,700 or 3.1%), followed by Skill Level 3 occupations (commensurate with a Certificate IV or III) (up by 50,200 or 2.4%) and Skill Level 2 occupations (commensurate with an Advanced Diploma or Diploma) (up by 48,200 or 2.8%). Skill Level 5 occupations (commensurate with a Certificate I or secondary education) recorded a decrease in employment over the past year (down by 18,600 or 0.9%).</w:t>
      </w:r>
      <w:r w:rsidR="00CE6AD3">
        <w:rPr>
          <w:rFonts w:cs="Arial"/>
        </w:rPr>
        <w:t xml:space="preserve"> </w:t>
      </w:r>
    </w:p>
    <w:p w14:paraId="60B16053" w14:textId="2A801B8F" w:rsidR="000704FB" w:rsidRDefault="00CE6AD3" w:rsidP="000704FB">
      <w:pPr>
        <w:rPr>
          <w:rFonts w:cs="Arial"/>
        </w:rPr>
      </w:pPr>
      <w:r>
        <w:rPr>
          <w:rFonts w:eastAsia="Arial" w:cs="Times New Roman"/>
        </w:rPr>
        <w:t>Net employment growth over the past year is fully attributable to Skill Level 1 to 4 occupations – that is, occupations typically associated with a post-secondary school qualification. More than half of this employment growth was in to Skill Level 2 to 4 occupations, which are typically associated with a Vocational Educational Training (VET) pathway.</w:t>
      </w:r>
    </w:p>
    <w:p w14:paraId="08B27731" w14:textId="77777777" w:rsidR="00184EF5" w:rsidRPr="00985E53" w:rsidRDefault="00184EF5" w:rsidP="00985E53">
      <w:pPr>
        <w:ind w:left="357"/>
        <w:rPr>
          <w:rFonts w:cs="Arial"/>
        </w:rPr>
      </w:pPr>
    </w:p>
    <w:p w14:paraId="6D8CA466" w14:textId="0C9B8B0A" w:rsidR="007502C1" w:rsidRPr="00DD4C71" w:rsidRDefault="007502C1" w:rsidP="007502C1">
      <w:pPr>
        <w:pStyle w:val="ChartandTablelabel"/>
        <w:rPr>
          <w:lang w:val="en-AU"/>
        </w:rPr>
      </w:pPr>
      <w:r w:rsidRPr="00DD4C71">
        <w:rPr>
          <w:lang w:val="en-AU"/>
        </w:rPr>
        <w:t xml:space="preserve">Table </w:t>
      </w:r>
      <w:r w:rsidR="00904B4B">
        <w:rPr>
          <w:lang w:val="en-AU"/>
        </w:rPr>
        <w:t>4</w:t>
      </w:r>
      <w:r w:rsidRPr="00DD4C71">
        <w:rPr>
          <w:lang w:val="en-AU"/>
        </w:rPr>
        <w:t>: Employment by major occupation group</w:t>
      </w:r>
      <w:r w:rsidRPr="00DD4C71">
        <w:rPr>
          <w:vertAlign w:val="superscript"/>
          <w:lang w:val="en-AU"/>
        </w:rPr>
        <w:footnoteReference w:id="3"/>
      </w:r>
    </w:p>
    <w:tbl>
      <w:tblPr>
        <w:tblW w:w="9356" w:type="dxa"/>
        <w:tblLayout w:type="fixed"/>
        <w:tblLook w:val="04A0" w:firstRow="1" w:lastRow="0" w:firstColumn="1" w:lastColumn="0" w:noHBand="0" w:noVBand="1"/>
      </w:tblPr>
      <w:tblGrid>
        <w:gridCol w:w="2694"/>
        <w:gridCol w:w="1275"/>
        <w:gridCol w:w="1276"/>
        <w:gridCol w:w="992"/>
        <w:gridCol w:w="993"/>
        <w:gridCol w:w="1134"/>
        <w:gridCol w:w="992"/>
      </w:tblGrid>
      <w:tr w:rsidR="007502C1" w:rsidRPr="00DD4C71" w14:paraId="073EB7AE" w14:textId="77777777" w:rsidTr="009E791A">
        <w:trPr>
          <w:trHeight w:val="340"/>
        </w:trPr>
        <w:tc>
          <w:tcPr>
            <w:tcW w:w="2694" w:type="dxa"/>
            <w:vMerge w:val="restart"/>
            <w:shd w:val="clear" w:color="auto" w:fill="012749"/>
            <w:vAlign w:val="center"/>
          </w:tcPr>
          <w:p w14:paraId="478BCE0C" w14:textId="77777777" w:rsidR="007502C1" w:rsidRPr="00DD4C71" w:rsidRDefault="007502C1" w:rsidP="009E791A">
            <w:pPr>
              <w:tabs>
                <w:tab w:val="left" w:pos="567"/>
              </w:tabs>
              <w:spacing w:after="0" w:line="240" w:lineRule="auto"/>
              <w:rPr>
                <w:rFonts w:eastAsia="Times New Roman" w:cs="Arial"/>
                <w:color w:val="FFFFFF"/>
                <w:sz w:val="20"/>
                <w:szCs w:val="20"/>
                <w:lang w:eastAsia="en-AU"/>
              </w:rPr>
            </w:pPr>
            <w:r w:rsidRPr="00DD4C71">
              <w:rPr>
                <w:rFonts w:eastAsia="Times New Roman" w:cs="Arial"/>
                <w:color w:val="FFFFFF"/>
                <w:sz w:val="20"/>
                <w:szCs w:val="20"/>
                <w:lang w:eastAsia="en-AU"/>
              </w:rPr>
              <w:t>Occupation</w:t>
            </w:r>
          </w:p>
        </w:tc>
        <w:tc>
          <w:tcPr>
            <w:tcW w:w="2551" w:type="dxa"/>
            <w:gridSpan w:val="2"/>
            <w:tcBorders>
              <w:bottom w:val="single" w:sz="4" w:space="0" w:color="FFFFFF" w:themeColor="background1"/>
            </w:tcBorders>
            <w:shd w:val="clear" w:color="auto" w:fill="012749"/>
            <w:vAlign w:val="center"/>
          </w:tcPr>
          <w:p w14:paraId="596C78E6" w14:textId="77777777" w:rsidR="007502C1" w:rsidRPr="00DD4C71" w:rsidRDefault="007502C1" w:rsidP="009E791A">
            <w:pPr>
              <w:spacing w:after="0" w:line="240" w:lineRule="auto"/>
              <w:jc w:val="center"/>
              <w:rPr>
                <w:rFonts w:eastAsia="Times New Roman" w:cs="Arial"/>
                <w:color w:val="FFFFFF"/>
                <w:sz w:val="20"/>
                <w:szCs w:val="20"/>
              </w:rPr>
            </w:pPr>
            <w:r w:rsidRPr="00DD4C71">
              <w:rPr>
                <w:rFonts w:eastAsia="Times New Roman" w:cs="Arial"/>
                <w:color w:val="FFFFFF"/>
                <w:sz w:val="20"/>
                <w:szCs w:val="20"/>
              </w:rPr>
              <w:t>Employment</w:t>
            </w:r>
          </w:p>
        </w:tc>
        <w:tc>
          <w:tcPr>
            <w:tcW w:w="1985" w:type="dxa"/>
            <w:gridSpan w:val="2"/>
            <w:vMerge w:val="restart"/>
            <w:shd w:val="clear" w:color="auto" w:fill="012749"/>
            <w:vAlign w:val="center"/>
          </w:tcPr>
          <w:p w14:paraId="316707E4" w14:textId="77777777" w:rsidR="007502C1" w:rsidRPr="00DD4C71" w:rsidRDefault="007502C1" w:rsidP="009E791A">
            <w:pPr>
              <w:spacing w:after="0" w:line="240" w:lineRule="auto"/>
              <w:jc w:val="center"/>
              <w:rPr>
                <w:rFonts w:eastAsia="Times New Roman" w:cs="Arial"/>
                <w:color w:val="FFFFFF"/>
                <w:sz w:val="20"/>
                <w:szCs w:val="20"/>
                <w:lang w:eastAsia="en-AU"/>
              </w:rPr>
            </w:pPr>
            <w:r w:rsidRPr="00DD4C71">
              <w:rPr>
                <w:rFonts w:eastAsia="Times New Roman" w:cs="Arial"/>
                <w:color w:val="FFFFFF"/>
                <w:sz w:val="20"/>
                <w:szCs w:val="20"/>
                <w:lang w:eastAsia="en-AU"/>
              </w:rPr>
              <w:t>Annual change to May-24</w:t>
            </w:r>
          </w:p>
        </w:tc>
        <w:tc>
          <w:tcPr>
            <w:tcW w:w="2126" w:type="dxa"/>
            <w:gridSpan w:val="2"/>
            <w:vMerge w:val="restart"/>
            <w:shd w:val="clear" w:color="auto" w:fill="012749"/>
            <w:vAlign w:val="center"/>
          </w:tcPr>
          <w:p w14:paraId="58A684BA" w14:textId="77777777" w:rsidR="007502C1" w:rsidRPr="00DD4C71" w:rsidRDefault="007502C1" w:rsidP="009E791A">
            <w:pPr>
              <w:spacing w:after="0" w:line="240" w:lineRule="auto"/>
              <w:jc w:val="center"/>
              <w:rPr>
                <w:rFonts w:eastAsia="Times New Roman" w:cs="Arial"/>
                <w:color w:val="FFFFFF"/>
                <w:sz w:val="20"/>
                <w:szCs w:val="20"/>
                <w:lang w:eastAsia="en-AU"/>
              </w:rPr>
            </w:pPr>
            <w:r w:rsidRPr="00DD4C71">
              <w:rPr>
                <w:rFonts w:eastAsia="Times New Roman" w:cs="Arial"/>
                <w:color w:val="FFFFFF"/>
                <w:sz w:val="20"/>
                <w:szCs w:val="20"/>
                <w:lang w:eastAsia="en-AU"/>
              </w:rPr>
              <w:t>5-year change to May-24</w:t>
            </w:r>
          </w:p>
        </w:tc>
      </w:tr>
      <w:tr w:rsidR="007502C1" w:rsidRPr="00DD4C71" w14:paraId="6F7F1CA8" w14:textId="77777777" w:rsidTr="009E791A">
        <w:trPr>
          <w:trHeight w:val="340"/>
        </w:trPr>
        <w:tc>
          <w:tcPr>
            <w:tcW w:w="2694" w:type="dxa"/>
            <w:vMerge/>
            <w:shd w:val="clear" w:color="auto" w:fill="012749"/>
            <w:vAlign w:val="center"/>
            <w:hideMark/>
          </w:tcPr>
          <w:p w14:paraId="0C19351A" w14:textId="77777777" w:rsidR="007502C1" w:rsidRPr="00DD4C71" w:rsidRDefault="007502C1" w:rsidP="009E791A">
            <w:pPr>
              <w:tabs>
                <w:tab w:val="left" w:pos="567"/>
              </w:tabs>
              <w:spacing w:after="0" w:line="240" w:lineRule="auto"/>
              <w:rPr>
                <w:rFonts w:eastAsia="Times New Roman" w:cs="Arial"/>
                <w:color w:val="FFFFFF"/>
                <w:sz w:val="20"/>
                <w:szCs w:val="20"/>
                <w:lang w:eastAsia="en-AU"/>
              </w:rPr>
            </w:pPr>
          </w:p>
        </w:tc>
        <w:tc>
          <w:tcPr>
            <w:tcW w:w="1275" w:type="dxa"/>
            <w:tcBorders>
              <w:top w:val="single" w:sz="4" w:space="0" w:color="FFFFFF" w:themeColor="background1"/>
            </w:tcBorders>
            <w:shd w:val="clear" w:color="auto" w:fill="012749"/>
            <w:vAlign w:val="center"/>
            <w:hideMark/>
          </w:tcPr>
          <w:p w14:paraId="3E16E456" w14:textId="77777777" w:rsidR="007502C1" w:rsidRPr="00DD4C71" w:rsidRDefault="007502C1" w:rsidP="009E791A">
            <w:pPr>
              <w:spacing w:after="0" w:line="240" w:lineRule="auto"/>
              <w:jc w:val="center"/>
              <w:rPr>
                <w:rFonts w:eastAsia="Times New Roman" w:cs="Arial"/>
                <w:color w:val="FFFFFF"/>
                <w:sz w:val="20"/>
                <w:szCs w:val="20"/>
                <w:lang w:eastAsia="en-AU"/>
              </w:rPr>
            </w:pPr>
            <w:r w:rsidRPr="00DD4C71">
              <w:rPr>
                <w:rFonts w:eastAsia="Times New Roman" w:cs="Arial"/>
                <w:color w:val="FFFFFF"/>
                <w:sz w:val="20"/>
                <w:szCs w:val="20"/>
              </w:rPr>
              <w:t>May-24</w:t>
            </w:r>
          </w:p>
        </w:tc>
        <w:tc>
          <w:tcPr>
            <w:tcW w:w="1276" w:type="dxa"/>
            <w:tcBorders>
              <w:top w:val="single" w:sz="4" w:space="0" w:color="FFFFFF" w:themeColor="background1"/>
            </w:tcBorders>
            <w:shd w:val="clear" w:color="auto" w:fill="012749"/>
            <w:vAlign w:val="center"/>
            <w:hideMark/>
          </w:tcPr>
          <w:p w14:paraId="0F42926F" w14:textId="77777777" w:rsidR="007502C1" w:rsidRPr="00DD4C71" w:rsidRDefault="007502C1" w:rsidP="009E791A">
            <w:pPr>
              <w:spacing w:after="0" w:line="240" w:lineRule="auto"/>
              <w:jc w:val="center"/>
              <w:rPr>
                <w:rFonts w:ascii="Calibri" w:eastAsia="Times New Roman" w:hAnsi="Calibri" w:cs="Calibri"/>
                <w:color w:val="FFFFFF"/>
                <w:sz w:val="20"/>
                <w:szCs w:val="20"/>
                <w:lang w:eastAsia="en-AU"/>
              </w:rPr>
            </w:pPr>
            <w:r w:rsidRPr="00DD4C71">
              <w:rPr>
                <w:rFonts w:eastAsia="Times New Roman" w:cs="Arial"/>
                <w:color w:val="FFFFFF"/>
                <w:sz w:val="20"/>
                <w:szCs w:val="20"/>
              </w:rPr>
              <w:t>May-23</w:t>
            </w:r>
          </w:p>
        </w:tc>
        <w:tc>
          <w:tcPr>
            <w:tcW w:w="1985" w:type="dxa"/>
            <w:gridSpan w:val="2"/>
            <w:vMerge/>
            <w:shd w:val="clear" w:color="auto" w:fill="012749"/>
            <w:vAlign w:val="center"/>
            <w:hideMark/>
          </w:tcPr>
          <w:p w14:paraId="07F861FA" w14:textId="77777777" w:rsidR="007502C1" w:rsidRPr="00DD4C71" w:rsidRDefault="007502C1" w:rsidP="009E791A">
            <w:pPr>
              <w:spacing w:after="0" w:line="240" w:lineRule="auto"/>
              <w:jc w:val="center"/>
              <w:rPr>
                <w:rFonts w:eastAsia="Times New Roman" w:cs="Arial"/>
                <w:color w:val="FFFFFF"/>
                <w:sz w:val="20"/>
                <w:szCs w:val="20"/>
                <w:lang w:eastAsia="en-AU"/>
              </w:rPr>
            </w:pPr>
          </w:p>
        </w:tc>
        <w:tc>
          <w:tcPr>
            <w:tcW w:w="2126" w:type="dxa"/>
            <w:gridSpan w:val="2"/>
            <w:vMerge/>
            <w:shd w:val="clear" w:color="auto" w:fill="012749"/>
            <w:vAlign w:val="center"/>
            <w:hideMark/>
          </w:tcPr>
          <w:p w14:paraId="5ED36964" w14:textId="77777777" w:rsidR="007502C1" w:rsidRPr="00DD4C71" w:rsidRDefault="007502C1" w:rsidP="009E791A">
            <w:pPr>
              <w:spacing w:after="0" w:line="240" w:lineRule="auto"/>
              <w:jc w:val="center"/>
              <w:rPr>
                <w:rFonts w:eastAsia="Times New Roman" w:cs="Arial"/>
                <w:color w:val="FFFFFF"/>
                <w:sz w:val="20"/>
                <w:szCs w:val="20"/>
                <w:lang w:eastAsia="en-AU"/>
              </w:rPr>
            </w:pPr>
          </w:p>
        </w:tc>
      </w:tr>
      <w:tr w:rsidR="007502C1" w:rsidRPr="00DD4C71" w14:paraId="43E74197" w14:textId="77777777" w:rsidTr="009E791A">
        <w:trPr>
          <w:trHeight w:val="340"/>
        </w:trPr>
        <w:tc>
          <w:tcPr>
            <w:tcW w:w="2694" w:type="dxa"/>
            <w:vMerge/>
            <w:shd w:val="clear" w:color="auto" w:fill="012749"/>
            <w:vAlign w:val="center"/>
          </w:tcPr>
          <w:p w14:paraId="7A7B587B" w14:textId="77777777" w:rsidR="007502C1" w:rsidRPr="00DD4C71" w:rsidRDefault="007502C1" w:rsidP="009E791A">
            <w:pPr>
              <w:tabs>
                <w:tab w:val="left" w:pos="567"/>
              </w:tabs>
              <w:spacing w:after="0" w:line="240" w:lineRule="auto"/>
              <w:rPr>
                <w:rFonts w:eastAsia="Times New Roman" w:cs="Arial"/>
                <w:color w:val="FFFFFF"/>
                <w:sz w:val="20"/>
                <w:szCs w:val="20"/>
                <w:lang w:eastAsia="en-AU"/>
              </w:rPr>
            </w:pPr>
          </w:p>
        </w:tc>
        <w:tc>
          <w:tcPr>
            <w:tcW w:w="1275" w:type="dxa"/>
            <w:shd w:val="clear" w:color="auto" w:fill="012749"/>
            <w:vAlign w:val="center"/>
          </w:tcPr>
          <w:p w14:paraId="68FE65D6" w14:textId="77777777" w:rsidR="007502C1" w:rsidRPr="00DD4C71" w:rsidRDefault="007502C1" w:rsidP="009E791A">
            <w:pPr>
              <w:spacing w:after="0" w:line="240" w:lineRule="auto"/>
              <w:jc w:val="center"/>
              <w:rPr>
                <w:rFonts w:eastAsia="Times New Roman" w:cs="Arial"/>
                <w:color w:val="FFFFFF"/>
                <w:sz w:val="20"/>
                <w:szCs w:val="20"/>
              </w:rPr>
            </w:pPr>
            <w:r w:rsidRPr="00DD4C71">
              <w:rPr>
                <w:rFonts w:eastAsia="Times New Roman" w:cs="Arial"/>
                <w:color w:val="FFFFFF"/>
                <w:sz w:val="20"/>
                <w:szCs w:val="20"/>
              </w:rPr>
              <w:t>(‘000)</w:t>
            </w:r>
          </w:p>
        </w:tc>
        <w:tc>
          <w:tcPr>
            <w:tcW w:w="1276" w:type="dxa"/>
            <w:shd w:val="clear" w:color="auto" w:fill="012749"/>
            <w:vAlign w:val="center"/>
          </w:tcPr>
          <w:p w14:paraId="0295A607" w14:textId="77777777" w:rsidR="007502C1" w:rsidRPr="00DD4C71" w:rsidRDefault="007502C1" w:rsidP="009E791A">
            <w:pPr>
              <w:spacing w:after="0" w:line="240" w:lineRule="auto"/>
              <w:jc w:val="center"/>
              <w:rPr>
                <w:rFonts w:eastAsia="Times New Roman" w:cs="Arial"/>
                <w:color w:val="FFFFFF"/>
                <w:sz w:val="20"/>
                <w:szCs w:val="20"/>
              </w:rPr>
            </w:pPr>
            <w:r w:rsidRPr="00DD4C71">
              <w:rPr>
                <w:rFonts w:eastAsia="Times New Roman" w:cs="Arial"/>
                <w:color w:val="FFFFFF"/>
                <w:sz w:val="20"/>
                <w:szCs w:val="20"/>
              </w:rPr>
              <w:t>(‘000)</w:t>
            </w:r>
          </w:p>
        </w:tc>
        <w:tc>
          <w:tcPr>
            <w:tcW w:w="992" w:type="dxa"/>
            <w:shd w:val="clear" w:color="auto" w:fill="012749"/>
            <w:vAlign w:val="center"/>
          </w:tcPr>
          <w:p w14:paraId="420F0182" w14:textId="77777777" w:rsidR="007502C1" w:rsidRPr="00DD4C71" w:rsidRDefault="007502C1" w:rsidP="009E791A">
            <w:pPr>
              <w:spacing w:after="0" w:line="240" w:lineRule="auto"/>
              <w:jc w:val="center"/>
              <w:rPr>
                <w:rFonts w:eastAsia="Times New Roman" w:cs="Arial"/>
                <w:color w:val="FFFFFF"/>
                <w:sz w:val="20"/>
                <w:szCs w:val="20"/>
                <w:lang w:eastAsia="en-AU"/>
              </w:rPr>
            </w:pPr>
            <w:r w:rsidRPr="00DD4C71">
              <w:rPr>
                <w:rFonts w:eastAsia="Times New Roman" w:cs="Arial"/>
                <w:color w:val="FFFFFF"/>
                <w:sz w:val="20"/>
                <w:szCs w:val="20"/>
                <w:lang w:eastAsia="en-AU"/>
              </w:rPr>
              <w:t>(‘000)</w:t>
            </w:r>
          </w:p>
        </w:tc>
        <w:tc>
          <w:tcPr>
            <w:tcW w:w="993" w:type="dxa"/>
            <w:shd w:val="clear" w:color="auto" w:fill="012749"/>
            <w:vAlign w:val="center"/>
          </w:tcPr>
          <w:p w14:paraId="54B99D16" w14:textId="77777777" w:rsidR="007502C1" w:rsidRPr="00DD4C71" w:rsidRDefault="007502C1" w:rsidP="009E791A">
            <w:pPr>
              <w:spacing w:after="0" w:line="240" w:lineRule="auto"/>
              <w:jc w:val="center"/>
              <w:rPr>
                <w:rFonts w:eastAsia="Times New Roman" w:cs="Arial"/>
                <w:color w:val="FFFFFF"/>
                <w:sz w:val="20"/>
                <w:szCs w:val="20"/>
                <w:lang w:eastAsia="en-AU"/>
              </w:rPr>
            </w:pPr>
            <w:r w:rsidRPr="00DD4C71">
              <w:rPr>
                <w:rFonts w:eastAsia="Times New Roman" w:cs="Arial"/>
                <w:color w:val="FFFFFF"/>
                <w:sz w:val="20"/>
                <w:szCs w:val="20"/>
                <w:lang w:eastAsia="en-AU"/>
              </w:rPr>
              <w:t>(%)</w:t>
            </w:r>
          </w:p>
        </w:tc>
        <w:tc>
          <w:tcPr>
            <w:tcW w:w="1134" w:type="dxa"/>
            <w:shd w:val="clear" w:color="auto" w:fill="012749"/>
            <w:vAlign w:val="center"/>
          </w:tcPr>
          <w:p w14:paraId="6FCC430F" w14:textId="77777777" w:rsidR="007502C1" w:rsidRPr="00DD4C71" w:rsidRDefault="007502C1" w:rsidP="009E791A">
            <w:pPr>
              <w:spacing w:after="0" w:line="240" w:lineRule="auto"/>
              <w:jc w:val="center"/>
              <w:rPr>
                <w:rFonts w:eastAsia="Times New Roman" w:cs="Arial"/>
                <w:color w:val="FFFFFF"/>
                <w:sz w:val="20"/>
                <w:szCs w:val="20"/>
                <w:lang w:eastAsia="en-AU"/>
              </w:rPr>
            </w:pPr>
            <w:r w:rsidRPr="00DD4C71">
              <w:rPr>
                <w:rFonts w:eastAsia="Times New Roman" w:cs="Arial"/>
                <w:color w:val="FFFFFF"/>
                <w:sz w:val="20"/>
                <w:szCs w:val="20"/>
                <w:lang w:eastAsia="en-AU"/>
              </w:rPr>
              <w:t>(‘000)</w:t>
            </w:r>
          </w:p>
        </w:tc>
        <w:tc>
          <w:tcPr>
            <w:tcW w:w="992" w:type="dxa"/>
            <w:shd w:val="clear" w:color="auto" w:fill="012749"/>
            <w:vAlign w:val="center"/>
          </w:tcPr>
          <w:p w14:paraId="0A359023" w14:textId="77777777" w:rsidR="007502C1" w:rsidRPr="00DD4C71" w:rsidRDefault="007502C1" w:rsidP="009E791A">
            <w:pPr>
              <w:spacing w:after="0" w:line="240" w:lineRule="auto"/>
              <w:jc w:val="center"/>
              <w:rPr>
                <w:rFonts w:eastAsia="Times New Roman" w:cs="Arial"/>
                <w:color w:val="FFFFFF"/>
                <w:sz w:val="20"/>
                <w:szCs w:val="20"/>
                <w:lang w:eastAsia="en-AU"/>
              </w:rPr>
            </w:pPr>
            <w:r w:rsidRPr="00DD4C71">
              <w:rPr>
                <w:rFonts w:eastAsia="Times New Roman" w:cs="Arial"/>
                <w:color w:val="FFFFFF"/>
                <w:sz w:val="20"/>
                <w:szCs w:val="20"/>
                <w:lang w:eastAsia="en-AU"/>
              </w:rPr>
              <w:t>(%)</w:t>
            </w:r>
          </w:p>
        </w:tc>
      </w:tr>
      <w:tr w:rsidR="007502C1" w:rsidRPr="00DD4C71" w14:paraId="71768EDB" w14:textId="77777777" w:rsidTr="009E791A">
        <w:trPr>
          <w:trHeight w:val="278"/>
        </w:trPr>
        <w:tc>
          <w:tcPr>
            <w:tcW w:w="2694" w:type="dxa"/>
            <w:tcBorders>
              <w:top w:val="nil"/>
              <w:left w:val="nil"/>
              <w:bottom w:val="nil"/>
              <w:right w:val="nil"/>
            </w:tcBorders>
            <w:shd w:val="clear" w:color="auto" w:fill="FFFFFF" w:themeFill="background1"/>
            <w:noWrap/>
            <w:vAlign w:val="center"/>
            <w:hideMark/>
          </w:tcPr>
          <w:p w14:paraId="19CC2483" w14:textId="77777777" w:rsidR="007502C1" w:rsidRPr="00DD4C71" w:rsidRDefault="007502C1" w:rsidP="009E791A">
            <w:pPr>
              <w:spacing w:after="0" w:line="240" w:lineRule="auto"/>
              <w:rPr>
                <w:rFonts w:asciiTheme="majorHAnsi" w:eastAsia="Times New Roman" w:hAnsiTheme="majorHAnsi" w:cstheme="majorHAnsi"/>
                <w:color w:val="000000"/>
                <w:sz w:val="20"/>
                <w:szCs w:val="20"/>
                <w:lang w:eastAsia="en-AU"/>
              </w:rPr>
            </w:pPr>
            <w:r w:rsidRPr="00DD4C71">
              <w:rPr>
                <w:rFonts w:asciiTheme="majorHAnsi" w:hAnsiTheme="majorHAnsi" w:cstheme="majorHAnsi"/>
                <w:color w:val="000000"/>
                <w:sz w:val="20"/>
                <w:szCs w:val="20"/>
              </w:rPr>
              <w:t>Managers</w:t>
            </w:r>
          </w:p>
        </w:tc>
        <w:tc>
          <w:tcPr>
            <w:tcW w:w="1275" w:type="dxa"/>
            <w:tcBorders>
              <w:top w:val="nil"/>
              <w:left w:val="nil"/>
              <w:bottom w:val="nil"/>
              <w:right w:val="nil"/>
            </w:tcBorders>
            <w:shd w:val="clear" w:color="auto" w:fill="FFFFFF" w:themeFill="background1"/>
            <w:noWrap/>
            <w:vAlign w:val="center"/>
            <w:hideMark/>
          </w:tcPr>
          <w:p w14:paraId="47A16339" w14:textId="77777777" w:rsidR="007502C1" w:rsidRPr="00DD4C71" w:rsidRDefault="007502C1" w:rsidP="009E791A">
            <w:pPr>
              <w:spacing w:after="0" w:line="240" w:lineRule="auto"/>
              <w:jc w:val="center"/>
              <w:rPr>
                <w:rFonts w:asciiTheme="majorHAnsi" w:eastAsia="Times New Roman" w:hAnsiTheme="majorHAnsi" w:cstheme="majorHAnsi"/>
                <w:sz w:val="20"/>
                <w:szCs w:val="20"/>
              </w:rPr>
            </w:pPr>
            <w:r w:rsidRPr="00DD4C71">
              <w:rPr>
                <w:rFonts w:asciiTheme="majorHAnsi" w:hAnsiTheme="majorHAnsi" w:cstheme="majorHAnsi"/>
                <w:sz w:val="20"/>
                <w:szCs w:val="20"/>
              </w:rPr>
              <w:t>1,861.3</w:t>
            </w:r>
          </w:p>
        </w:tc>
        <w:tc>
          <w:tcPr>
            <w:tcW w:w="1276" w:type="dxa"/>
            <w:tcBorders>
              <w:top w:val="nil"/>
              <w:left w:val="nil"/>
              <w:bottom w:val="nil"/>
              <w:right w:val="nil"/>
            </w:tcBorders>
            <w:shd w:val="clear" w:color="auto" w:fill="FFFFFF" w:themeFill="background1"/>
            <w:noWrap/>
            <w:vAlign w:val="center"/>
            <w:hideMark/>
          </w:tcPr>
          <w:p w14:paraId="15684CF0" w14:textId="77777777" w:rsidR="007502C1" w:rsidRPr="00DD4C71" w:rsidRDefault="007502C1" w:rsidP="009E791A">
            <w:pPr>
              <w:spacing w:after="0" w:line="240" w:lineRule="auto"/>
              <w:jc w:val="center"/>
              <w:rPr>
                <w:rFonts w:asciiTheme="majorHAnsi" w:eastAsia="Times New Roman" w:hAnsiTheme="majorHAnsi" w:cstheme="majorHAnsi"/>
                <w:sz w:val="20"/>
                <w:szCs w:val="20"/>
              </w:rPr>
            </w:pPr>
            <w:r w:rsidRPr="00DD4C71">
              <w:rPr>
                <w:rFonts w:asciiTheme="majorHAnsi" w:hAnsiTheme="majorHAnsi" w:cstheme="majorHAnsi"/>
                <w:sz w:val="20"/>
                <w:szCs w:val="20"/>
              </w:rPr>
              <w:t>1,826.5</w:t>
            </w:r>
          </w:p>
        </w:tc>
        <w:tc>
          <w:tcPr>
            <w:tcW w:w="992" w:type="dxa"/>
            <w:tcBorders>
              <w:top w:val="nil"/>
              <w:left w:val="nil"/>
              <w:bottom w:val="nil"/>
              <w:right w:val="nil"/>
            </w:tcBorders>
            <w:shd w:val="clear" w:color="auto" w:fill="FFFFFF" w:themeFill="background1"/>
            <w:noWrap/>
            <w:vAlign w:val="center"/>
            <w:hideMark/>
          </w:tcPr>
          <w:p w14:paraId="5D5C54C0" w14:textId="77777777" w:rsidR="007502C1" w:rsidRPr="00DD4C71" w:rsidRDefault="007502C1" w:rsidP="009E791A">
            <w:pPr>
              <w:spacing w:after="0" w:line="240" w:lineRule="auto"/>
              <w:jc w:val="center"/>
              <w:rPr>
                <w:rFonts w:asciiTheme="majorHAnsi" w:eastAsia="Times New Roman" w:hAnsiTheme="majorHAnsi" w:cstheme="majorHAnsi"/>
                <w:sz w:val="20"/>
                <w:szCs w:val="20"/>
              </w:rPr>
            </w:pPr>
            <w:r w:rsidRPr="00DD4C71">
              <w:rPr>
                <w:rFonts w:asciiTheme="majorHAnsi" w:hAnsiTheme="majorHAnsi" w:cstheme="majorHAnsi"/>
                <w:sz w:val="20"/>
                <w:szCs w:val="20"/>
              </w:rPr>
              <w:t>34.8</w:t>
            </w:r>
          </w:p>
        </w:tc>
        <w:tc>
          <w:tcPr>
            <w:tcW w:w="993" w:type="dxa"/>
            <w:tcBorders>
              <w:top w:val="nil"/>
              <w:left w:val="nil"/>
              <w:bottom w:val="nil"/>
              <w:right w:val="nil"/>
            </w:tcBorders>
            <w:shd w:val="clear" w:color="auto" w:fill="FFFFFF" w:themeFill="background1"/>
            <w:noWrap/>
            <w:vAlign w:val="center"/>
            <w:hideMark/>
          </w:tcPr>
          <w:p w14:paraId="3A2C211E" w14:textId="77777777" w:rsidR="007502C1" w:rsidRPr="00DD4C71" w:rsidRDefault="007502C1" w:rsidP="009E791A">
            <w:pPr>
              <w:spacing w:after="0" w:line="240" w:lineRule="auto"/>
              <w:jc w:val="center"/>
              <w:rPr>
                <w:rFonts w:asciiTheme="majorHAnsi" w:eastAsia="Times New Roman" w:hAnsiTheme="majorHAnsi" w:cstheme="majorHAnsi"/>
                <w:sz w:val="20"/>
                <w:szCs w:val="20"/>
              </w:rPr>
            </w:pPr>
            <w:r w:rsidRPr="00DD4C71">
              <w:rPr>
                <w:rFonts w:asciiTheme="majorHAnsi" w:hAnsiTheme="majorHAnsi" w:cstheme="majorHAnsi"/>
                <w:sz w:val="20"/>
                <w:szCs w:val="20"/>
              </w:rPr>
              <w:t>1.9</w:t>
            </w:r>
          </w:p>
        </w:tc>
        <w:tc>
          <w:tcPr>
            <w:tcW w:w="1134" w:type="dxa"/>
            <w:tcBorders>
              <w:top w:val="nil"/>
              <w:left w:val="nil"/>
              <w:bottom w:val="nil"/>
              <w:right w:val="nil"/>
            </w:tcBorders>
            <w:shd w:val="clear" w:color="auto" w:fill="FFFFFF" w:themeFill="background1"/>
            <w:noWrap/>
            <w:vAlign w:val="center"/>
            <w:hideMark/>
          </w:tcPr>
          <w:p w14:paraId="49FF4DCB" w14:textId="77777777" w:rsidR="007502C1" w:rsidRPr="00DD4C71" w:rsidRDefault="007502C1" w:rsidP="009E791A">
            <w:pPr>
              <w:spacing w:after="0" w:line="240" w:lineRule="auto"/>
              <w:jc w:val="center"/>
              <w:rPr>
                <w:rFonts w:asciiTheme="majorHAnsi" w:eastAsia="Times New Roman" w:hAnsiTheme="majorHAnsi" w:cstheme="majorHAnsi"/>
                <w:sz w:val="20"/>
                <w:szCs w:val="20"/>
              </w:rPr>
            </w:pPr>
            <w:r w:rsidRPr="00DD4C71">
              <w:rPr>
                <w:rFonts w:asciiTheme="majorHAnsi" w:hAnsiTheme="majorHAnsi" w:cstheme="majorHAnsi"/>
                <w:sz w:val="20"/>
                <w:szCs w:val="20"/>
              </w:rPr>
              <w:t>330.9</w:t>
            </w:r>
          </w:p>
        </w:tc>
        <w:tc>
          <w:tcPr>
            <w:tcW w:w="992" w:type="dxa"/>
            <w:tcBorders>
              <w:top w:val="nil"/>
              <w:left w:val="nil"/>
              <w:bottom w:val="nil"/>
              <w:right w:val="nil"/>
            </w:tcBorders>
            <w:shd w:val="clear" w:color="auto" w:fill="FFFFFF" w:themeFill="background1"/>
            <w:noWrap/>
            <w:vAlign w:val="center"/>
            <w:hideMark/>
          </w:tcPr>
          <w:p w14:paraId="6258530A" w14:textId="77777777" w:rsidR="007502C1" w:rsidRPr="00DD4C71" w:rsidRDefault="007502C1" w:rsidP="009E791A">
            <w:pPr>
              <w:spacing w:after="0" w:line="240" w:lineRule="auto"/>
              <w:jc w:val="center"/>
              <w:rPr>
                <w:rFonts w:asciiTheme="majorHAnsi" w:eastAsia="Times New Roman" w:hAnsiTheme="majorHAnsi" w:cstheme="majorHAnsi"/>
                <w:sz w:val="20"/>
                <w:szCs w:val="20"/>
              </w:rPr>
            </w:pPr>
            <w:r w:rsidRPr="00DD4C71">
              <w:rPr>
                <w:rFonts w:asciiTheme="majorHAnsi" w:hAnsiTheme="majorHAnsi" w:cstheme="majorHAnsi"/>
                <w:sz w:val="20"/>
                <w:szCs w:val="20"/>
              </w:rPr>
              <w:t>21.6</w:t>
            </w:r>
          </w:p>
        </w:tc>
      </w:tr>
      <w:tr w:rsidR="007502C1" w:rsidRPr="00DD4C71" w14:paraId="1B44C4EC" w14:textId="77777777" w:rsidTr="009E791A">
        <w:trPr>
          <w:trHeight w:val="278"/>
        </w:trPr>
        <w:tc>
          <w:tcPr>
            <w:tcW w:w="2694" w:type="dxa"/>
            <w:tcBorders>
              <w:top w:val="nil"/>
              <w:left w:val="nil"/>
              <w:bottom w:val="nil"/>
              <w:right w:val="nil"/>
            </w:tcBorders>
            <w:shd w:val="clear" w:color="auto" w:fill="D9D9D9" w:themeFill="background1" w:themeFillShade="D9"/>
            <w:noWrap/>
            <w:vAlign w:val="center"/>
            <w:hideMark/>
          </w:tcPr>
          <w:p w14:paraId="6C535ACC" w14:textId="77777777" w:rsidR="007502C1" w:rsidRPr="00DD4C71" w:rsidRDefault="007502C1" w:rsidP="009E791A">
            <w:pPr>
              <w:spacing w:after="0" w:line="240" w:lineRule="auto"/>
              <w:rPr>
                <w:rFonts w:asciiTheme="majorHAnsi" w:eastAsia="Times New Roman" w:hAnsiTheme="majorHAnsi" w:cstheme="majorHAnsi"/>
                <w:color w:val="000000"/>
                <w:sz w:val="20"/>
                <w:szCs w:val="20"/>
                <w:lang w:eastAsia="en-AU"/>
              </w:rPr>
            </w:pPr>
            <w:r w:rsidRPr="00DD4C71">
              <w:rPr>
                <w:rFonts w:asciiTheme="majorHAnsi" w:hAnsiTheme="majorHAnsi" w:cstheme="majorHAnsi"/>
                <w:color w:val="000000"/>
                <w:sz w:val="20"/>
                <w:szCs w:val="20"/>
              </w:rPr>
              <w:t>Professionals</w:t>
            </w:r>
          </w:p>
        </w:tc>
        <w:tc>
          <w:tcPr>
            <w:tcW w:w="1275" w:type="dxa"/>
            <w:tcBorders>
              <w:top w:val="nil"/>
              <w:left w:val="nil"/>
              <w:bottom w:val="nil"/>
              <w:right w:val="nil"/>
            </w:tcBorders>
            <w:shd w:val="clear" w:color="auto" w:fill="D9D9D9" w:themeFill="background1" w:themeFillShade="D9"/>
            <w:noWrap/>
            <w:vAlign w:val="center"/>
            <w:hideMark/>
          </w:tcPr>
          <w:p w14:paraId="54CF2C09" w14:textId="77777777" w:rsidR="007502C1" w:rsidRPr="00DD4C71" w:rsidRDefault="007502C1" w:rsidP="009E791A">
            <w:pPr>
              <w:spacing w:after="0" w:line="240" w:lineRule="auto"/>
              <w:jc w:val="center"/>
              <w:rPr>
                <w:rFonts w:asciiTheme="majorHAnsi" w:eastAsia="Times New Roman" w:hAnsiTheme="majorHAnsi" w:cstheme="majorHAnsi"/>
                <w:sz w:val="20"/>
                <w:szCs w:val="20"/>
              </w:rPr>
            </w:pPr>
            <w:r w:rsidRPr="00DD4C71">
              <w:rPr>
                <w:rFonts w:asciiTheme="majorHAnsi" w:hAnsiTheme="majorHAnsi" w:cstheme="majorHAnsi"/>
                <w:sz w:val="20"/>
                <w:szCs w:val="20"/>
              </w:rPr>
              <w:t>3,771.8</w:t>
            </w:r>
          </w:p>
        </w:tc>
        <w:tc>
          <w:tcPr>
            <w:tcW w:w="1276" w:type="dxa"/>
            <w:tcBorders>
              <w:top w:val="nil"/>
              <w:left w:val="nil"/>
              <w:bottom w:val="nil"/>
              <w:right w:val="nil"/>
            </w:tcBorders>
            <w:shd w:val="clear" w:color="auto" w:fill="D9D9D9" w:themeFill="background1" w:themeFillShade="D9"/>
            <w:noWrap/>
            <w:vAlign w:val="center"/>
            <w:hideMark/>
          </w:tcPr>
          <w:p w14:paraId="2AD92CB6" w14:textId="77777777" w:rsidR="007502C1" w:rsidRPr="00DD4C71" w:rsidRDefault="007502C1" w:rsidP="009E791A">
            <w:pPr>
              <w:spacing w:after="0" w:line="240" w:lineRule="auto"/>
              <w:jc w:val="center"/>
              <w:rPr>
                <w:rFonts w:asciiTheme="majorHAnsi" w:eastAsia="Times New Roman" w:hAnsiTheme="majorHAnsi" w:cstheme="majorHAnsi"/>
                <w:sz w:val="20"/>
                <w:szCs w:val="20"/>
              </w:rPr>
            </w:pPr>
            <w:r w:rsidRPr="00DD4C71">
              <w:rPr>
                <w:rFonts w:asciiTheme="majorHAnsi" w:hAnsiTheme="majorHAnsi" w:cstheme="majorHAnsi"/>
                <w:sz w:val="20"/>
                <w:szCs w:val="20"/>
              </w:rPr>
              <w:t>3,655.8</w:t>
            </w:r>
          </w:p>
        </w:tc>
        <w:tc>
          <w:tcPr>
            <w:tcW w:w="992" w:type="dxa"/>
            <w:tcBorders>
              <w:top w:val="nil"/>
              <w:left w:val="nil"/>
              <w:bottom w:val="nil"/>
              <w:right w:val="nil"/>
            </w:tcBorders>
            <w:shd w:val="clear" w:color="auto" w:fill="D9D9D9" w:themeFill="background1" w:themeFillShade="D9"/>
            <w:noWrap/>
            <w:vAlign w:val="center"/>
            <w:hideMark/>
          </w:tcPr>
          <w:p w14:paraId="68951AFB" w14:textId="77777777" w:rsidR="007502C1" w:rsidRPr="00DD4C71" w:rsidRDefault="007502C1" w:rsidP="009E791A">
            <w:pPr>
              <w:spacing w:after="0" w:line="240" w:lineRule="auto"/>
              <w:jc w:val="center"/>
              <w:rPr>
                <w:rFonts w:asciiTheme="majorHAnsi" w:eastAsia="Times New Roman" w:hAnsiTheme="majorHAnsi" w:cstheme="majorHAnsi"/>
                <w:sz w:val="20"/>
                <w:szCs w:val="20"/>
              </w:rPr>
            </w:pPr>
            <w:r w:rsidRPr="00DD4C71">
              <w:rPr>
                <w:rFonts w:asciiTheme="majorHAnsi" w:hAnsiTheme="majorHAnsi" w:cstheme="majorHAnsi"/>
                <w:sz w:val="20"/>
                <w:szCs w:val="20"/>
              </w:rPr>
              <w:t>116.1</w:t>
            </w:r>
          </w:p>
        </w:tc>
        <w:tc>
          <w:tcPr>
            <w:tcW w:w="993" w:type="dxa"/>
            <w:tcBorders>
              <w:top w:val="nil"/>
              <w:left w:val="nil"/>
              <w:bottom w:val="nil"/>
              <w:right w:val="nil"/>
            </w:tcBorders>
            <w:shd w:val="clear" w:color="auto" w:fill="D9D9D9" w:themeFill="background1" w:themeFillShade="D9"/>
            <w:noWrap/>
            <w:vAlign w:val="center"/>
            <w:hideMark/>
          </w:tcPr>
          <w:p w14:paraId="3B38F95C" w14:textId="77777777" w:rsidR="007502C1" w:rsidRPr="00DD4C71" w:rsidRDefault="007502C1" w:rsidP="009E791A">
            <w:pPr>
              <w:spacing w:after="0" w:line="240" w:lineRule="auto"/>
              <w:jc w:val="center"/>
              <w:rPr>
                <w:rFonts w:asciiTheme="majorHAnsi" w:eastAsia="Times New Roman" w:hAnsiTheme="majorHAnsi" w:cstheme="majorHAnsi"/>
                <w:sz w:val="20"/>
                <w:szCs w:val="20"/>
              </w:rPr>
            </w:pPr>
            <w:r w:rsidRPr="00DD4C71">
              <w:rPr>
                <w:rFonts w:asciiTheme="majorHAnsi" w:hAnsiTheme="majorHAnsi" w:cstheme="majorHAnsi"/>
                <w:sz w:val="20"/>
                <w:szCs w:val="20"/>
              </w:rPr>
              <w:t>3.2</w:t>
            </w:r>
          </w:p>
        </w:tc>
        <w:tc>
          <w:tcPr>
            <w:tcW w:w="1134" w:type="dxa"/>
            <w:tcBorders>
              <w:top w:val="nil"/>
              <w:left w:val="nil"/>
              <w:bottom w:val="nil"/>
              <w:right w:val="nil"/>
            </w:tcBorders>
            <w:shd w:val="clear" w:color="auto" w:fill="D9D9D9" w:themeFill="background1" w:themeFillShade="D9"/>
            <w:noWrap/>
            <w:vAlign w:val="center"/>
            <w:hideMark/>
          </w:tcPr>
          <w:p w14:paraId="13C300A9" w14:textId="77777777" w:rsidR="007502C1" w:rsidRPr="00DD4C71" w:rsidRDefault="007502C1" w:rsidP="009E791A">
            <w:pPr>
              <w:spacing w:after="0" w:line="240" w:lineRule="auto"/>
              <w:jc w:val="center"/>
              <w:rPr>
                <w:rFonts w:asciiTheme="majorHAnsi" w:eastAsia="Times New Roman" w:hAnsiTheme="majorHAnsi" w:cstheme="majorHAnsi"/>
                <w:sz w:val="20"/>
                <w:szCs w:val="20"/>
              </w:rPr>
            </w:pPr>
            <w:r w:rsidRPr="00DD4C71">
              <w:rPr>
                <w:rFonts w:asciiTheme="majorHAnsi" w:hAnsiTheme="majorHAnsi" w:cstheme="majorHAnsi"/>
                <w:sz w:val="20"/>
                <w:szCs w:val="20"/>
              </w:rPr>
              <w:t>668.9</w:t>
            </w:r>
          </w:p>
        </w:tc>
        <w:tc>
          <w:tcPr>
            <w:tcW w:w="992" w:type="dxa"/>
            <w:tcBorders>
              <w:top w:val="nil"/>
              <w:left w:val="nil"/>
              <w:bottom w:val="nil"/>
              <w:right w:val="nil"/>
            </w:tcBorders>
            <w:shd w:val="clear" w:color="auto" w:fill="D9D9D9" w:themeFill="background1" w:themeFillShade="D9"/>
            <w:noWrap/>
            <w:vAlign w:val="center"/>
            <w:hideMark/>
          </w:tcPr>
          <w:p w14:paraId="3AFD1CC0" w14:textId="77777777" w:rsidR="007502C1" w:rsidRPr="00DD4C71" w:rsidRDefault="007502C1" w:rsidP="009E791A">
            <w:pPr>
              <w:spacing w:after="0" w:line="240" w:lineRule="auto"/>
              <w:jc w:val="center"/>
              <w:rPr>
                <w:rFonts w:asciiTheme="majorHAnsi" w:eastAsia="Times New Roman" w:hAnsiTheme="majorHAnsi" w:cstheme="majorHAnsi"/>
                <w:sz w:val="20"/>
                <w:szCs w:val="20"/>
              </w:rPr>
            </w:pPr>
            <w:r w:rsidRPr="00DD4C71">
              <w:rPr>
                <w:rFonts w:asciiTheme="majorHAnsi" w:hAnsiTheme="majorHAnsi" w:cstheme="majorHAnsi"/>
                <w:sz w:val="20"/>
                <w:szCs w:val="20"/>
              </w:rPr>
              <w:t>21.6</w:t>
            </w:r>
          </w:p>
        </w:tc>
      </w:tr>
      <w:tr w:rsidR="007502C1" w:rsidRPr="00DD4C71" w14:paraId="38495262" w14:textId="77777777" w:rsidTr="009E791A">
        <w:trPr>
          <w:trHeight w:val="278"/>
        </w:trPr>
        <w:tc>
          <w:tcPr>
            <w:tcW w:w="2694" w:type="dxa"/>
            <w:tcBorders>
              <w:top w:val="nil"/>
              <w:left w:val="nil"/>
              <w:bottom w:val="nil"/>
              <w:right w:val="nil"/>
            </w:tcBorders>
            <w:shd w:val="clear" w:color="auto" w:fill="FFFFFF" w:themeFill="background1"/>
            <w:noWrap/>
            <w:vAlign w:val="center"/>
            <w:hideMark/>
          </w:tcPr>
          <w:p w14:paraId="38435D0A" w14:textId="77777777" w:rsidR="007502C1" w:rsidRPr="00DD4C71" w:rsidRDefault="007502C1" w:rsidP="009E791A">
            <w:pPr>
              <w:spacing w:after="0" w:line="240" w:lineRule="auto"/>
              <w:rPr>
                <w:rFonts w:asciiTheme="majorHAnsi" w:eastAsia="Times New Roman" w:hAnsiTheme="majorHAnsi" w:cstheme="majorHAnsi"/>
                <w:color w:val="000000"/>
                <w:sz w:val="20"/>
                <w:szCs w:val="20"/>
                <w:lang w:eastAsia="en-AU"/>
              </w:rPr>
            </w:pPr>
            <w:r w:rsidRPr="00DD4C71">
              <w:rPr>
                <w:rFonts w:asciiTheme="majorHAnsi" w:hAnsiTheme="majorHAnsi" w:cstheme="majorHAnsi"/>
                <w:color w:val="000000"/>
                <w:sz w:val="20"/>
                <w:szCs w:val="20"/>
              </w:rPr>
              <w:t>Technicians and Trades Workers</w:t>
            </w:r>
          </w:p>
        </w:tc>
        <w:tc>
          <w:tcPr>
            <w:tcW w:w="1275" w:type="dxa"/>
            <w:tcBorders>
              <w:top w:val="nil"/>
              <w:left w:val="nil"/>
              <w:bottom w:val="nil"/>
              <w:right w:val="nil"/>
            </w:tcBorders>
            <w:shd w:val="clear" w:color="auto" w:fill="FFFFFF" w:themeFill="background1"/>
            <w:noWrap/>
            <w:vAlign w:val="center"/>
            <w:hideMark/>
          </w:tcPr>
          <w:p w14:paraId="0B55112B" w14:textId="77777777" w:rsidR="007502C1" w:rsidRPr="00DD4C71" w:rsidRDefault="007502C1" w:rsidP="009E791A">
            <w:pPr>
              <w:spacing w:after="0" w:line="240" w:lineRule="auto"/>
              <w:jc w:val="center"/>
              <w:rPr>
                <w:rFonts w:asciiTheme="majorHAnsi" w:eastAsia="Times New Roman" w:hAnsiTheme="majorHAnsi" w:cstheme="majorHAnsi"/>
                <w:sz w:val="20"/>
                <w:szCs w:val="20"/>
              </w:rPr>
            </w:pPr>
            <w:r w:rsidRPr="00DD4C71">
              <w:rPr>
                <w:rFonts w:asciiTheme="majorHAnsi" w:hAnsiTheme="majorHAnsi" w:cstheme="majorHAnsi"/>
                <w:sz w:val="20"/>
                <w:szCs w:val="20"/>
              </w:rPr>
              <w:t>1,972.3</w:t>
            </w:r>
          </w:p>
        </w:tc>
        <w:tc>
          <w:tcPr>
            <w:tcW w:w="1276" w:type="dxa"/>
            <w:tcBorders>
              <w:top w:val="nil"/>
              <w:left w:val="nil"/>
              <w:bottom w:val="nil"/>
              <w:right w:val="nil"/>
            </w:tcBorders>
            <w:shd w:val="clear" w:color="auto" w:fill="FFFFFF" w:themeFill="background1"/>
            <w:noWrap/>
            <w:vAlign w:val="center"/>
            <w:hideMark/>
          </w:tcPr>
          <w:p w14:paraId="59804B80" w14:textId="77777777" w:rsidR="007502C1" w:rsidRPr="00DD4C71" w:rsidRDefault="007502C1" w:rsidP="009E791A">
            <w:pPr>
              <w:spacing w:after="0" w:line="240" w:lineRule="auto"/>
              <w:jc w:val="center"/>
              <w:rPr>
                <w:rFonts w:asciiTheme="majorHAnsi" w:eastAsia="Times New Roman" w:hAnsiTheme="majorHAnsi" w:cstheme="majorHAnsi"/>
                <w:sz w:val="20"/>
                <w:szCs w:val="20"/>
              </w:rPr>
            </w:pPr>
            <w:r w:rsidRPr="00DD4C71">
              <w:rPr>
                <w:rFonts w:asciiTheme="majorHAnsi" w:hAnsiTheme="majorHAnsi" w:cstheme="majorHAnsi"/>
                <w:sz w:val="20"/>
                <w:szCs w:val="20"/>
              </w:rPr>
              <w:t>1,905.9</w:t>
            </w:r>
          </w:p>
        </w:tc>
        <w:tc>
          <w:tcPr>
            <w:tcW w:w="992" w:type="dxa"/>
            <w:tcBorders>
              <w:top w:val="nil"/>
              <w:left w:val="nil"/>
              <w:bottom w:val="nil"/>
              <w:right w:val="nil"/>
            </w:tcBorders>
            <w:shd w:val="clear" w:color="auto" w:fill="FFFFFF" w:themeFill="background1"/>
            <w:noWrap/>
            <w:vAlign w:val="center"/>
            <w:hideMark/>
          </w:tcPr>
          <w:p w14:paraId="29DD6623" w14:textId="77777777" w:rsidR="007502C1" w:rsidRPr="00DD4C71" w:rsidRDefault="007502C1" w:rsidP="009E791A">
            <w:pPr>
              <w:spacing w:after="0" w:line="240" w:lineRule="auto"/>
              <w:jc w:val="center"/>
              <w:rPr>
                <w:rFonts w:asciiTheme="majorHAnsi" w:eastAsia="Times New Roman" w:hAnsiTheme="majorHAnsi" w:cstheme="majorHAnsi"/>
                <w:sz w:val="20"/>
                <w:szCs w:val="20"/>
              </w:rPr>
            </w:pPr>
            <w:r w:rsidRPr="00DD4C71">
              <w:rPr>
                <w:rFonts w:asciiTheme="majorHAnsi" w:hAnsiTheme="majorHAnsi" w:cstheme="majorHAnsi"/>
                <w:sz w:val="20"/>
                <w:szCs w:val="20"/>
              </w:rPr>
              <w:t>66.4</w:t>
            </w:r>
          </w:p>
        </w:tc>
        <w:tc>
          <w:tcPr>
            <w:tcW w:w="993" w:type="dxa"/>
            <w:tcBorders>
              <w:top w:val="nil"/>
              <w:left w:val="nil"/>
              <w:bottom w:val="nil"/>
              <w:right w:val="nil"/>
            </w:tcBorders>
            <w:shd w:val="clear" w:color="auto" w:fill="FFFFFF" w:themeFill="background1"/>
            <w:noWrap/>
            <w:vAlign w:val="center"/>
            <w:hideMark/>
          </w:tcPr>
          <w:p w14:paraId="2DA41120" w14:textId="77777777" w:rsidR="007502C1" w:rsidRPr="00DD4C71" w:rsidRDefault="007502C1" w:rsidP="009E791A">
            <w:pPr>
              <w:spacing w:after="0" w:line="240" w:lineRule="auto"/>
              <w:jc w:val="center"/>
              <w:rPr>
                <w:rFonts w:asciiTheme="majorHAnsi" w:eastAsia="Times New Roman" w:hAnsiTheme="majorHAnsi" w:cstheme="majorHAnsi"/>
                <w:sz w:val="20"/>
                <w:szCs w:val="20"/>
              </w:rPr>
            </w:pPr>
            <w:r w:rsidRPr="00DD4C71">
              <w:rPr>
                <w:rFonts w:asciiTheme="majorHAnsi" w:hAnsiTheme="majorHAnsi" w:cstheme="majorHAnsi"/>
                <w:sz w:val="20"/>
                <w:szCs w:val="20"/>
              </w:rPr>
              <w:t>3.5</w:t>
            </w:r>
          </w:p>
        </w:tc>
        <w:tc>
          <w:tcPr>
            <w:tcW w:w="1134" w:type="dxa"/>
            <w:tcBorders>
              <w:top w:val="nil"/>
              <w:left w:val="nil"/>
              <w:bottom w:val="nil"/>
              <w:right w:val="nil"/>
            </w:tcBorders>
            <w:shd w:val="clear" w:color="auto" w:fill="FFFFFF" w:themeFill="background1"/>
            <w:noWrap/>
            <w:vAlign w:val="center"/>
            <w:hideMark/>
          </w:tcPr>
          <w:p w14:paraId="0A31CC40" w14:textId="77777777" w:rsidR="007502C1" w:rsidRPr="00DD4C71" w:rsidRDefault="007502C1" w:rsidP="009E791A">
            <w:pPr>
              <w:spacing w:after="0" w:line="240" w:lineRule="auto"/>
              <w:jc w:val="center"/>
              <w:rPr>
                <w:rFonts w:asciiTheme="majorHAnsi" w:eastAsia="Times New Roman" w:hAnsiTheme="majorHAnsi" w:cstheme="majorHAnsi"/>
                <w:sz w:val="20"/>
                <w:szCs w:val="20"/>
              </w:rPr>
            </w:pPr>
            <w:r w:rsidRPr="00DD4C71">
              <w:rPr>
                <w:rFonts w:asciiTheme="majorHAnsi" w:hAnsiTheme="majorHAnsi" w:cstheme="majorHAnsi"/>
                <w:sz w:val="20"/>
                <w:szCs w:val="20"/>
              </w:rPr>
              <w:t>159.9</w:t>
            </w:r>
          </w:p>
        </w:tc>
        <w:tc>
          <w:tcPr>
            <w:tcW w:w="992" w:type="dxa"/>
            <w:tcBorders>
              <w:top w:val="nil"/>
              <w:left w:val="nil"/>
              <w:bottom w:val="nil"/>
              <w:right w:val="nil"/>
            </w:tcBorders>
            <w:shd w:val="clear" w:color="auto" w:fill="FFFFFF" w:themeFill="background1"/>
            <w:noWrap/>
            <w:vAlign w:val="center"/>
            <w:hideMark/>
          </w:tcPr>
          <w:p w14:paraId="33755BA3" w14:textId="77777777" w:rsidR="007502C1" w:rsidRPr="00DD4C71" w:rsidRDefault="007502C1" w:rsidP="009E791A">
            <w:pPr>
              <w:spacing w:after="0" w:line="240" w:lineRule="auto"/>
              <w:jc w:val="center"/>
              <w:rPr>
                <w:rFonts w:asciiTheme="majorHAnsi" w:eastAsia="Times New Roman" w:hAnsiTheme="majorHAnsi" w:cstheme="majorHAnsi"/>
                <w:sz w:val="20"/>
                <w:szCs w:val="20"/>
              </w:rPr>
            </w:pPr>
            <w:r w:rsidRPr="00DD4C71">
              <w:rPr>
                <w:rFonts w:asciiTheme="majorHAnsi" w:hAnsiTheme="majorHAnsi" w:cstheme="majorHAnsi"/>
                <w:sz w:val="20"/>
                <w:szCs w:val="20"/>
              </w:rPr>
              <w:t>8.8</w:t>
            </w:r>
          </w:p>
        </w:tc>
      </w:tr>
      <w:tr w:rsidR="007502C1" w:rsidRPr="00DD4C71" w14:paraId="27DBB723" w14:textId="77777777" w:rsidTr="009E791A">
        <w:trPr>
          <w:trHeight w:val="278"/>
        </w:trPr>
        <w:tc>
          <w:tcPr>
            <w:tcW w:w="2694" w:type="dxa"/>
            <w:tcBorders>
              <w:top w:val="nil"/>
              <w:left w:val="nil"/>
              <w:bottom w:val="nil"/>
              <w:right w:val="nil"/>
            </w:tcBorders>
            <w:shd w:val="clear" w:color="auto" w:fill="D9D9D9" w:themeFill="background1" w:themeFillShade="D9"/>
            <w:noWrap/>
            <w:vAlign w:val="center"/>
            <w:hideMark/>
          </w:tcPr>
          <w:p w14:paraId="6FEA4F18" w14:textId="77777777" w:rsidR="007502C1" w:rsidRPr="00DD4C71" w:rsidRDefault="007502C1" w:rsidP="009E791A">
            <w:pPr>
              <w:spacing w:after="0" w:line="240" w:lineRule="auto"/>
              <w:rPr>
                <w:rFonts w:asciiTheme="majorHAnsi" w:eastAsia="Times New Roman" w:hAnsiTheme="majorHAnsi" w:cstheme="majorHAnsi"/>
                <w:color w:val="000000"/>
                <w:sz w:val="20"/>
                <w:szCs w:val="20"/>
                <w:lang w:eastAsia="en-AU"/>
              </w:rPr>
            </w:pPr>
            <w:r w:rsidRPr="00DD4C71">
              <w:rPr>
                <w:rFonts w:asciiTheme="majorHAnsi" w:hAnsiTheme="majorHAnsi" w:cstheme="majorHAnsi"/>
                <w:color w:val="000000"/>
                <w:sz w:val="20"/>
                <w:szCs w:val="20"/>
              </w:rPr>
              <w:t>Community and Personal Service Workers</w:t>
            </w:r>
          </w:p>
        </w:tc>
        <w:tc>
          <w:tcPr>
            <w:tcW w:w="1275" w:type="dxa"/>
            <w:tcBorders>
              <w:top w:val="nil"/>
              <w:left w:val="nil"/>
              <w:bottom w:val="nil"/>
              <w:right w:val="nil"/>
            </w:tcBorders>
            <w:shd w:val="clear" w:color="auto" w:fill="D9D9D9" w:themeFill="background1" w:themeFillShade="D9"/>
            <w:noWrap/>
            <w:vAlign w:val="center"/>
            <w:hideMark/>
          </w:tcPr>
          <w:p w14:paraId="0AE92F3A" w14:textId="77777777" w:rsidR="007502C1" w:rsidRPr="00DD4C71" w:rsidRDefault="007502C1" w:rsidP="009E791A">
            <w:pPr>
              <w:spacing w:after="0" w:line="240" w:lineRule="auto"/>
              <w:jc w:val="center"/>
              <w:rPr>
                <w:rFonts w:asciiTheme="majorHAnsi" w:eastAsia="Times New Roman" w:hAnsiTheme="majorHAnsi" w:cstheme="majorHAnsi"/>
                <w:sz w:val="20"/>
                <w:szCs w:val="20"/>
              </w:rPr>
            </w:pPr>
            <w:r w:rsidRPr="00DD4C71">
              <w:rPr>
                <w:rFonts w:asciiTheme="majorHAnsi" w:hAnsiTheme="majorHAnsi" w:cstheme="majorHAnsi"/>
                <w:sz w:val="20"/>
                <w:szCs w:val="20"/>
              </w:rPr>
              <w:t>1,669.9</w:t>
            </w:r>
          </w:p>
        </w:tc>
        <w:tc>
          <w:tcPr>
            <w:tcW w:w="1276" w:type="dxa"/>
            <w:tcBorders>
              <w:top w:val="nil"/>
              <w:left w:val="nil"/>
              <w:bottom w:val="nil"/>
              <w:right w:val="nil"/>
            </w:tcBorders>
            <w:shd w:val="clear" w:color="auto" w:fill="D9D9D9" w:themeFill="background1" w:themeFillShade="D9"/>
            <w:noWrap/>
            <w:vAlign w:val="center"/>
            <w:hideMark/>
          </w:tcPr>
          <w:p w14:paraId="2EC57FF0" w14:textId="77777777" w:rsidR="007502C1" w:rsidRPr="00DD4C71" w:rsidRDefault="007502C1" w:rsidP="009E791A">
            <w:pPr>
              <w:spacing w:after="0" w:line="240" w:lineRule="auto"/>
              <w:jc w:val="center"/>
              <w:rPr>
                <w:rFonts w:asciiTheme="majorHAnsi" w:eastAsia="Times New Roman" w:hAnsiTheme="majorHAnsi" w:cstheme="majorHAnsi"/>
                <w:sz w:val="20"/>
                <w:szCs w:val="20"/>
              </w:rPr>
            </w:pPr>
            <w:r w:rsidRPr="00DD4C71">
              <w:rPr>
                <w:rFonts w:asciiTheme="majorHAnsi" w:hAnsiTheme="majorHAnsi" w:cstheme="majorHAnsi"/>
                <w:sz w:val="20"/>
                <w:szCs w:val="20"/>
              </w:rPr>
              <w:t>1,569.5</w:t>
            </w:r>
          </w:p>
        </w:tc>
        <w:tc>
          <w:tcPr>
            <w:tcW w:w="992" w:type="dxa"/>
            <w:tcBorders>
              <w:top w:val="nil"/>
              <w:left w:val="nil"/>
              <w:bottom w:val="nil"/>
              <w:right w:val="nil"/>
            </w:tcBorders>
            <w:shd w:val="clear" w:color="auto" w:fill="D9D9D9" w:themeFill="background1" w:themeFillShade="D9"/>
            <w:noWrap/>
            <w:vAlign w:val="center"/>
            <w:hideMark/>
          </w:tcPr>
          <w:p w14:paraId="69C9F90B" w14:textId="77777777" w:rsidR="007502C1" w:rsidRPr="00DD4C71" w:rsidRDefault="007502C1" w:rsidP="009E791A">
            <w:pPr>
              <w:spacing w:after="0" w:line="240" w:lineRule="auto"/>
              <w:jc w:val="center"/>
              <w:rPr>
                <w:rFonts w:asciiTheme="majorHAnsi" w:eastAsia="Times New Roman" w:hAnsiTheme="majorHAnsi" w:cstheme="majorHAnsi"/>
                <w:sz w:val="20"/>
                <w:szCs w:val="20"/>
              </w:rPr>
            </w:pPr>
            <w:r w:rsidRPr="00DD4C71">
              <w:rPr>
                <w:rFonts w:asciiTheme="majorHAnsi" w:hAnsiTheme="majorHAnsi" w:cstheme="majorHAnsi"/>
                <w:sz w:val="20"/>
                <w:szCs w:val="20"/>
              </w:rPr>
              <w:t>100.3</w:t>
            </w:r>
          </w:p>
        </w:tc>
        <w:tc>
          <w:tcPr>
            <w:tcW w:w="993" w:type="dxa"/>
            <w:tcBorders>
              <w:top w:val="nil"/>
              <w:left w:val="nil"/>
              <w:bottom w:val="nil"/>
              <w:right w:val="nil"/>
            </w:tcBorders>
            <w:shd w:val="clear" w:color="auto" w:fill="D9D9D9" w:themeFill="background1" w:themeFillShade="D9"/>
            <w:noWrap/>
            <w:vAlign w:val="center"/>
            <w:hideMark/>
          </w:tcPr>
          <w:p w14:paraId="0464198E" w14:textId="77777777" w:rsidR="007502C1" w:rsidRPr="00DD4C71" w:rsidRDefault="007502C1" w:rsidP="009E791A">
            <w:pPr>
              <w:spacing w:after="0" w:line="240" w:lineRule="auto"/>
              <w:jc w:val="center"/>
              <w:rPr>
                <w:rFonts w:asciiTheme="majorHAnsi" w:eastAsia="Times New Roman" w:hAnsiTheme="majorHAnsi" w:cstheme="majorHAnsi"/>
                <w:sz w:val="20"/>
                <w:szCs w:val="20"/>
              </w:rPr>
            </w:pPr>
            <w:r w:rsidRPr="00DD4C71">
              <w:rPr>
                <w:rFonts w:asciiTheme="majorHAnsi" w:hAnsiTheme="majorHAnsi" w:cstheme="majorHAnsi"/>
                <w:sz w:val="20"/>
                <w:szCs w:val="20"/>
              </w:rPr>
              <w:t>6.4</w:t>
            </w:r>
          </w:p>
        </w:tc>
        <w:tc>
          <w:tcPr>
            <w:tcW w:w="1134" w:type="dxa"/>
            <w:tcBorders>
              <w:top w:val="nil"/>
              <w:left w:val="nil"/>
              <w:bottom w:val="nil"/>
              <w:right w:val="nil"/>
            </w:tcBorders>
            <w:shd w:val="clear" w:color="auto" w:fill="D9D9D9" w:themeFill="background1" w:themeFillShade="D9"/>
            <w:noWrap/>
            <w:vAlign w:val="center"/>
            <w:hideMark/>
          </w:tcPr>
          <w:p w14:paraId="0F35080C" w14:textId="77777777" w:rsidR="007502C1" w:rsidRPr="00DD4C71" w:rsidRDefault="007502C1" w:rsidP="009E791A">
            <w:pPr>
              <w:spacing w:after="0" w:line="240" w:lineRule="auto"/>
              <w:jc w:val="center"/>
              <w:rPr>
                <w:rFonts w:asciiTheme="majorHAnsi" w:eastAsia="Times New Roman" w:hAnsiTheme="majorHAnsi" w:cstheme="majorHAnsi"/>
                <w:sz w:val="20"/>
                <w:szCs w:val="20"/>
              </w:rPr>
            </w:pPr>
            <w:r w:rsidRPr="00DD4C71">
              <w:rPr>
                <w:rFonts w:asciiTheme="majorHAnsi" w:hAnsiTheme="majorHAnsi" w:cstheme="majorHAnsi"/>
                <w:sz w:val="20"/>
                <w:szCs w:val="20"/>
              </w:rPr>
              <w:t>281.9</w:t>
            </w:r>
          </w:p>
        </w:tc>
        <w:tc>
          <w:tcPr>
            <w:tcW w:w="992" w:type="dxa"/>
            <w:tcBorders>
              <w:top w:val="nil"/>
              <w:left w:val="nil"/>
              <w:bottom w:val="nil"/>
              <w:right w:val="nil"/>
            </w:tcBorders>
            <w:shd w:val="clear" w:color="auto" w:fill="D9D9D9" w:themeFill="background1" w:themeFillShade="D9"/>
            <w:noWrap/>
            <w:vAlign w:val="center"/>
            <w:hideMark/>
          </w:tcPr>
          <w:p w14:paraId="00827554" w14:textId="77777777" w:rsidR="007502C1" w:rsidRPr="00DD4C71" w:rsidRDefault="007502C1" w:rsidP="009E791A">
            <w:pPr>
              <w:spacing w:after="0" w:line="240" w:lineRule="auto"/>
              <w:jc w:val="center"/>
              <w:rPr>
                <w:rFonts w:asciiTheme="majorHAnsi" w:eastAsia="Times New Roman" w:hAnsiTheme="majorHAnsi" w:cstheme="majorHAnsi"/>
                <w:sz w:val="20"/>
                <w:szCs w:val="20"/>
              </w:rPr>
            </w:pPr>
            <w:r w:rsidRPr="00DD4C71">
              <w:rPr>
                <w:rFonts w:asciiTheme="majorHAnsi" w:hAnsiTheme="majorHAnsi" w:cstheme="majorHAnsi"/>
                <w:sz w:val="20"/>
                <w:szCs w:val="20"/>
              </w:rPr>
              <w:t>20.3</w:t>
            </w:r>
          </w:p>
        </w:tc>
      </w:tr>
      <w:tr w:rsidR="007502C1" w:rsidRPr="00DD4C71" w14:paraId="5BA28563" w14:textId="77777777" w:rsidTr="009E791A">
        <w:trPr>
          <w:trHeight w:val="278"/>
        </w:trPr>
        <w:tc>
          <w:tcPr>
            <w:tcW w:w="2694" w:type="dxa"/>
            <w:tcBorders>
              <w:top w:val="nil"/>
              <w:left w:val="nil"/>
              <w:bottom w:val="nil"/>
              <w:right w:val="nil"/>
            </w:tcBorders>
            <w:shd w:val="clear" w:color="auto" w:fill="FFFFFF" w:themeFill="background1"/>
            <w:noWrap/>
            <w:vAlign w:val="center"/>
            <w:hideMark/>
          </w:tcPr>
          <w:p w14:paraId="330D8638" w14:textId="77777777" w:rsidR="007502C1" w:rsidRPr="00DD4C71" w:rsidRDefault="007502C1" w:rsidP="009E791A">
            <w:pPr>
              <w:spacing w:after="0" w:line="240" w:lineRule="auto"/>
              <w:rPr>
                <w:rFonts w:asciiTheme="majorHAnsi" w:eastAsia="Times New Roman" w:hAnsiTheme="majorHAnsi" w:cstheme="majorHAnsi"/>
                <w:color w:val="000000"/>
                <w:sz w:val="20"/>
                <w:szCs w:val="20"/>
                <w:lang w:eastAsia="en-AU"/>
              </w:rPr>
            </w:pPr>
            <w:r w:rsidRPr="00DD4C71">
              <w:rPr>
                <w:rFonts w:asciiTheme="majorHAnsi" w:hAnsiTheme="majorHAnsi" w:cstheme="majorHAnsi"/>
                <w:color w:val="000000"/>
                <w:sz w:val="20"/>
                <w:szCs w:val="20"/>
              </w:rPr>
              <w:t>Clerical and Administrative Workers</w:t>
            </w:r>
          </w:p>
        </w:tc>
        <w:tc>
          <w:tcPr>
            <w:tcW w:w="1275" w:type="dxa"/>
            <w:tcBorders>
              <w:top w:val="nil"/>
              <w:left w:val="nil"/>
              <w:bottom w:val="nil"/>
              <w:right w:val="nil"/>
            </w:tcBorders>
            <w:shd w:val="clear" w:color="auto" w:fill="FFFFFF" w:themeFill="background1"/>
            <w:noWrap/>
            <w:vAlign w:val="center"/>
            <w:hideMark/>
          </w:tcPr>
          <w:p w14:paraId="28E2E2C8" w14:textId="77777777" w:rsidR="007502C1" w:rsidRPr="00DD4C71" w:rsidRDefault="007502C1" w:rsidP="009E791A">
            <w:pPr>
              <w:spacing w:after="0" w:line="240" w:lineRule="auto"/>
              <w:jc w:val="center"/>
              <w:rPr>
                <w:rFonts w:asciiTheme="majorHAnsi" w:eastAsia="Times New Roman" w:hAnsiTheme="majorHAnsi" w:cstheme="majorHAnsi"/>
                <w:sz w:val="20"/>
                <w:szCs w:val="20"/>
              </w:rPr>
            </w:pPr>
            <w:r w:rsidRPr="00DD4C71">
              <w:rPr>
                <w:rFonts w:asciiTheme="majorHAnsi" w:hAnsiTheme="majorHAnsi" w:cstheme="majorHAnsi"/>
                <w:sz w:val="20"/>
                <w:szCs w:val="20"/>
              </w:rPr>
              <w:t>1,859.3</w:t>
            </w:r>
          </w:p>
        </w:tc>
        <w:tc>
          <w:tcPr>
            <w:tcW w:w="1276" w:type="dxa"/>
            <w:tcBorders>
              <w:top w:val="nil"/>
              <w:left w:val="nil"/>
              <w:bottom w:val="nil"/>
              <w:right w:val="nil"/>
            </w:tcBorders>
            <w:shd w:val="clear" w:color="auto" w:fill="FFFFFF" w:themeFill="background1"/>
            <w:noWrap/>
            <w:vAlign w:val="center"/>
            <w:hideMark/>
          </w:tcPr>
          <w:p w14:paraId="2322D8FB" w14:textId="77777777" w:rsidR="007502C1" w:rsidRPr="00DD4C71" w:rsidRDefault="007502C1" w:rsidP="009E791A">
            <w:pPr>
              <w:spacing w:after="0" w:line="240" w:lineRule="auto"/>
              <w:jc w:val="center"/>
              <w:rPr>
                <w:rFonts w:asciiTheme="majorHAnsi" w:eastAsia="Times New Roman" w:hAnsiTheme="majorHAnsi" w:cstheme="majorHAnsi"/>
                <w:sz w:val="20"/>
                <w:szCs w:val="20"/>
              </w:rPr>
            </w:pPr>
            <w:r w:rsidRPr="00DD4C71">
              <w:rPr>
                <w:rFonts w:asciiTheme="majorHAnsi" w:hAnsiTheme="majorHAnsi" w:cstheme="majorHAnsi"/>
                <w:sz w:val="20"/>
                <w:szCs w:val="20"/>
              </w:rPr>
              <w:t>1,823.0</w:t>
            </w:r>
          </w:p>
        </w:tc>
        <w:tc>
          <w:tcPr>
            <w:tcW w:w="992" w:type="dxa"/>
            <w:tcBorders>
              <w:top w:val="nil"/>
              <w:left w:val="nil"/>
              <w:bottom w:val="nil"/>
              <w:right w:val="nil"/>
            </w:tcBorders>
            <w:shd w:val="clear" w:color="auto" w:fill="FFFFFF" w:themeFill="background1"/>
            <w:noWrap/>
            <w:vAlign w:val="center"/>
            <w:hideMark/>
          </w:tcPr>
          <w:p w14:paraId="0AEAC780" w14:textId="77777777" w:rsidR="007502C1" w:rsidRPr="00DD4C71" w:rsidRDefault="007502C1" w:rsidP="009E791A">
            <w:pPr>
              <w:spacing w:after="0" w:line="240" w:lineRule="auto"/>
              <w:jc w:val="center"/>
              <w:rPr>
                <w:rFonts w:asciiTheme="majorHAnsi" w:eastAsia="Times New Roman" w:hAnsiTheme="majorHAnsi" w:cstheme="majorHAnsi"/>
                <w:sz w:val="20"/>
                <w:szCs w:val="20"/>
              </w:rPr>
            </w:pPr>
            <w:r w:rsidRPr="00DD4C71">
              <w:rPr>
                <w:rFonts w:asciiTheme="majorHAnsi" w:hAnsiTheme="majorHAnsi" w:cstheme="majorHAnsi"/>
                <w:sz w:val="20"/>
                <w:szCs w:val="20"/>
              </w:rPr>
              <w:t>36.3</w:t>
            </w:r>
          </w:p>
        </w:tc>
        <w:tc>
          <w:tcPr>
            <w:tcW w:w="993" w:type="dxa"/>
            <w:tcBorders>
              <w:top w:val="nil"/>
              <w:left w:val="nil"/>
              <w:bottom w:val="nil"/>
              <w:right w:val="nil"/>
            </w:tcBorders>
            <w:shd w:val="clear" w:color="auto" w:fill="FFFFFF" w:themeFill="background1"/>
            <w:noWrap/>
            <w:vAlign w:val="center"/>
            <w:hideMark/>
          </w:tcPr>
          <w:p w14:paraId="6BF43F12" w14:textId="77777777" w:rsidR="007502C1" w:rsidRPr="00DD4C71" w:rsidRDefault="007502C1" w:rsidP="009E791A">
            <w:pPr>
              <w:spacing w:after="0" w:line="240" w:lineRule="auto"/>
              <w:jc w:val="center"/>
              <w:rPr>
                <w:rFonts w:asciiTheme="majorHAnsi" w:eastAsia="Times New Roman" w:hAnsiTheme="majorHAnsi" w:cstheme="majorHAnsi"/>
                <w:sz w:val="20"/>
                <w:szCs w:val="20"/>
              </w:rPr>
            </w:pPr>
            <w:r w:rsidRPr="00DD4C71">
              <w:rPr>
                <w:rFonts w:asciiTheme="majorHAnsi" w:hAnsiTheme="majorHAnsi" w:cstheme="majorHAnsi"/>
                <w:sz w:val="20"/>
                <w:szCs w:val="20"/>
              </w:rPr>
              <w:t>2.0</w:t>
            </w:r>
          </w:p>
        </w:tc>
        <w:tc>
          <w:tcPr>
            <w:tcW w:w="1134" w:type="dxa"/>
            <w:tcBorders>
              <w:top w:val="nil"/>
              <w:left w:val="nil"/>
              <w:bottom w:val="nil"/>
              <w:right w:val="nil"/>
            </w:tcBorders>
            <w:shd w:val="clear" w:color="auto" w:fill="FFFFFF" w:themeFill="background1"/>
            <w:noWrap/>
            <w:vAlign w:val="center"/>
            <w:hideMark/>
          </w:tcPr>
          <w:p w14:paraId="14247543" w14:textId="77777777" w:rsidR="007502C1" w:rsidRPr="00DD4C71" w:rsidRDefault="007502C1" w:rsidP="009E791A">
            <w:pPr>
              <w:spacing w:after="0" w:line="240" w:lineRule="auto"/>
              <w:jc w:val="center"/>
              <w:rPr>
                <w:rFonts w:asciiTheme="majorHAnsi" w:eastAsia="Times New Roman" w:hAnsiTheme="majorHAnsi" w:cstheme="majorHAnsi"/>
                <w:sz w:val="20"/>
                <w:szCs w:val="20"/>
              </w:rPr>
            </w:pPr>
            <w:r w:rsidRPr="00DD4C71">
              <w:rPr>
                <w:rFonts w:asciiTheme="majorHAnsi" w:hAnsiTheme="majorHAnsi" w:cstheme="majorHAnsi"/>
                <w:sz w:val="20"/>
                <w:szCs w:val="20"/>
              </w:rPr>
              <w:t>90.4</w:t>
            </w:r>
          </w:p>
        </w:tc>
        <w:tc>
          <w:tcPr>
            <w:tcW w:w="992" w:type="dxa"/>
            <w:tcBorders>
              <w:top w:val="nil"/>
              <w:left w:val="nil"/>
              <w:bottom w:val="nil"/>
              <w:right w:val="nil"/>
            </w:tcBorders>
            <w:shd w:val="clear" w:color="auto" w:fill="FFFFFF" w:themeFill="background1"/>
            <w:noWrap/>
            <w:vAlign w:val="center"/>
            <w:hideMark/>
          </w:tcPr>
          <w:p w14:paraId="55B353CB" w14:textId="77777777" w:rsidR="007502C1" w:rsidRPr="00DD4C71" w:rsidRDefault="007502C1" w:rsidP="009E791A">
            <w:pPr>
              <w:spacing w:after="0" w:line="240" w:lineRule="auto"/>
              <w:jc w:val="center"/>
              <w:rPr>
                <w:rFonts w:asciiTheme="majorHAnsi" w:eastAsia="Times New Roman" w:hAnsiTheme="majorHAnsi" w:cstheme="majorHAnsi"/>
                <w:sz w:val="20"/>
                <w:szCs w:val="20"/>
              </w:rPr>
            </w:pPr>
            <w:r w:rsidRPr="00DD4C71">
              <w:rPr>
                <w:rFonts w:asciiTheme="majorHAnsi" w:hAnsiTheme="majorHAnsi" w:cstheme="majorHAnsi"/>
                <w:sz w:val="20"/>
                <w:szCs w:val="20"/>
              </w:rPr>
              <w:t>5.1</w:t>
            </w:r>
          </w:p>
        </w:tc>
      </w:tr>
      <w:tr w:rsidR="007502C1" w:rsidRPr="00DD4C71" w14:paraId="0512BDD8" w14:textId="77777777" w:rsidTr="009E791A">
        <w:trPr>
          <w:trHeight w:val="278"/>
        </w:trPr>
        <w:tc>
          <w:tcPr>
            <w:tcW w:w="2694" w:type="dxa"/>
            <w:tcBorders>
              <w:top w:val="nil"/>
              <w:left w:val="nil"/>
              <w:bottom w:val="nil"/>
              <w:right w:val="nil"/>
            </w:tcBorders>
            <w:shd w:val="clear" w:color="auto" w:fill="D9D9D9" w:themeFill="background1" w:themeFillShade="D9"/>
            <w:noWrap/>
            <w:vAlign w:val="center"/>
            <w:hideMark/>
          </w:tcPr>
          <w:p w14:paraId="04E3FD5C" w14:textId="77777777" w:rsidR="007502C1" w:rsidRPr="00DD4C71" w:rsidRDefault="007502C1" w:rsidP="009E791A">
            <w:pPr>
              <w:spacing w:after="0" w:line="240" w:lineRule="auto"/>
              <w:rPr>
                <w:rFonts w:asciiTheme="majorHAnsi" w:eastAsia="Times New Roman" w:hAnsiTheme="majorHAnsi" w:cstheme="majorHAnsi"/>
                <w:color w:val="000000"/>
                <w:sz w:val="20"/>
                <w:szCs w:val="20"/>
                <w:lang w:eastAsia="en-AU"/>
              </w:rPr>
            </w:pPr>
            <w:r w:rsidRPr="00DD4C71">
              <w:rPr>
                <w:rFonts w:asciiTheme="majorHAnsi" w:hAnsiTheme="majorHAnsi" w:cstheme="majorHAnsi"/>
                <w:color w:val="000000"/>
                <w:sz w:val="20"/>
                <w:szCs w:val="20"/>
              </w:rPr>
              <w:t>Sales Workers</w:t>
            </w:r>
          </w:p>
        </w:tc>
        <w:tc>
          <w:tcPr>
            <w:tcW w:w="1275" w:type="dxa"/>
            <w:tcBorders>
              <w:top w:val="nil"/>
              <w:left w:val="nil"/>
              <w:bottom w:val="nil"/>
              <w:right w:val="nil"/>
            </w:tcBorders>
            <w:shd w:val="clear" w:color="auto" w:fill="D9D9D9" w:themeFill="background1" w:themeFillShade="D9"/>
            <w:noWrap/>
            <w:vAlign w:val="center"/>
            <w:hideMark/>
          </w:tcPr>
          <w:p w14:paraId="397B7675" w14:textId="77777777" w:rsidR="007502C1" w:rsidRPr="00DD4C71" w:rsidRDefault="007502C1" w:rsidP="009E791A">
            <w:pPr>
              <w:spacing w:after="0" w:line="240" w:lineRule="auto"/>
              <w:jc w:val="center"/>
              <w:rPr>
                <w:rFonts w:asciiTheme="majorHAnsi" w:eastAsia="Times New Roman" w:hAnsiTheme="majorHAnsi" w:cstheme="majorHAnsi"/>
                <w:sz w:val="20"/>
                <w:szCs w:val="20"/>
              </w:rPr>
            </w:pPr>
            <w:r w:rsidRPr="00DD4C71">
              <w:rPr>
                <w:rFonts w:asciiTheme="majorHAnsi" w:hAnsiTheme="majorHAnsi" w:cstheme="majorHAnsi"/>
                <w:sz w:val="20"/>
                <w:szCs w:val="20"/>
              </w:rPr>
              <w:t>1,118.6</w:t>
            </w:r>
          </w:p>
        </w:tc>
        <w:tc>
          <w:tcPr>
            <w:tcW w:w="1276" w:type="dxa"/>
            <w:tcBorders>
              <w:top w:val="nil"/>
              <w:left w:val="nil"/>
              <w:bottom w:val="nil"/>
              <w:right w:val="nil"/>
            </w:tcBorders>
            <w:shd w:val="clear" w:color="auto" w:fill="D9D9D9" w:themeFill="background1" w:themeFillShade="D9"/>
            <w:noWrap/>
            <w:vAlign w:val="center"/>
            <w:hideMark/>
          </w:tcPr>
          <w:p w14:paraId="507C3DA5" w14:textId="77777777" w:rsidR="007502C1" w:rsidRPr="00DD4C71" w:rsidRDefault="007502C1" w:rsidP="009E791A">
            <w:pPr>
              <w:spacing w:after="0" w:line="240" w:lineRule="auto"/>
              <w:jc w:val="center"/>
              <w:rPr>
                <w:rFonts w:asciiTheme="majorHAnsi" w:eastAsia="Times New Roman" w:hAnsiTheme="majorHAnsi" w:cstheme="majorHAnsi"/>
                <w:sz w:val="20"/>
                <w:szCs w:val="20"/>
              </w:rPr>
            </w:pPr>
            <w:r w:rsidRPr="00DD4C71">
              <w:rPr>
                <w:rFonts w:asciiTheme="majorHAnsi" w:hAnsiTheme="majorHAnsi" w:cstheme="majorHAnsi"/>
                <w:sz w:val="20"/>
                <w:szCs w:val="20"/>
              </w:rPr>
              <w:t>1,118.1</w:t>
            </w:r>
          </w:p>
        </w:tc>
        <w:tc>
          <w:tcPr>
            <w:tcW w:w="992" w:type="dxa"/>
            <w:tcBorders>
              <w:top w:val="nil"/>
              <w:left w:val="nil"/>
              <w:bottom w:val="nil"/>
              <w:right w:val="nil"/>
            </w:tcBorders>
            <w:shd w:val="clear" w:color="auto" w:fill="D9D9D9" w:themeFill="background1" w:themeFillShade="D9"/>
            <w:noWrap/>
            <w:vAlign w:val="center"/>
            <w:hideMark/>
          </w:tcPr>
          <w:p w14:paraId="4955C64C" w14:textId="77777777" w:rsidR="007502C1" w:rsidRPr="00DD4C71" w:rsidRDefault="007502C1" w:rsidP="009E791A">
            <w:pPr>
              <w:spacing w:after="0" w:line="240" w:lineRule="auto"/>
              <w:jc w:val="center"/>
              <w:rPr>
                <w:rFonts w:asciiTheme="majorHAnsi" w:eastAsia="Times New Roman" w:hAnsiTheme="majorHAnsi" w:cstheme="majorHAnsi"/>
                <w:sz w:val="20"/>
                <w:szCs w:val="20"/>
              </w:rPr>
            </w:pPr>
            <w:r w:rsidRPr="00DD4C71">
              <w:rPr>
                <w:rFonts w:asciiTheme="majorHAnsi" w:hAnsiTheme="majorHAnsi" w:cstheme="majorHAnsi"/>
                <w:sz w:val="20"/>
                <w:szCs w:val="20"/>
              </w:rPr>
              <w:t>0.5</w:t>
            </w:r>
          </w:p>
        </w:tc>
        <w:tc>
          <w:tcPr>
            <w:tcW w:w="993" w:type="dxa"/>
            <w:tcBorders>
              <w:top w:val="nil"/>
              <w:left w:val="nil"/>
              <w:bottom w:val="nil"/>
              <w:right w:val="nil"/>
            </w:tcBorders>
            <w:shd w:val="clear" w:color="auto" w:fill="D9D9D9" w:themeFill="background1" w:themeFillShade="D9"/>
            <w:noWrap/>
            <w:vAlign w:val="center"/>
            <w:hideMark/>
          </w:tcPr>
          <w:p w14:paraId="7AA525E7" w14:textId="77777777" w:rsidR="007502C1" w:rsidRPr="00DD4C71" w:rsidRDefault="007502C1" w:rsidP="009E791A">
            <w:pPr>
              <w:spacing w:after="0" w:line="240" w:lineRule="auto"/>
              <w:jc w:val="center"/>
              <w:rPr>
                <w:rFonts w:asciiTheme="majorHAnsi" w:eastAsia="Times New Roman" w:hAnsiTheme="majorHAnsi" w:cstheme="majorHAnsi"/>
                <w:sz w:val="20"/>
                <w:szCs w:val="20"/>
              </w:rPr>
            </w:pPr>
            <w:r w:rsidRPr="00DD4C71">
              <w:rPr>
                <w:rFonts w:asciiTheme="majorHAnsi" w:hAnsiTheme="majorHAnsi" w:cstheme="majorHAnsi"/>
                <w:sz w:val="20"/>
                <w:szCs w:val="20"/>
              </w:rPr>
              <w:t>0.0</w:t>
            </w:r>
          </w:p>
        </w:tc>
        <w:tc>
          <w:tcPr>
            <w:tcW w:w="1134" w:type="dxa"/>
            <w:tcBorders>
              <w:top w:val="nil"/>
              <w:left w:val="nil"/>
              <w:bottom w:val="nil"/>
              <w:right w:val="nil"/>
            </w:tcBorders>
            <w:shd w:val="clear" w:color="auto" w:fill="D9D9D9" w:themeFill="background1" w:themeFillShade="D9"/>
            <w:noWrap/>
            <w:vAlign w:val="center"/>
            <w:hideMark/>
          </w:tcPr>
          <w:p w14:paraId="2CABF605" w14:textId="77777777" w:rsidR="007502C1" w:rsidRPr="00DD4C71" w:rsidRDefault="007502C1" w:rsidP="009E791A">
            <w:pPr>
              <w:spacing w:after="0" w:line="240" w:lineRule="auto"/>
              <w:jc w:val="center"/>
              <w:rPr>
                <w:rFonts w:asciiTheme="majorHAnsi" w:eastAsia="Times New Roman" w:hAnsiTheme="majorHAnsi" w:cstheme="majorHAnsi"/>
                <w:sz w:val="20"/>
                <w:szCs w:val="20"/>
              </w:rPr>
            </w:pPr>
            <w:r w:rsidRPr="00DD4C71">
              <w:rPr>
                <w:rFonts w:asciiTheme="majorHAnsi" w:hAnsiTheme="majorHAnsi" w:cstheme="majorHAnsi"/>
                <w:sz w:val="20"/>
                <w:szCs w:val="20"/>
              </w:rPr>
              <w:t>15.1</w:t>
            </w:r>
          </w:p>
        </w:tc>
        <w:tc>
          <w:tcPr>
            <w:tcW w:w="992" w:type="dxa"/>
            <w:tcBorders>
              <w:top w:val="nil"/>
              <w:left w:val="nil"/>
              <w:bottom w:val="nil"/>
              <w:right w:val="nil"/>
            </w:tcBorders>
            <w:shd w:val="clear" w:color="auto" w:fill="D9D9D9" w:themeFill="background1" w:themeFillShade="D9"/>
            <w:noWrap/>
            <w:vAlign w:val="center"/>
            <w:hideMark/>
          </w:tcPr>
          <w:p w14:paraId="5C09F542" w14:textId="77777777" w:rsidR="007502C1" w:rsidRPr="00DD4C71" w:rsidRDefault="007502C1" w:rsidP="009E791A">
            <w:pPr>
              <w:spacing w:after="0" w:line="240" w:lineRule="auto"/>
              <w:jc w:val="center"/>
              <w:rPr>
                <w:rFonts w:asciiTheme="majorHAnsi" w:eastAsia="Times New Roman" w:hAnsiTheme="majorHAnsi" w:cstheme="majorHAnsi"/>
                <w:sz w:val="20"/>
                <w:szCs w:val="20"/>
              </w:rPr>
            </w:pPr>
            <w:r w:rsidRPr="00DD4C71">
              <w:rPr>
                <w:rFonts w:asciiTheme="majorHAnsi" w:hAnsiTheme="majorHAnsi" w:cstheme="majorHAnsi"/>
                <w:sz w:val="20"/>
                <w:szCs w:val="20"/>
              </w:rPr>
              <w:t>1.4</w:t>
            </w:r>
          </w:p>
        </w:tc>
      </w:tr>
      <w:tr w:rsidR="007502C1" w:rsidRPr="00DD4C71" w14:paraId="5096F0F2" w14:textId="77777777" w:rsidTr="009E791A">
        <w:trPr>
          <w:trHeight w:val="278"/>
        </w:trPr>
        <w:tc>
          <w:tcPr>
            <w:tcW w:w="2694" w:type="dxa"/>
            <w:tcBorders>
              <w:top w:val="nil"/>
              <w:left w:val="nil"/>
              <w:bottom w:val="nil"/>
              <w:right w:val="nil"/>
            </w:tcBorders>
            <w:shd w:val="clear" w:color="auto" w:fill="FFFFFF" w:themeFill="background1"/>
            <w:noWrap/>
            <w:vAlign w:val="center"/>
            <w:hideMark/>
          </w:tcPr>
          <w:p w14:paraId="3B09CB48" w14:textId="77777777" w:rsidR="007502C1" w:rsidRPr="00DD4C71" w:rsidRDefault="007502C1" w:rsidP="009E791A">
            <w:pPr>
              <w:spacing w:after="0" w:line="240" w:lineRule="auto"/>
              <w:rPr>
                <w:rFonts w:asciiTheme="majorHAnsi" w:eastAsia="Times New Roman" w:hAnsiTheme="majorHAnsi" w:cstheme="majorHAnsi"/>
                <w:color w:val="000000"/>
                <w:sz w:val="20"/>
                <w:szCs w:val="20"/>
                <w:lang w:eastAsia="en-AU"/>
              </w:rPr>
            </w:pPr>
            <w:r w:rsidRPr="00DD4C71">
              <w:rPr>
                <w:rFonts w:asciiTheme="majorHAnsi" w:hAnsiTheme="majorHAnsi" w:cstheme="majorHAnsi"/>
                <w:color w:val="000000"/>
                <w:sz w:val="20"/>
                <w:szCs w:val="20"/>
              </w:rPr>
              <w:t>Machinery Operators and Drivers</w:t>
            </w:r>
          </w:p>
        </w:tc>
        <w:tc>
          <w:tcPr>
            <w:tcW w:w="1275" w:type="dxa"/>
            <w:tcBorders>
              <w:top w:val="nil"/>
              <w:left w:val="nil"/>
              <w:bottom w:val="nil"/>
              <w:right w:val="nil"/>
            </w:tcBorders>
            <w:shd w:val="clear" w:color="auto" w:fill="FFFFFF" w:themeFill="background1"/>
            <w:noWrap/>
            <w:vAlign w:val="center"/>
            <w:hideMark/>
          </w:tcPr>
          <w:p w14:paraId="01C84B66" w14:textId="77777777" w:rsidR="007502C1" w:rsidRPr="00DD4C71" w:rsidRDefault="007502C1" w:rsidP="009E791A">
            <w:pPr>
              <w:spacing w:after="0" w:line="240" w:lineRule="auto"/>
              <w:jc w:val="center"/>
              <w:rPr>
                <w:rFonts w:asciiTheme="majorHAnsi" w:eastAsia="Times New Roman" w:hAnsiTheme="majorHAnsi" w:cstheme="majorHAnsi"/>
                <w:sz w:val="20"/>
                <w:szCs w:val="20"/>
              </w:rPr>
            </w:pPr>
            <w:r w:rsidRPr="00DD4C71">
              <w:rPr>
                <w:rFonts w:asciiTheme="majorHAnsi" w:hAnsiTheme="majorHAnsi" w:cstheme="majorHAnsi"/>
                <w:sz w:val="20"/>
                <w:szCs w:val="20"/>
              </w:rPr>
              <w:t>922.3</w:t>
            </w:r>
          </w:p>
        </w:tc>
        <w:tc>
          <w:tcPr>
            <w:tcW w:w="1276" w:type="dxa"/>
            <w:tcBorders>
              <w:top w:val="nil"/>
              <w:left w:val="nil"/>
              <w:bottom w:val="nil"/>
              <w:right w:val="nil"/>
            </w:tcBorders>
            <w:shd w:val="clear" w:color="auto" w:fill="FFFFFF" w:themeFill="background1"/>
            <w:noWrap/>
            <w:vAlign w:val="center"/>
            <w:hideMark/>
          </w:tcPr>
          <w:p w14:paraId="7C012B0B" w14:textId="77777777" w:rsidR="007502C1" w:rsidRPr="00DD4C71" w:rsidRDefault="007502C1" w:rsidP="009E791A">
            <w:pPr>
              <w:spacing w:after="0" w:line="240" w:lineRule="auto"/>
              <w:jc w:val="center"/>
              <w:rPr>
                <w:rFonts w:asciiTheme="majorHAnsi" w:eastAsia="Times New Roman" w:hAnsiTheme="majorHAnsi" w:cstheme="majorHAnsi"/>
                <w:sz w:val="20"/>
                <w:szCs w:val="20"/>
              </w:rPr>
            </w:pPr>
            <w:r w:rsidRPr="00DD4C71">
              <w:rPr>
                <w:rFonts w:asciiTheme="majorHAnsi" w:hAnsiTheme="majorHAnsi" w:cstheme="majorHAnsi"/>
                <w:sz w:val="20"/>
                <w:szCs w:val="20"/>
              </w:rPr>
              <w:t>897.5</w:t>
            </w:r>
          </w:p>
        </w:tc>
        <w:tc>
          <w:tcPr>
            <w:tcW w:w="992" w:type="dxa"/>
            <w:tcBorders>
              <w:top w:val="nil"/>
              <w:left w:val="nil"/>
              <w:bottom w:val="nil"/>
              <w:right w:val="nil"/>
            </w:tcBorders>
            <w:shd w:val="clear" w:color="auto" w:fill="FFFFFF" w:themeFill="background1"/>
            <w:noWrap/>
            <w:vAlign w:val="center"/>
            <w:hideMark/>
          </w:tcPr>
          <w:p w14:paraId="53DD3E88" w14:textId="77777777" w:rsidR="007502C1" w:rsidRPr="00DD4C71" w:rsidRDefault="007502C1" w:rsidP="009E791A">
            <w:pPr>
              <w:spacing w:after="0" w:line="240" w:lineRule="auto"/>
              <w:jc w:val="center"/>
              <w:rPr>
                <w:rFonts w:asciiTheme="majorHAnsi" w:eastAsia="Times New Roman" w:hAnsiTheme="majorHAnsi" w:cstheme="majorHAnsi"/>
                <w:sz w:val="20"/>
                <w:szCs w:val="20"/>
              </w:rPr>
            </w:pPr>
            <w:r w:rsidRPr="00DD4C71">
              <w:rPr>
                <w:rFonts w:asciiTheme="majorHAnsi" w:hAnsiTheme="majorHAnsi" w:cstheme="majorHAnsi"/>
                <w:sz w:val="20"/>
                <w:szCs w:val="20"/>
              </w:rPr>
              <w:t>24.9</w:t>
            </w:r>
          </w:p>
        </w:tc>
        <w:tc>
          <w:tcPr>
            <w:tcW w:w="993" w:type="dxa"/>
            <w:tcBorders>
              <w:top w:val="nil"/>
              <w:left w:val="nil"/>
              <w:bottom w:val="nil"/>
              <w:right w:val="nil"/>
            </w:tcBorders>
            <w:shd w:val="clear" w:color="auto" w:fill="FFFFFF" w:themeFill="background1"/>
            <w:noWrap/>
            <w:vAlign w:val="center"/>
            <w:hideMark/>
          </w:tcPr>
          <w:p w14:paraId="69B4C9C9" w14:textId="77777777" w:rsidR="007502C1" w:rsidRPr="00DD4C71" w:rsidRDefault="007502C1" w:rsidP="009E791A">
            <w:pPr>
              <w:spacing w:after="0" w:line="240" w:lineRule="auto"/>
              <w:jc w:val="center"/>
              <w:rPr>
                <w:rFonts w:asciiTheme="majorHAnsi" w:eastAsia="Times New Roman" w:hAnsiTheme="majorHAnsi" w:cstheme="majorHAnsi"/>
                <w:sz w:val="20"/>
                <w:szCs w:val="20"/>
              </w:rPr>
            </w:pPr>
            <w:r w:rsidRPr="00DD4C71">
              <w:rPr>
                <w:rFonts w:asciiTheme="majorHAnsi" w:hAnsiTheme="majorHAnsi" w:cstheme="majorHAnsi"/>
                <w:sz w:val="20"/>
                <w:szCs w:val="20"/>
              </w:rPr>
              <w:t>2.8</w:t>
            </w:r>
          </w:p>
        </w:tc>
        <w:tc>
          <w:tcPr>
            <w:tcW w:w="1134" w:type="dxa"/>
            <w:tcBorders>
              <w:top w:val="nil"/>
              <w:left w:val="nil"/>
              <w:bottom w:val="nil"/>
              <w:right w:val="nil"/>
            </w:tcBorders>
            <w:shd w:val="clear" w:color="auto" w:fill="FFFFFF" w:themeFill="background1"/>
            <w:noWrap/>
            <w:vAlign w:val="center"/>
            <w:hideMark/>
          </w:tcPr>
          <w:p w14:paraId="57AE10D0" w14:textId="77777777" w:rsidR="007502C1" w:rsidRPr="00DD4C71" w:rsidRDefault="007502C1" w:rsidP="009E791A">
            <w:pPr>
              <w:spacing w:after="0" w:line="240" w:lineRule="auto"/>
              <w:jc w:val="center"/>
              <w:rPr>
                <w:rFonts w:asciiTheme="majorHAnsi" w:eastAsia="Times New Roman" w:hAnsiTheme="majorHAnsi" w:cstheme="majorHAnsi"/>
                <w:sz w:val="20"/>
                <w:szCs w:val="20"/>
              </w:rPr>
            </w:pPr>
            <w:r w:rsidRPr="00DD4C71">
              <w:rPr>
                <w:rFonts w:asciiTheme="majorHAnsi" w:hAnsiTheme="majorHAnsi" w:cstheme="majorHAnsi"/>
                <w:sz w:val="20"/>
                <w:szCs w:val="20"/>
              </w:rPr>
              <w:t>53.5</w:t>
            </w:r>
          </w:p>
        </w:tc>
        <w:tc>
          <w:tcPr>
            <w:tcW w:w="992" w:type="dxa"/>
            <w:tcBorders>
              <w:top w:val="nil"/>
              <w:left w:val="nil"/>
              <w:bottom w:val="nil"/>
              <w:right w:val="nil"/>
            </w:tcBorders>
            <w:shd w:val="clear" w:color="auto" w:fill="FFFFFF" w:themeFill="background1"/>
            <w:noWrap/>
            <w:vAlign w:val="center"/>
            <w:hideMark/>
          </w:tcPr>
          <w:p w14:paraId="4BC7F1E0" w14:textId="77777777" w:rsidR="007502C1" w:rsidRPr="00DD4C71" w:rsidRDefault="007502C1" w:rsidP="009E791A">
            <w:pPr>
              <w:spacing w:after="0" w:line="240" w:lineRule="auto"/>
              <w:jc w:val="center"/>
              <w:rPr>
                <w:rFonts w:asciiTheme="majorHAnsi" w:eastAsia="Times New Roman" w:hAnsiTheme="majorHAnsi" w:cstheme="majorHAnsi"/>
                <w:sz w:val="20"/>
                <w:szCs w:val="20"/>
              </w:rPr>
            </w:pPr>
            <w:r w:rsidRPr="00DD4C71">
              <w:rPr>
                <w:rFonts w:asciiTheme="majorHAnsi" w:hAnsiTheme="majorHAnsi" w:cstheme="majorHAnsi"/>
                <w:sz w:val="20"/>
                <w:szCs w:val="20"/>
              </w:rPr>
              <w:t>6.2</w:t>
            </w:r>
          </w:p>
        </w:tc>
      </w:tr>
      <w:tr w:rsidR="007502C1" w:rsidRPr="00DD4C71" w14:paraId="259D9E84" w14:textId="77777777" w:rsidTr="009E791A">
        <w:trPr>
          <w:trHeight w:val="278"/>
        </w:trPr>
        <w:tc>
          <w:tcPr>
            <w:tcW w:w="2694" w:type="dxa"/>
            <w:tcBorders>
              <w:top w:val="nil"/>
              <w:left w:val="nil"/>
              <w:right w:val="nil"/>
            </w:tcBorders>
            <w:shd w:val="clear" w:color="auto" w:fill="D9D9D9" w:themeFill="background1" w:themeFillShade="D9"/>
            <w:noWrap/>
            <w:vAlign w:val="center"/>
            <w:hideMark/>
          </w:tcPr>
          <w:p w14:paraId="49A65432" w14:textId="77777777" w:rsidR="007502C1" w:rsidRPr="00DD4C71" w:rsidRDefault="007502C1" w:rsidP="009E791A">
            <w:pPr>
              <w:spacing w:after="0" w:line="240" w:lineRule="auto"/>
              <w:rPr>
                <w:rFonts w:asciiTheme="majorHAnsi" w:eastAsia="Times New Roman" w:hAnsiTheme="majorHAnsi" w:cstheme="majorHAnsi"/>
                <w:color w:val="000000"/>
                <w:sz w:val="20"/>
                <w:szCs w:val="20"/>
                <w:lang w:eastAsia="en-AU"/>
              </w:rPr>
            </w:pPr>
            <w:r w:rsidRPr="00DD4C71">
              <w:rPr>
                <w:rFonts w:asciiTheme="majorHAnsi" w:hAnsiTheme="majorHAnsi" w:cstheme="majorHAnsi"/>
                <w:color w:val="000000"/>
                <w:sz w:val="20"/>
                <w:szCs w:val="20"/>
              </w:rPr>
              <w:t>Labourers</w:t>
            </w:r>
          </w:p>
        </w:tc>
        <w:tc>
          <w:tcPr>
            <w:tcW w:w="1275" w:type="dxa"/>
            <w:tcBorders>
              <w:top w:val="nil"/>
              <w:left w:val="nil"/>
              <w:right w:val="nil"/>
            </w:tcBorders>
            <w:shd w:val="clear" w:color="auto" w:fill="D9D9D9" w:themeFill="background1" w:themeFillShade="D9"/>
            <w:noWrap/>
            <w:vAlign w:val="center"/>
            <w:hideMark/>
          </w:tcPr>
          <w:p w14:paraId="0CF8EBAB" w14:textId="77777777" w:rsidR="007502C1" w:rsidRPr="00DD4C71" w:rsidRDefault="007502C1" w:rsidP="009E791A">
            <w:pPr>
              <w:spacing w:after="0" w:line="240" w:lineRule="auto"/>
              <w:jc w:val="center"/>
              <w:rPr>
                <w:rFonts w:asciiTheme="majorHAnsi" w:eastAsia="Times New Roman" w:hAnsiTheme="majorHAnsi" w:cstheme="majorHAnsi"/>
                <w:sz w:val="20"/>
                <w:szCs w:val="20"/>
              </w:rPr>
            </w:pPr>
            <w:r w:rsidRPr="00DD4C71">
              <w:rPr>
                <w:rFonts w:asciiTheme="majorHAnsi" w:hAnsiTheme="majorHAnsi" w:cstheme="majorHAnsi"/>
                <w:sz w:val="20"/>
                <w:szCs w:val="20"/>
              </w:rPr>
              <w:t>1,220.7</w:t>
            </w:r>
          </w:p>
        </w:tc>
        <w:tc>
          <w:tcPr>
            <w:tcW w:w="1276" w:type="dxa"/>
            <w:tcBorders>
              <w:top w:val="nil"/>
              <w:left w:val="nil"/>
              <w:right w:val="nil"/>
            </w:tcBorders>
            <w:shd w:val="clear" w:color="auto" w:fill="D9D9D9" w:themeFill="background1" w:themeFillShade="D9"/>
            <w:noWrap/>
            <w:vAlign w:val="center"/>
            <w:hideMark/>
          </w:tcPr>
          <w:p w14:paraId="4475A902" w14:textId="77777777" w:rsidR="007502C1" w:rsidRPr="00DD4C71" w:rsidRDefault="007502C1" w:rsidP="009E791A">
            <w:pPr>
              <w:spacing w:after="0" w:line="240" w:lineRule="auto"/>
              <w:jc w:val="center"/>
              <w:rPr>
                <w:rFonts w:asciiTheme="majorHAnsi" w:eastAsia="Times New Roman" w:hAnsiTheme="majorHAnsi" w:cstheme="majorHAnsi"/>
                <w:sz w:val="20"/>
                <w:szCs w:val="20"/>
              </w:rPr>
            </w:pPr>
            <w:r w:rsidRPr="00DD4C71">
              <w:rPr>
                <w:rFonts w:asciiTheme="majorHAnsi" w:hAnsiTheme="majorHAnsi" w:cstheme="majorHAnsi"/>
                <w:sz w:val="20"/>
                <w:szCs w:val="20"/>
              </w:rPr>
              <w:t>1,210.7</w:t>
            </w:r>
          </w:p>
        </w:tc>
        <w:tc>
          <w:tcPr>
            <w:tcW w:w="992" w:type="dxa"/>
            <w:tcBorders>
              <w:top w:val="nil"/>
              <w:left w:val="nil"/>
              <w:right w:val="nil"/>
            </w:tcBorders>
            <w:shd w:val="clear" w:color="auto" w:fill="D9D9D9" w:themeFill="background1" w:themeFillShade="D9"/>
            <w:noWrap/>
            <w:vAlign w:val="center"/>
            <w:hideMark/>
          </w:tcPr>
          <w:p w14:paraId="70E179CE" w14:textId="77777777" w:rsidR="007502C1" w:rsidRPr="00DD4C71" w:rsidRDefault="007502C1" w:rsidP="009E791A">
            <w:pPr>
              <w:spacing w:after="0" w:line="240" w:lineRule="auto"/>
              <w:jc w:val="center"/>
              <w:rPr>
                <w:rFonts w:asciiTheme="majorHAnsi" w:eastAsia="Times New Roman" w:hAnsiTheme="majorHAnsi" w:cstheme="majorHAnsi"/>
                <w:sz w:val="20"/>
                <w:szCs w:val="20"/>
              </w:rPr>
            </w:pPr>
            <w:r w:rsidRPr="00DD4C71">
              <w:rPr>
                <w:rFonts w:asciiTheme="majorHAnsi" w:hAnsiTheme="majorHAnsi" w:cstheme="majorHAnsi"/>
                <w:sz w:val="20"/>
                <w:szCs w:val="20"/>
              </w:rPr>
              <w:t>10.0</w:t>
            </w:r>
          </w:p>
        </w:tc>
        <w:tc>
          <w:tcPr>
            <w:tcW w:w="993" w:type="dxa"/>
            <w:tcBorders>
              <w:top w:val="nil"/>
              <w:left w:val="nil"/>
              <w:right w:val="nil"/>
            </w:tcBorders>
            <w:shd w:val="clear" w:color="auto" w:fill="D9D9D9" w:themeFill="background1" w:themeFillShade="D9"/>
            <w:noWrap/>
            <w:vAlign w:val="center"/>
            <w:hideMark/>
          </w:tcPr>
          <w:p w14:paraId="150ACA00" w14:textId="77777777" w:rsidR="007502C1" w:rsidRPr="00DD4C71" w:rsidRDefault="007502C1" w:rsidP="009E791A">
            <w:pPr>
              <w:spacing w:after="0" w:line="240" w:lineRule="auto"/>
              <w:jc w:val="center"/>
              <w:rPr>
                <w:rFonts w:asciiTheme="majorHAnsi" w:eastAsia="Times New Roman" w:hAnsiTheme="majorHAnsi" w:cstheme="majorHAnsi"/>
                <w:sz w:val="20"/>
                <w:szCs w:val="20"/>
              </w:rPr>
            </w:pPr>
            <w:r w:rsidRPr="00DD4C71">
              <w:rPr>
                <w:rFonts w:asciiTheme="majorHAnsi" w:hAnsiTheme="majorHAnsi" w:cstheme="majorHAnsi"/>
                <w:sz w:val="20"/>
                <w:szCs w:val="20"/>
              </w:rPr>
              <w:t>0.8</w:t>
            </w:r>
          </w:p>
        </w:tc>
        <w:tc>
          <w:tcPr>
            <w:tcW w:w="1134" w:type="dxa"/>
            <w:tcBorders>
              <w:top w:val="nil"/>
              <w:left w:val="nil"/>
              <w:right w:val="nil"/>
            </w:tcBorders>
            <w:shd w:val="clear" w:color="auto" w:fill="D9D9D9" w:themeFill="background1" w:themeFillShade="D9"/>
            <w:noWrap/>
            <w:vAlign w:val="center"/>
            <w:hideMark/>
          </w:tcPr>
          <w:p w14:paraId="59F426B5" w14:textId="77777777" w:rsidR="007502C1" w:rsidRPr="00DD4C71" w:rsidRDefault="007502C1" w:rsidP="009E791A">
            <w:pPr>
              <w:spacing w:after="0" w:line="240" w:lineRule="auto"/>
              <w:jc w:val="center"/>
              <w:rPr>
                <w:rFonts w:asciiTheme="majorHAnsi" w:eastAsia="Times New Roman" w:hAnsiTheme="majorHAnsi" w:cstheme="majorHAnsi"/>
                <w:sz w:val="20"/>
                <w:szCs w:val="20"/>
              </w:rPr>
            </w:pPr>
            <w:r w:rsidRPr="00DD4C71">
              <w:rPr>
                <w:rFonts w:asciiTheme="majorHAnsi" w:hAnsiTheme="majorHAnsi" w:cstheme="majorHAnsi"/>
                <w:sz w:val="20"/>
                <w:szCs w:val="20"/>
              </w:rPr>
              <w:t>-3.8</w:t>
            </w:r>
          </w:p>
        </w:tc>
        <w:tc>
          <w:tcPr>
            <w:tcW w:w="992" w:type="dxa"/>
            <w:tcBorders>
              <w:top w:val="nil"/>
              <w:left w:val="nil"/>
              <w:right w:val="nil"/>
            </w:tcBorders>
            <w:shd w:val="clear" w:color="auto" w:fill="D9D9D9" w:themeFill="background1" w:themeFillShade="D9"/>
            <w:noWrap/>
            <w:vAlign w:val="center"/>
            <w:hideMark/>
          </w:tcPr>
          <w:p w14:paraId="067DDD40" w14:textId="77777777" w:rsidR="007502C1" w:rsidRPr="00DD4C71" w:rsidRDefault="007502C1" w:rsidP="009E791A">
            <w:pPr>
              <w:spacing w:after="0" w:line="240" w:lineRule="auto"/>
              <w:jc w:val="center"/>
              <w:rPr>
                <w:rFonts w:asciiTheme="majorHAnsi" w:eastAsia="Times New Roman" w:hAnsiTheme="majorHAnsi" w:cstheme="majorHAnsi"/>
                <w:sz w:val="20"/>
                <w:szCs w:val="20"/>
              </w:rPr>
            </w:pPr>
            <w:r w:rsidRPr="00DD4C71">
              <w:rPr>
                <w:rFonts w:asciiTheme="majorHAnsi" w:hAnsiTheme="majorHAnsi" w:cstheme="majorHAnsi"/>
                <w:sz w:val="20"/>
                <w:szCs w:val="20"/>
              </w:rPr>
              <w:t>-0.3</w:t>
            </w:r>
          </w:p>
        </w:tc>
      </w:tr>
      <w:tr w:rsidR="007502C1" w:rsidRPr="00DD4C71" w14:paraId="5F25DBB8" w14:textId="77777777" w:rsidTr="009E791A">
        <w:trPr>
          <w:trHeight w:val="299"/>
        </w:trPr>
        <w:tc>
          <w:tcPr>
            <w:tcW w:w="2694" w:type="dxa"/>
            <w:tcBorders>
              <w:top w:val="nil"/>
              <w:left w:val="nil"/>
              <w:bottom w:val="single" w:sz="4" w:space="0" w:color="auto"/>
              <w:right w:val="nil"/>
            </w:tcBorders>
            <w:shd w:val="clear" w:color="auto" w:fill="FFFFFF" w:themeFill="background1"/>
            <w:noWrap/>
            <w:vAlign w:val="center"/>
          </w:tcPr>
          <w:p w14:paraId="2AD7059F" w14:textId="77777777" w:rsidR="007502C1" w:rsidRPr="00DD4C71" w:rsidRDefault="007502C1" w:rsidP="009E791A">
            <w:pPr>
              <w:spacing w:after="0" w:line="240" w:lineRule="auto"/>
              <w:rPr>
                <w:rFonts w:asciiTheme="majorHAnsi" w:hAnsiTheme="majorHAnsi" w:cstheme="majorHAnsi"/>
                <w:color w:val="000000"/>
                <w:sz w:val="20"/>
                <w:szCs w:val="20"/>
              </w:rPr>
            </w:pPr>
            <w:r w:rsidRPr="00DD4C71">
              <w:rPr>
                <w:rFonts w:asciiTheme="majorHAnsi" w:hAnsiTheme="majorHAnsi" w:cstheme="majorHAnsi"/>
                <w:b/>
                <w:bCs/>
                <w:sz w:val="20"/>
                <w:szCs w:val="20"/>
              </w:rPr>
              <w:t>TOTAL EMPLOYMENT</w:t>
            </w:r>
          </w:p>
        </w:tc>
        <w:tc>
          <w:tcPr>
            <w:tcW w:w="1275" w:type="dxa"/>
            <w:tcBorders>
              <w:top w:val="nil"/>
              <w:left w:val="nil"/>
              <w:bottom w:val="single" w:sz="4" w:space="0" w:color="auto"/>
              <w:right w:val="nil"/>
            </w:tcBorders>
            <w:shd w:val="clear" w:color="auto" w:fill="FFFFFF" w:themeFill="background1"/>
            <w:noWrap/>
            <w:vAlign w:val="center"/>
          </w:tcPr>
          <w:p w14:paraId="15FF6C2C" w14:textId="77777777" w:rsidR="007502C1" w:rsidRPr="00DD4C71" w:rsidRDefault="007502C1" w:rsidP="009E791A">
            <w:pPr>
              <w:spacing w:after="0" w:line="240" w:lineRule="auto"/>
              <w:jc w:val="center"/>
              <w:rPr>
                <w:rFonts w:asciiTheme="majorHAnsi" w:eastAsia="Times New Roman" w:hAnsiTheme="majorHAnsi" w:cstheme="majorHAnsi"/>
                <w:b/>
                <w:bCs/>
                <w:sz w:val="20"/>
                <w:szCs w:val="20"/>
              </w:rPr>
            </w:pPr>
            <w:r w:rsidRPr="00DD4C71">
              <w:rPr>
                <w:rFonts w:asciiTheme="majorHAnsi" w:hAnsiTheme="majorHAnsi" w:cstheme="majorHAnsi"/>
                <w:b/>
                <w:bCs/>
                <w:color w:val="000000"/>
                <w:sz w:val="20"/>
                <w:szCs w:val="20"/>
              </w:rPr>
              <w:t>14,410.4</w:t>
            </w:r>
          </w:p>
        </w:tc>
        <w:tc>
          <w:tcPr>
            <w:tcW w:w="1276" w:type="dxa"/>
            <w:tcBorders>
              <w:top w:val="nil"/>
              <w:left w:val="nil"/>
              <w:bottom w:val="single" w:sz="4" w:space="0" w:color="auto"/>
              <w:right w:val="nil"/>
            </w:tcBorders>
            <w:shd w:val="clear" w:color="auto" w:fill="FFFFFF" w:themeFill="background1"/>
            <w:noWrap/>
            <w:vAlign w:val="center"/>
          </w:tcPr>
          <w:p w14:paraId="02E58B6F" w14:textId="77777777" w:rsidR="007502C1" w:rsidRPr="00DD4C71" w:rsidRDefault="007502C1" w:rsidP="009E791A">
            <w:pPr>
              <w:spacing w:after="0" w:line="240" w:lineRule="auto"/>
              <w:jc w:val="center"/>
              <w:rPr>
                <w:rFonts w:asciiTheme="majorHAnsi" w:eastAsia="Times New Roman" w:hAnsiTheme="majorHAnsi" w:cstheme="majorHAnsi"/>
                <w:b/>
                <w:bCs/>
                <w:sz w:val="20"/>
                <w:szCs w:val="20"/>
              </w:rPr>
            </w:pPr>
            <w:r w:rsidRPr="00DD4C71">
              <w:rPr>
                <w:rFonts w:asciiTheme="majorHAnsi" w:hAnsiTheme="majorHAnsi" w:cstheme="majorHAnsi"/>
                <w:b/>
                <w:bCs/>
                <w:color w:val="000000"/>
                <w:sz w:val="20"/>
                <w:szCs w:val="20"/>
              </w:rPr>
              <w:t>14,006.6</w:t>
            </w:r>
          </w:p>
        </w:tc>
        <w:tc>
          <w:tcPr>
            <w:tcW w:w="992" w:type="dxa"/>
            <w:tcBorders>
              <w:top w:val="nil"/>
              <w:left w:val="nil"/>
              <w:bottom w:val="single" w:sz="4" w:space="0" w:color="auto"/>
              <w:right w:val="nil"/>
            </w:tcBorders>
            <w:shd w:val="clear" w:color="auto" w:fill="FFFFFF" w:themeFill="background1"/>
            <w:noWrap/>
            <w:vAlign w:val="center"/>
          </w:tcPr>
          <w:p w14:paraId="3B22E4AF" w14:textId="77777777" w:rsidR="007502C1" w:rsidRPr="00DD4C71" w:rsidRDefault="007502C1" w:rsidP="009E791A">
            <w:pPr>
              <w:spacing w:after="0" w:line="240" w:lineRule="auto"/>
              <w:jc w:val="center"/>
              <w:rPr>
                <w:rFonts w:asciiTheme="majorHAnsi" w:eastAsia="Times New Roman" w:hAnsiTheme="majorHAnsi" w:cstheme="majorHAnsi"/>
                <w:b/>
                <w:bCs/>
                <w:sz w:val="20"/>
                <w:szCs w:val="20"/>
              </w:rPr>
            </w:pPr>
            <w:r w:rsidRPr="00DD4C71">
              <w:rPr>
                <w:rFonts w:asciiTheme="majorHAnsi" w:hAnsiTheme="majorHAnsi" w:cstheme="majorHAnsi"/>
                <w:b/>
                <w:bCs/>
                <w:color w:val="000000"/>
                <w:sz w:val="20"/>
                <w:szCs w:val="20"/>
              </w:rPr>
              <w:t>403.8</w:t>
            </w:r>
          </w:p>
        </w:tc>
        <w:tc>
          <w:tcPr>
            <w:tcW w:w="993" w:type="dxa"/>
            <w:tcBorders>
              <w:top w:val="nil"/>
              <w:left w:val="nil"/>
              <w:bottom w:val="single" w:sz="4" w:space="0" w:color="auto"/>
              <w:right w:val="nil"/>
            </w:tcBorders>
            <w:shd w:val="clear" w:color="auto" w:fill="FFFFFF" w:themeFill="background1"/>
            <w:noWrap/>
            <w:vAlign w:val="center"/>
          </w:tcPr>
          <w:p w14:paraId="44ABF2BB" w14:textId="77777777" w:rsidR="007502C1" w:rsidRPr="00DD4C71" w:rsidRDefault="007502C1" w:rsidP="009E791A">
            <w:pPr>
              <w:spacing w:after="0" w:line="240" w:lineRule="auto"/>
              <w:jc w:val="center"/>
              <w:rPr>
                <w:rFonts w:asciiTheme="majorHAnsi" w:eastAsia="Times New Roman" w:hAnsiTheme="majorHAnsi" w:cstheme="majorHAnsi"/>
                <w:b/>
                <w:bCs/>
                <w:sz w:val="20"/>
                <w:szCs w:val="20"/>
              </w:rPr>
            </w:pPr>
            <w:r w:rsidRPr="00DD4C71">
              <w:rPr>
                <w:rFonts w:asciiTheme="majorHAnsi" w:hAnsiTheme="majorHAnsi" w:cstheme="majorHAnsi"/>
                <w:b/>
                <w:bCs/>
                <w:color w:val="000000"/>
                <w:sz w:val="20"/>
                <w:szCs w:val="20"/>
              </w:rPr>
              <w:t>2.9</w:t>
            </w:r>
          </w:p>
        </w:tc>
        <w:tc>
          <w:tcPr>
            <w:tcW w:w="1134" w:type="dxa"/>
            <w:tcBorders>
              <w:top w:val="nil"/>
              <w:left w:val="nil"/>
              <w:bottom w:val="single" w:sz="4" w:space="0" w:color="auto"/>
              <w:right w:val="nil"/>
            </w:tcBorders>
            <w:shd w:val="clear" w:color="auto" w:fill="FFFFFF" w:themeFill="background1"/>
            <w:noWrap/>
            <w:vAlign w:val="center"/>
          </w:tcPr>
          <w:p w14:paraId="138BC2A8" w14:textId="77777777" w:rsidR="007502C1" w:rsidRPr="00DD4C71" w:rsidRDefault="007502C1" w:rsidP="009E791A">
            <w:pPr>
              <w:spacing w:after="0" w:line="240" w:lineRule="auto"/>
              <w:jc w:val="center"/>
              <w:rPr>
                <w:rFonts w:asciiTheme="majorHAnsi" w:eastAsia="Times New Roman" w:hAnsiTheme="majorHAnsi" w:cstheme="majorHAnsi"/>
                <w:b/>
                <w:bCs/>
                <w:sz w:val="20"/>
                <w:szCs w:val="20"/>
              </w:rPr>
            </w:pPr>
            <w:r w:rsidRPr="00DD4C71">
              <w:rPr>
                <w:rFonts w:asciiTheme="majorHAnsi" w:hAnsiTheme="majorHAnsi" w:cstheme="majorHAnsi"/>
                <w:b/>
                <w:bCs/>
                <w:color w:val="000000"/>
                <w:sz w:val="20"/>
                <w:szCs w:val="20"/>
              </w:rPr>
              <w:t>1,574.4</w:t>
            </w:r>
          </w:p>
        </w:tc>
        <w:tc>
          <w:tcPr>
            <w:tcW w:w="992" w:type="dxa"/>
            <w:tcBorders>
              <w:top w:val="nil"/>
              <w:left w:val="nil"/>
              <w:bottom w:val="single" w:sz="4" w:space="0" w:color="auto"/>
              <w:right w:val="nil"/>
            </w:tcBorders>
            <w:shd w:val="clear" w:color="auto" w:fill="FFFFFF" w:themeFill="background1"/>
            <w:noWrap/>
            <w:vAlign w:val="center"/>
          </w:tcPr>
          <w:p w14:paraId="73B76EE2" w14:textId="77777777" w:rsidR="007502C1" w:rsidRPr="00DD4C71" w:rsidRDefault="007502C1" w:rsidP="009E791A">
            <w:pPr>
              <w:spacing w:after="0" w:line="240" w:lineRule="auto"/>
              <w:jc w:val="center"/>
              <w:rPr>
                <w:rFonts w:asciiTheme="majorHAnsi" w:eastAsia="Times New Roman" w:hAnsiTheme="majorHAnsi" w:cstheme="majorHAnsi"/>
                <w:b/>
                <w:bCs/>
                <w:sz w:val="20"/>
                <w:szCs w:val="20"/>
              </w:rPr>
            </w:pPr>
            <w:r w:rsidRPr="00DD4C71">
              <w:rPr>
                <w:rFonts w:asciiTheme="majorHAnsi" w:hAnsiTheme="majorHAnsi" w:cstheme="majorHAnsi"/>
                <w:b/>
                <w:bCs/>
                <w:color w:val="000000"/>
                <w:sz w:val="20"/>
                <w:szCs w:val="20"/>
              </w:rPr>
              <w:t>12.3</w:t>
            </w:r>
          </w:p>
        </w:tc>
      </w:tr>
    </w:tbl>
    <w:p w14:paraId="1AB06A0B" w14:textId="77777777" w:rsidR="0080312C" w:rsidRDefault="0080312C" w:rsidP="00DB5E6E">
      <w:pPr>
        <w:rPr>
          <w:rFonts w:cs="Arial"/>
        </w:rPr>
      </w:pPr>
    </w:p>
    <w:p w14:paraId="2DB69A98" w14:textId="77777777" w:rsidR="00A804D2" w:rsidRDefault="00A804D2" w:rsidP="00A804D2">
      <w:r w:rsidRPr="00DD4C71">
        <w:t>The shift towards higher skill levels in recent years is a continuation of a long-term trend, as the workforce has become more highly educated and employment has transitioned towards services-based industries. Over the 5 years to May 2024, the share of total employment accounted for by Skill Level 1 occupations increased by 3.0 percentage points to 34.7% in May 2024, while the share of total employment accounted for by Skill Level 5 occupations fell by 1.8 percentage points to 13.8%.</w:t>
      </w:r>
    </w:p>
    <w:p w14:paraId="5733906F" w14:textId="77777777" w:rsidR="00A804D2" w:rsidRDefault="00A804D2" w:rsidP="00DB5E6E">
      <w:pPr>
        <w:rPr>
          <w:rFonts w:cs="Arial"/>
        </w:rPr>
      </w:pPr>
    </w:p>
    <w:p w14:paraId="71CD9E4E" w14:textId="77777777" w:rsidR="00A804D2" w:rsidRDefault="00A804D2" w:rsidP="00DB5E6E">
      <w:pPr>
        <w:rPr>
          <w:rFonts w:cs="Arial"/>
        </w:rPr>
      </w:pPr>
    </w:p>
    <w:p w14:paraId="2A332C17" w14:textId="77777777" w:rsidR="00A804D2" w:rsidRDefault="00A804D2" w:rsidP="00DB5E6E">
      <w:pPr>
        <w:rPr>
          <w:rFonts w:cs="Arial"/>
        </w:rPr>
      </w:pPr>
    </w:p>
    <w:p w14:paraId="72737BB5" w14:textId="04393B89" w:rsidR="00775843" w:rsidRPr="00DD4C71" w:rsidRDefault="00775843" w:rsidP="00775843">
      <w:pPr>
        <w:pStyle w:val="ChartandTablelabel"/>
        <w:rPr>
          <w:lang w:val="en-AU"/>
        </w:rPr>
      </w:pPr>
      <w:r w:rsidRPr="00DD4C71">
        <w:rPr>
          <w:lang w:val="en-AU"/>
        </w:rPr>
        <w:lastRenderedPageBreak/>
        <w:t xml:space="preserve">Table </w:t>
      </w:r>
      <w:r w:rsidR="00904B4B">
        <w:rPr>
          <w:lang w:val="en-AU"/>
        </w:rPr>
        <w:t>5</w:t>
      </w:r>
      <w:r w:rsidRPr="00DD4C71">
        <w:rPr>
          <w:lang w:val="en-AU"/>
        </w:rPr>
        <w:t>: Employment by skill levels</w:t>
      </w:r>
      <w:r w:rsidRPr="00DD4C71">
        <w:rPr>
          <w:rStyle w:val="FootnoteReference"/>
          <w:lang w:val="en-AU"/>
        </w:rPr>
        <w:footnoteReference w:id="4"/>
      </w:r>
    </w:p>
    <w:tbl>
      <w:tblPr>
        <w:tblW w:w="8931" w:type="dxa"/>
        <w:tblLayout w:type="fixed"/>
        <w:tblLook w:val="04A0" w:firstRow="1" w:lastRow="0" w:firstColumn="1" w:lastColumn="0" w:noHBand="0" w:noVBand="1"/>
      </w:tblPr>
      <w:tblGrid>
        <w:gridCol w:w="2268"/>
        <w:gridCol w:w="1276"/>
        <w:gridCol w:w="1276"/>
        <w:gridCol w:w="992"/>
        <w:gridCol w:w="992"/>
        <w:gridCol w:w="1134"/>
        <w:gridCol w:w="993"/>
      </w:tblGrid>
      <w:tr w:rsidR="00775843" w:rsidRPr="00DD4C71" w14:paraId="5B5B57CA" w14:textId="77777777" w:rsidTr="009E791A">
        <w:trPr>
          <w:trHeight w:val="340"/>
        </w:trPr>
        <w:tc>
          <w:tcPr>
            <w:tcW w:w="2268" w:type="dxa"/>
            <w:vMerge w:val="restart"/>
            <w:shd w:val="clear" w:color="auto" w:fill="012749"/>
            <w:vAlign w:val="center"/>
          </w:tcPr>
          <w:p w14:paraId="535DBDDF" w14:textId="77777777" w:rsidR="00775843" w:rsidRPr="00DD4C71" w:rsidRDefault="00775843" w:rsidP="009E791A">
            <w:pPr>
              <w:tabs>
                <w:tab w:val="left" w:pos="567"/>
              </w:tabs>
              <w:spacing w:after="0" w:line="22" w:lineRule="atLeast"/>
              <w:rPr>
                <w:rFonts w:asciiTheme="majorHAnsi" w:eastAsia="Times New Roman" w:hAnsiTheme="majorHAnsi" w:cstheme="majorHAnsi"/>
                <w:color w:val="FFFFFF"/>
                <w:sz w:val="19"/>
                <w:szCs w:val="19"/>
              </w:rPr>
            </w:pPr>
            <w:r w:rsidRPr="00DD4C71">
              <w:rPr>
                <w:rFonts w:asciiTheme="majorHAnsi" w:eastAsia="Times New Roman" w:hAnsiTheme="majorHAnsi" w:cstheme="majorHAnsi"/>
                <w:color w:val="FFFFFF"/>
                <w:sz w:val="19"/>
                <w:szCs w:val="19"/>
              </w:rPr>
              <w:t>Skill Levels</w:t>
            </w:r>
          </w:p>
        </w:tc>
        <w:tc>
          <w:tcPr>
            <w:tcW w:w="2552" w:type="dxa"/>
            <w:gridSpan w:val="2"/>
            <w:tcBorders>
              <w:bottom w:val="single" w:sz="4" w:space="0" w:color="FFFFFF" w:themeColor="background1"/>
            </w:tcBorders>
            <w:shd w:val="clear" w:color="auto" w:fill="012749"/>
            <w:vAlign w:val="center"/>
          </w:tcPr>
          <w:p w14:paraId="4E49FC3D" w14:textId="77777777" w:rsidR="00775843" w:rsidRPr="00DD4C71" w:rsidRDefault="00775843" w:rsidP="009E791A">
            <w:pPr>
              <w:spacing w:after="0" w:line="22" w:lineRule="atLeast"/>
              <w:jc w:val="center"/>
              <w:rPr>
                <w:rFonts w:asciiTheme="majorHAnsi" w:eastAsia="Times New Roman" w:hAnsiTheme="majorHAnsi" w:cstheme="majorHAnsi"/>
                <w:sz w:val="19"/>
                <w:szCs w:val="19"/>
              </w:rPr>
            </w:pPr>
            <w:r w:rsidRPr="00DD4C71">
              <w:rPr>
                <w:rFonts w:asciiTheme="majorHAnsi" w:eastAsia="Times New Roman" w:hAnsiTheme="majorHAnsi" w:cstheme="majorHAnsi"/>
                <w:sz w:val="19"/>
                <w:szCs w:val="19"/>
              </w:rPr>
              <w:t>Employment</w:t>
            </w:r>
          </w:p>
        </w:tc>
        <w:tc>
          <w:tcPr>
            <w:tcW w:w="1984" w:type="dxa"/>
            <w:gridSpan w:val="2"/>
            <w:vMerge w:val="restart"/>
            <w:shd w:val="clear" w:color="auto" w:fill="012749"/>
            <w:vAlign w:val="center"/>
          </w:tcPr>
          <w:p w14:paraId="075E7D0A" w14:textId="77777777" w:rsidR="00775843" w:rsidRPr="00DD4C71" w:rsidRDefault="00775843" w:rsidP="009E791A">
            <w:pPr>
              <w:spacing w:after="0" w:line="22" w:lineRule="atLeast"/>
              <w:jc w:val="center"/>
              <w:rPr>
                <w:rFonts w:asciiTheme="majorHAnsi" w:eastAsia="Times New Roman" w:hAnsiTheme="majorHAnsi" w:cstheme="majorHAnsi"/>
                <w:color w:val="FFFFFF"/>
                <w:sz w:val="19"/>
                <w:szCs w:val="19"/>
              </w:rPr>
            </w:pPr>
            <w:r w:rsidRPr="00DD4C71">
              <w:rPr>
                <w:rFonts w:asciiTheme="majorHAnsi" w:eastAsia="Times New Roman" w:hAnsiTheme="majorHAnsi" w:cstheme="majorHAnsi"/>
                <w:color w:val="FFFFFF"/>
                <w:sz w:val="19"/>
                <w:szCs w:val="19"/>
              </w:rPr>
              <w:t>Annual change to May-24</w:t>
            </w:r>
          </w:p>
        </w:tc>
        <w:tc>
          <w:tcPr>
            <w:tcW w:w="2127" w:type="dxa"/>
            <w:gridSpan w:val="2"/>
            <w:vMerge w:val="restart"/>
            <w:shd w:val="clear" w:color="auto" w:fill="012749"/>
            <w:vAlign w:val="center"/>
          </w:tcPr>
          <w:p w14:paraId="4EEFAA0B" w14:textId="77777777" w:rsidR="00775843" w:rsidRPr="00DD4C71" w:rsidRDefault="00775843" w:rsidP="009E791A">
            <w:pPr>
              <w:spacing w:after="0" w:line="22" w:lineRule="atLeast"/>
              <w:jc w:val="center"/>
              <w:rPr>
                <w:rFonts w:asciiTheme="majorHAnsi" w:eastAsia="Times New Roman" w:hAnsiTheme="majorHAnsi" w:cstheme="majorHAnsi"/>
                <w:color w:val="FFFFFF"/>
                <w:sz w:val="19"/>
                <w:szCs w:val="19"/>
              </w:rPr>
            </w:pPr>
            <w:r w:rsidRPr="00DD4C71">
              <w:rPr>
                <w:rFonts w:asciiTheme="majorHAnsi" w:eastAsia="Times New Roman" w:hAnsiTheme="majorHAnsi" w:cstheme="majorHAnsi"/>
                <w:color w:val="FFFFFF"/>
                <w:sz w:val="19"/>
                <w:szCs w:val="19"/>
              </w:rPr>
              <w:t>5-year change to May 24</w:t>
            </w:r>
          </w:p>
        </w:tc>
      </w:tr>
      <w:tr w:rsidR="00775843" w:rsidRPr="00DD4C71" w14:paraId="46718D29" w14:textId="77777777" w:rsidTr="009E791A">
        <w:trPr>
          <w:trHeight w:val="340"/>
        </w:trPr>
        <w:tc>
          <w:tcPr>
            <w:tcW w:w="2268" w:type="dxa"/>
            <w:vMerge/>
            <w:shd w:val="clear" w:color="auto" w:fill="012749"/>
            <w:vAlign w:val="center"/>
            <w:hideMark/>
          </w:tcPr>
          <w:p w14:paraId="5A43BA85" w14:textId="77777777" w:rsidR="00775843" w:rsidRPr="00DD4C71" w:rsidRDefault="00775843" w:rsidP="009E791A">
            <w:pPr>
              <w:tabs>
                <w:tab w:val="left" w:pos="567"/>
              </w:tabs>
              <w:spacing w:after="0" w:line="22" w:lineRule="atLeast"/>
              <w:rPr>
                <w:rFonts w:asciiTheme="majorHAnsi" w:eastAsia="Times New Roman" w:hAnsiTheme="majorHAnsi" w:cstheme="majorHAnsi"/>
                <w:color w:val="FFFFFF"/>
                <w:sz w:val="19"/>
                <w:szCs w:val="19"/>
                <w:lang w:eastAsia="en-AU"/>
              </w:rPr>
            </w:pPr>
          </w:p>
        </w:tc>
        <w:tc>
          <w:tcPr>
            <w:tcW w:w="1276" w:type="dxa"/>
            <w:tcBorders>
              <w:top w:val="single" w:sz="4" w:space="0" w:color="FFFFFF" w:themeColor="background1"/>
            </w:tcBorders>
            <w:shd w:val="clear" w:color="auto" w:fill="012749"/>
            <w:vAlign w:val="center"/>
            <w:hideMark/>
          </w:tcPr>
          <w:p w14:paraId="73576DDC" w14:textId="77777777" w:rsidR="00775843" w:rsidRPr="00DD4C71" w:rsidRDefault="00775843" w:rsidP="009E791A">
            <w:pPr>
              <w:spacing w:after="0" w:line="22" w:lineRule="atLeast"/>
              <w:jc w:val="center"/>
              <w:rPr>
                <w:rFonts w:asciiTheme="majorHAnsi" w:eastAsia="Times New Roman" w:hAnsiTheme="majorHAnsi" w:cstheme="majorHAnsi"/>
                <w:sz w:val="19"/>
                <w:szCs w:val="19"/>
              </w:rPr>
            </w:pPr>
            <w:r w:rsidRPr="00DD4C71">
              <w:rPr>
                <w:rFonts w:asciiTheme="majorHAnsi" w:eastAsia="Times New Roman" w:hAnsiTheme="majorHAnsi" w:cstheme="majorHAnsi"/>
                <w:sz w:val="19"/>
                <w:szCs w:val="19"/>
              </w:rPr>
              <w:t>May-24</w:t>
            </w:r>
          </w:p>
        </w:tc>
        <w:tc>
          <w:tcPr>
            <w:tcW w:w="1276" w:type="dxa"/>
            <w:tcBorders>
              <w:top w:val="single" w:sz="4" w:space="0" w:color="FFFFFF" w:themeColor="background1"/>
            </w:tcBorders>
            <w:shd w:val="clear" w:color="auto" w:fill="012749"/>
            <w:vAlign w:val="center"/>
            <w:hideMark/>
          </w:tcPr>
          <w:p w14:paraId="7C1E8030" w14:textId="77777777" w:rsidR="00775843" w:rsidRPr="00DD4C71" w:rsidRDefault="00775843" w:rsidP="009E791A">
            <w:pPr>
              <w:spacing w:after="0" w:line="22" w:lineRule="atLeast"/>
              <w:jc w:val="center"/>
              <w:rPr>
                <w:rFonts w:asciiTheme="majorHAnsi" w:eastAsia="Times New Roman" w:hAnsiTheme="majorHAnsi" w:cstheme="majorHAnsi"/>
                <w:sz w:val="19"/>
                <w:szCs w:val="19"/>
              </w:rPr>
            </w:pPr>
            <w:r w:rsidRPr="00DD4C71">
              <w:rPr>
                <w:rFonts w:asciiTheme="majorHAnsi" w:eastAsia="Times New Roman" w:hAnsiTheme="majorHAnsi" w:cstheme="majorHAnsi"/>
                <w:sz w:val="19"/>
                <w:szCs w:val="19"/>
              </w:rPr>
              <w:t>May-23</w:t>
            </w:r>
          </w:p>
        </w:tc>
        <w:tc>
          <w:tcPr>
            <w:tcW w:w="1984" w:type="dxa"/>
            <w:gridSpan w:val="2"/>
            <w:vMerge/>
            <w:shd w:val="clear" w:color="auto" w:fill="012749"/>
            <w:vAlign w:val="center"/>
            <w:hideMark/>
          </w:tcPr>
          <w:p w14:paraId="3928A79A" w14:textId="77777777" w:rsidR="00775843" w:rsidRPr="00DD4C71" w:rsidRDefault="00775843" w:rsidP="009E791A">
            <w:pPr>
              <w:spacing w:after="0" w:line="22" w:lineRule="atLeast"/>
              <w:jc w:val="center"/>
              <w:rPr>
                <w:rFonts w:asciiTheme="majorHAnsi" w:eastAsia="Times New Roman" w:hAnsiTheme="majorHAnsi" w:cstheme="majorHAnsi"/>
                <w:color w:val="FFFFFF"/>
                <w:sz w:val="19"/>
                <w:szCs w:val="19"/>
                <w:lang w:eastAsia="en-AU"/>
              </w:rPr>
            </w:pPr>
          </w:p>
        </w:tc>
        <w:tc>
          <w:tcPr>
            <w:tcW w:w="2127" w:type="dxa"/>
            <w:gridSpan w:val="2"/>
            <w:vMerge/>
            <w:shd w:val="clear" w:color="auto" w:fill="012749"/>
            <w:vAlign w:val="center"/>
            <w:hideMark/>
          </w:tcPr>
          <w:p w14:paraId="67B283A7" w14:textId="77777777" w:rsidR="00775843" w:rsidRPr="00DD4C71" w:rsidRDefault="00775843" w:rsidP="009E791A">
            <w:pPr>
              <w:spacing w:after="0" w:line="22" w:lineRule="atLeast"/>
              <w:jc w:val="center"/>
              <w:rPr>
                <w:rFonts w:asciiTheme="majorHAnsi" w:eastAsia="Times New Roman" w:hAnsiTheme="majorHAnsi" w:cstheme="majorHAnsi"/>
                <w:color w:val="FFFFFF"/>
                <w:sz w:val="19"/>
                <w:szCs w:val="19"/>
                <w:lang w:eastAsia="en-AU"/>
              </w:rPr>
            </w:pPr>
          </w:p>
        </w:tc>
      </w:tr>
      <w:tr w:rsidR="00775843" w:rsidRPr="00DD4C71" w14:paraId="434E08C1" w14:textId="77777777" w:rsidTr="009E791A">
        <w:trPr>
          <w:trHeight w:val="340"/>
        </w:trPr>
        <w:tc>
          <w:tcPr>
            <w:tcW w:w="2268" w:type="dxa"/>
            <w:vMerge/>
            <w:shd w:val="clear" w:color="auto" w:fill="012749"/>
            <w:vAlign w:val="center"/>
          </w:tcPr>
          <w:p w14:paraId="0D414287" w14:textId="77777777" w:rsidR="00775843" w:rsidRPr="00DD4C71" w:rsidRDefault="00775843" w:rsidP="009E791A">
            <w:pPr>
              <w:tabs>
                <w:tab w:val="left" w:pos="567"/>
              </w:tabs>
              <w:spacing w:after="0" w:line="22" w:lineRule="atLeast"/>
              <w:rPr>
                <w:rFonts w:asciiTheme="majorHAnsi" w:eastAsia="Times New Roman" w:hAnsiTheme="majorHAnsi" w:cstheme="majorHAnsi"/>
                <w:color w:val="FFFFFF"/>
                <w:sz w:val="19"/>
                <w:szCs w:val="19"/>
              </w:rPr>
            </w:pPr>
          </w:p>
        </w:tc>
        <w:tc>
          <w:tcPr>
            <w:tcW w:w="1276" w:type="dxa"/>
            <w:shd w:val="clear" w:color="auto" w:fill="012749"/>
            <w:vAlign w:val="center"/>
          </w:tcPr>
          <w:p w14:paraId="1BA1E659" w14:textId="77777777" w:rsidR="00775843" w:rsidRPr="00DD4C71" w:rsidRDefault="00775843" w:rsidP="009E791A">
            <w:pPr>
              <w:spacing w:after="0" w:line="22" w:lineRule="atLeast"/>
              <w:jc w:val="center"/>
              <w:rPr>
                <w:rFonts w:asciiTheme="majorHAnsi" w:eastAsia="Times New Roman" w:hAnsiTheme="majorHAnsi" w:cstheme="majorHAnsi"/>
                <w:sz w:val="19"/>
                <w:szCs w:val="19"/>
              </w:rPr>
            </w:pPr>
            <w:r w:rsidRPr="00DD4C71">
              <w:rPr>
                <w:rFonts w:asciiTheme="majorHAnsi" w:eastAsia="Times New Roman" w:hAnsiTheme="majorHAnsi" w:cstheme="majorHAnsi"/>
                <w:sz w:val="19"/>
                <w:szCs w:val="19"/>
              </w:rPr>
              <w:t>(‘000)</w:t>
            </w:r>
          </w:p>
        </w:tc>
        <w:tc>
          <w:tcPr>
            <w:tcW w:w="1276" w:type="dxa"/>
            <w:shd w:val="clear" w:color="auto" w:fill="012749"/>
            <w:vAlign w:val="center"/>
          </w:tcPr>
          <w:p w14:paraId="2D0EABBD" w14:textId="77777777" w:rsidR="00775843" w:rsidRPr="00DD4C71" w:rsidRDefault="00775843" w:rsidP="009E791A">
            <w:pPr>
              <w:spacing w:after="0" w:line="22" w:lineRule="atLeast"/>
              <w:jc w:val="center"/>
              <w:rPr>
                <w:rFonts w:asciiTheme="majorHAnsi" w:eastAsia="Times New Roman" w:hAnsiTheme="majorHAnsi" w:cstheme="majorHAnsi"/>
                <w:sz w:val="19"/>
                <w:szCs w:val="19"/>
              </w:rPr>
            </w:pPr>
            <w:r w:rsidRPr="00DD4C71">
              <w:rPr>
                <w:rFonts w:asciiTheme="majorHAnsi" w:eastAsia="Times New Roman" w:hAnsiTheme="majorHAnsi" w:cstheme="majorHAnsi"/>
                <w:sz w:val="19"/>
                <w:szCs w:val="19"/>
              </w:rPr>
              <w:t>(‘000)</w:t>
            </w:r>
          </w:p>
        </w:tc>
        <w:tc>
          <w:tcPr>
            <w:tcW w:w="992" w:type="dxa"/>
            <w:shd w:val="clear" w:color="auto" w:fill="012749"/>
            <w:vAlign w:val="center"/>
          </w:tcPr>
          <w:p w14:paraId="26DF4F79" w14:textId="77777777" w:rsidR="00775843" w:rsidRPr="00DD4C71" w:rsidRDefault="00775843" w:rsidP="009E791A">
            <w:pPr>
              <w:spacing w:after="0" w:line="22" w:lineRule="atLeast"/>
              <w:jc w:val="center"/>
              <w:rPr>
                <w:rFonts w:asciiTheme="majorHAnsi" w:eastAsia="Times New Roman" w:hAnsiTheme="majorHAnsi" w:cstheme="majorHAnsi"/>
                <w:color w:val="FFFFFF"/>
                <w:sz w:val="19"/>
                <w:szCs w:val="19"/>
              </w:rPr>
            </w:pPr>
            <w:r w:rsidRPr="00DD4C71">
              <w:rPr>
                <w:rFonts w:asciiTheme="majorHAnsi" w:eastAsia="Times New Roman" w:hAnsiTheme="majorHAnsi" w:cstheme="majorHAnsi"/>
                <w:color w:val="FFFFFF"/>
                <w:sz w:val="19"/>
                <w:szCs w:val="19"/>
              </w:rPr>
              <w:t>(‘000)</w:t>
            </w:r>
          </w:p>
        </w:tc>
        <w:tc>
          <w:tcPr>
            <w:tcW w:w="992" w:type="dxa"/>
            <w:shd w:val="clear" w:color="auto" w:fill="012749"/>
            <w:vAlign w:val="center"/>
          </w:tcPr>
          <w:p w14:paraId="5FF89851" w14:textId="77777777" w:rsidR="00775843" w:rsidRPr="00DD4C71" w:rsidRDefault="00775843" w:rsidP="009E791A">
            <w:pPr>
              <w:spacing w:after="0" w:line="22" w:lineRule="atLeast"/>
              <w:jc w:val="center"/>
              <w:rPr>
                <w:rFonts w:asciiTheme="majorHAnsi" w:eastAsia="Times New Roman" w:hAnsiTheme="majorHAnsi" w:cstheme="majorHAnsi"/>
                <w:color w:val="FFFFFF"/>
                <w:sz w:val="19"/>
                <w:szCs w:val="19"/>
              </w:rPr>
            </w:pPr>
            <w:r w:rsidRPr="00DD4C71">
              <w:rPr>
                <w:rFonts w:asciiTheme="majorHAnsi" w:eastAsia="Times New Roman" w:hAnsiTheme="majorHAnsi" w:cstheme="majorHAnsi"/>
                <w:color w:val="FFFFFF"/>
                <w:sz w:val="19"/>
                <w:szCs w:val="19"/>
              </w:rPr>
              <w:t>(%)</w:t>
            </w:r>
          </w:p>
        </w:tc>
        <w:tc>
          <w:tcPr>
            <w:tcW w:w="1134" w:type="dxa"/>
            <w:shd w:val="clear" w:color="auto" w:fill="012749"/>
            <w:vAlign w:val="center"/>
          </w:tcPr>
          <w:p w14:paraId="5EF84094" w14:textId="77777777" w:rsidR="00775843" w:rsidRPr="00DD4C71" w:rsidRDefault="00775843" w:rsidP="009E791A">
            <w:pPr>
              <w:spacing w:after="0" w:line="22" w:lineRule="atLeast"/>
              <w:jc w:val="center"/>
              <w:rPr>
                <w:rFonts w:asciiTheme="majorHAnsi" w:eastAsia="Times New Roman" w:hAnsiTheme="majorHAnsi" w:cstheme="majorHAnsi"/>
                <w:color w:val="FFFFFF"/>
                <w:sz w:val="19"/>
                <w:szCs w:val="19"/>
              </w:rPr>
            </w:pPr>
            <w:r w:rsidRPr="00DD4C71">
              <w:rPr>
                <w:rFonts w:asciiTheme="majorHAnsi" w:eastAsia="Times New Roman" w:hAnsiTheme="majorHAnsi" w:cstheme="majorHAnsi"/>
                <w:color w:val="FFFFFF"/>
                <w:sz w:val="19"/>
                <w:szCs w:val="19"/>
              </w:rPr>
              <w:t>(‘000)</w:t>
            </w:r>
          </w:p>
        </w:tc>
        <w:tc>
          <w:tcPr>
            <w:tcW w:w="993" w:type="dxa"/>
            <w:shd w:val="clear" w:color="auto" w:fill="012749"/>
            <w:vAlign w:val="center"/>
          </w:tcPr>
          <w:p w14:paraId="74D24FD8" w14:textId="77777777" w:rsidR="00775843" w:rsidRPr="00DD4C71" w:rsidRDefault="00775843" w:rsidP="009E791A">
            <w:pPr>
              <w:spacing w:after="0" w:line="22" w:lineRule="atLeast"/>
              <w:jc w:val="center"/>
              <w:rPr>
                <w:rFonts w:asciiTheme="majorHAnsi" w:eastAsia="Times New Roman" w:hAnsiTheme="majorHAnsi" w:cstheme="majorHAnsi"/>
                <w:color w:val="FFFFFF"/>
                <w:sz w:val="19"/>
                <w:szCs w:val="19"/>
              </w:rPr>
            </w:pPr>
            <w:r w:rsidRPr="00DD4C71">
              <w:rPr>
                <w:rFonts w:asciiTheme="majorHAnsi" w:eastAsia="Times New Roman" w:hAnsiTheme="majorHAnsi" w:cstheme="majorHAnsi"/>
                <w:color w:val="FFFFFF"/>
                <w:sz w:val="19"/>
                <w:szCs w:val="19"/>
              </w:rPr>
              <w:t>(%)</w:t>
            </w:r>
          </w:p>
        </w:tc>
      </w:tr>
      <w:tr w:rsidR="00775843" w:rsidRPr="00DD4C71" w14:paraId="46AA2FA8" w14:textId="77777777" w:rsidTr="009E791A">
        <w:trPr>
          <w:trHeight w:val="290"/>
        </w:trPr>
        <w:tc>
          <w:tcPr>
            <w:tcW w:w="2268" w:type="dxa"/>
            <w:tcBorders>
              <w:top w:val="nil"/>
              <w:left w:val="nil"/>
              <w:bottom w:val="nil"/>
              <w:right w:val="nil"/>
            </w:tcBorders>
            <w:shd w:val="clear" w:color="auto" w:fill="FFFFFF" w:themeFill="background1"/>
            <w:noWrap/>
            <w:vAlign w:val="center"/>
            <w:hideMark/>
          </w:tcPr>
          <w:p w14:paraId="23B2B48C" w14:textId="77777777" w:rsidR="00775843" w:rsidRPr="00DD4C71" w:rsidRDefault="00775843" w:rsidP="009E791A">
            <w:pPr>
              <w:spacing w:after="0" w:line="22" w:lineRule="atLeast"/>
              <w:rPr>
                <w:rFonts w:asciiTheme="majorHAnsi" w:eastAsia="Times New Roman" w:hAnsiTheme="majorHAnsi" w:cstheme="majorHAnsi"/>
                <w:color w:val="000000"/>
                <w:sz w:val="20"/>
                <w:szCs w:val="20"/>
                <w:lang w:eastAsia="en-AU"/>
              </w:rPr>
            </w:pPr>
            <w:r w:rsidRPr="00DD4C71">
              <w:rPr>
                <w:rFonts w:asciiTheme="majorHAnsi" w:hAnsiTheme="majorHAnsi" w:cstheme="majorHAnsi"/>
                <w:color w:val="000000"/>
                <w:sz w:val="20"/>
                <w:szCs w:val="20"/>
              </w:rPr>
              <w:t>Skill Level 1 Occupations</w:t>
            </w:r>
          </w:p>
        </w:tc>
        <w:tc>
          <w:tcPr>
            <w:tcW w:w="1276" w:type="dxa"/>
            <w:tcBorders>
              <w:top w:val="nil"/>
              <w:left w:val="nil"/>
              <w:bottom w:val="nil"/>
              <w:right w:val="nil"/>
            </w:tcBorders>
            <w:shd w:val="clear" w:color="auto" w:fill="FFFFFF" w:themeFill="background1"/>
            <w:noWrap/>
            <w:vAlign w:val="center"/>
            <w:hideMark/>
          </w:tcPr>
          <w:p w14:paraId="19C52FEF" w14:textId="77777777" w:rsidR="00775843" w:rsidRPr="00DD4C71" w:rsidRDefault="00775843" w:rsidP="009E791A">
            <w:pPr>
              <w:spacing w:after="0" w:line="22" w:lineRule="atLeast"/>
              <w:jc w:val="center"/>
              <w:rPr>
                <w:rFonts w:asciiTheme="majorHAnsi" w:eastAsia="Times New Roman" w:hAnsiTheme="majorHAnsi" w:cstheme="majorHAnsi"/>
                <w:color w:val="000000"/>
                <w:sz w:val="20"/>
                <w:szCs w:val="20"/>
                <w:lang w:eastAsia="en-AU"/>
              </w:rPr>
            </w:pPr>
            <w:r w:rsidRPr="00DD4C71">
              <w:rPr>
                <w:rFonts w:asciiTheme="majorHAnsi" w:hAnsiTheme="majorHAnsi" w:cstheme="majorHAnsi"/>
                <w:sz w:val="20"/>
                <w:szCs w:val="20"/>
              </w:rPr>
              <w:t>5,005.9</w:t>
            </w:r>
          </w:p>
        </w:tc>
        <w:tc>
          <w:tcPr>
            <w:tcW w:w="1276" w:type="dxa"/>
            <w:tcBorders>
              <w:top w:val="nil"/>
              <w:left w:val="nil"/>
              <w:bottom w:val="nil"/>
              <w:right w:val="nil"/>
            </w:tcBorders>
            <w:shd w:val="clear" w:color="auto" w:fill="FFFFFF" w:themeFill="background1"/>
            <w:noWrap/>
            <w:vAlign w:val="center"/>
            <w:hideMark/>
          </w:tcPr>
          <w:p w14:paraId="3CCCABD5" w14:textId="77777777" w:rsidR="00775843" w:rsidRPr="00DD4C71" w:rsidRDefault="00775843" w:rsidP="009E791A">
            <w:pPr>
              <w:spacing w:after="0" w:line="22" w:lineRule="atLeast"/>
              <w:jc w:val="center"/>
              <w:rPr>
                <w:rFonts w:asciiTheme="majorHAnsi" w:eastAsia="Times New Roman" w:hAnsiTheme="majorHAnsi" w:cstheme="majorHAnsi"/>
                <w:sz w:val="20"/>
                <w:szCs w:val="20"/>
              </w:rPr>
            </w:pPr>
            <w:r w:rsidRPr="00DD4C71">
              <w:rPr>
                <w:rFonts w:asciiTheme="majorHAnsi" w:hAnsiTheme="majorHAnsi" w:cstheme="majorHAnsi"/>
                <w:color w:val="000000"/>
                <w:sz w:val="20"/>
                <w:szCs w:val="20"/>
              </w:rPr>
              <w:t>4,856.2</w:t>
            </w:r>
          </w:p>
        </w:tc>
        <w:tc>
          <w:tcPr>
            <w:tcW w:w="992" w:type="dxa"/>
            <w:tcBorders>
              <w:top w:val="nil"/>
              <w:left w:val="nil"/>
              <w:bottom w:val="nil"/>
              <w:right w:val="nil"/>
            </w:tcBorders>
            <w:shd w:val="clear" w:color="auto" w:fill="FFFFFF" w:themeFill="background1"/>
            <w:noWrap/>
            <w:vAlign w:val="center"/>
            <w:hideMark/>
          </w:tcPr>
          <w:p w14:paraId="12E8D336" w14:textId="77777777" w:rsidR="00775843" w:rsidRPr="00DD4C71" w:rsidRDefault="00775843" w:rsidP="009E791A">
            <w:pPr>
              <w:spacing w:after="0" w:line="22" w:lineRule="atLeast"/>
              <w:jc w:val="center"/>
              <w:rPr>
                <w:rFonts w:asciiTheme="majorHAnsi" w:eastAsia="Times New Roman" w:hAnsiTheme="majorHAnsi" w:cstheme="majorHAnsi"/>
                <w:sz w:val="20"/>
                <w:szCs w:val="20"/>
              </w:rPr>
            </w:pPr>
            <w:r w:rsidRPr="00DD4C71">
              <w:rPr>
                <w:rFonts w:asciiTheme="majorHAnsi" w:hAnsiTheme="majorHAnsi" w:cstheme="majorHAnsi"/>
                <w:sz w:val="20"/>
                <w:szCs w:val="20"/>
              </w:rPr>
              <w:t>149.7</w:t>
            </w:r>
          </w:p>
        </w:tc>
        <w:tc>
          <w:tcPr>
            <w:tcW w:w="992" w:type="dxa"/>
            <w:tcBorders>
              <w:top w:val="nil"/>
              <w:left w:val="nil"/>
              <w:bottom w:val="nil"/>
              <w:right w:val="nil"/>
            </w:tcBorders>
            <w:shd w:val="clear" w:color="auto" w:fill="FFFFFF" w:themeFill="background1"/>
            <w:noWrap/>
            <w:vAlign w:val="center"/>
            <w:hideMark/>
          </w:tcPr>
          <w:p w14:paraId="08FB8760" w14:textId="77777777" w:rsidR="00775843" w:rsidRPr="00DD4C71" w:rsidRDefault="00775843" w:rsidP="009E791A">
            <w:pPr>
              <w:spacing w:after="0" w:line="22" w:lineRule="atLeast"/>
              <w:jc w:val="center"/>
              <w:rPr>
                <w:rFonts w:asciiTheme="majorHAnsi" w:eastAsia="Times New Roman" w:hAnsiTheme="majorHAnsi" w:cstheme="majorHAnsi"/>
                <w:sz w:val="20"/>
                <w:szCs w:val="20"/>
              </w:rPr>
            </w:pPr>
            <w:r w:rsidRPr="00DD4C71">
              <w:rPr>
                <w:rFonts w:asciiTheme="majorHAnsi" w:hAnsiTheme="majorHAnsi" w:cstheme="majorHAnsi"/>
                <w:sz w:val="20"/>
                <w:szCs w:val="20"/>
              </w:rPr>
              <w:t>3.1</w:t>
            </w:r>
          </w:p>
        </w:tc>
        <w:tc>
          <w:tcPr>
            <w:tcW w:w="1134" w:type="dxa"/>
            <w:tcBorders>
              <w:top w:val="nil"/>
              <w:left w:val="nil"/>
              <w:bottom w:val="nil"/>
              <w:right w:val="nil"/>
            </w:tcBorders>
            <w:shd w:val="clear" w:color="auto" w:fill="FFFFFF" w:themeFill="background1"/>
            <w:noWrap/>
            <w:vAlign w:val="center"/>
            <w:hideMark/>
          </w:tcPr>
          <w:p w14:paraId="34852FAA" w14:textId="77777777" w:rsidR="00775843" w:rsidRPr="00DD4C71" w:rsidRDefault="00775843" w:rsidP="009E791A">
            <w:pPr>
              <w:spacing w:after="0" w:line="22" w:lineRule="atLeast"/>
              <w:jc w:val="center"/>
              <w:rPr>
                <w:rFonts w:asciiTheme="majorHAnsi" w:eastAsia="Times New Roman" w:hAnsiTheme="majorHAnsi" w:cstheme="majorHAnsi"/>
                <w:sz w:val="20"/>
                <w:szCs w:val="20"/>
              </w:rPr>
            </w:pPr>
            <w:r w:rsidRPr="00DD4C71">
              <w:rPr>
                <w:rFonts w:asciiTheme="majorHAnsi" w:hAnsiTheme="majorHAnsi" w:cstheme="majorHAnsi"/>
                <w:sz w:val="20"/>
                <w:szCs w:val="20"/>
              </w:rPr>
              <w:t>937.1</w:t>
            </w:r>
          </w:p>
        </w:tc>
        <w:tc>
          <w:tcPr>
            <w:tcW w:w="993" w:type="dxa"/>
            <w:tcBorders>
              <w:top w:val="nil"/>
              <w:left w:val="nil"/>
              <w:bottom w:val="nil"/>
              <w:right w:val="nil"/>
            </w:tcBorders>
            <w:shd w:val="clear" w:color="auto" w:fill="FFFFFF" w:themeFill="background1"/>
            <w:noWrap/>
            <w:vAlign w:val="center"/>
            <w:hideMark/>
          </w:tcPr>
          <w:p w14:paraId="748252AA" w14:textId="77777777" w:rsidR="00775843" w:rsidRPr="00DD4C71" w:rsidRDefault="00775843" w:rsidP="009E791A">
            <w:pPr>
              <w:spacing w:after="0" w:line="22" w:lineRule="atLeast"/>
              <w:jc w:val="center"/>
              <w:rPr>
                <w:rFonts w:asciiTheme="majorHAnsi" w:eastAsia="Times New Roman" w:hAnsiTheme="majorHAnsi" w:cstheme="majorHAnsi"/>
                <w:sz w:val="20"/>
                <w:szCs w:val="20"/>
              </w:rPr>
            </w:pPr>
            <w:r w:rsidRPr="00DD4C71">
              <w:rPr>
                <w:rFonts w:asciiTheme="majorHAnsi" w:hAnsiTheme="majorHAnsi" w:cstheme="majorHAnsi"/>
                <w:sz w:val="20"/>
                <w:szCs w:val="20"/>
              </w:rPr>
              <w:t>23.0</w:t>
            </w:r>
          </w:p>
        </w:tc>
      </w:tr>
      <w:tr w:rsidR="00775843" w:rsidRPr="00DD4C71" w14:paraId="28A5CF00" w14:textId="77777777" w:rsidTr="009E791A">
        <w:trPr>
          <w:trHeight w:val="290"/>
        </w:trPr>
        <w:tc>
          <w:tcPr>
            <w:tcW w:w="2268" w:type="dxa"/>
            <w:tcBorders>
              <w:top w:val="nil"/>
              <w:left w:val="nil"/>
              <w:bottom w:val="nil"/>
              <w:right w:val="nil"/>
            </w:tcBorders>
            <w:shd w:val="clear" w:color="auto" w:fill="D9D9D9" w:themeFill="background1" w:themeFillShade="D9"/>
            <w:noWrap/>
            <w:vAlign w:val="center"/>
            <w:hideMark/>
          </w:tcPr>
          <w:p w14:paraId="09F30917" w14:textId="77777777" w:rsidR="00775843" w:rsidRPr="00DD4C71" w:rsidRDefault="00775843" w:rsidP="009E791A">
            <w:pPr>
              <w:spacing w:after="0" w:line="22" w:lineRule="atLeast"/>
              <w:rPr>
                <w:rFonts w:asciiTheme="majorHAnsi" w:eastAsia="Times New Roman" w:hAnsiTheme="majorHAnsi" w:cstheme="majorHAnsi"/>
                <w:color w:val="000000"/>
                <w:sz w:val="20"/>
                <w:szCs w:val="20"/>
                <w:lang w:eastAsia="en-AU"/>
              </w:rPr>
            </w:pPr>
            <w:r w:rsidRPr="00DD4C71">
              <w:rPr>
                <w:rFonts w:asciiTheme="majorHAnsi" w:hAnsiTheme="majorHAnsi" w:cstheme="majorHAnsi"/>
                <w:color w:val="000000"/>
                <w:sz w:val="20"/>
                <w:szCs w:val="20"/>
              </w:rPr>
              <w:t>Skill Level 2 Occupations</w:t>
            </w:r>
          </w:p>
        </w:tc>
        <w:tc>
          <w:tcPr>
            <w:tcW w:w="1276" w:type="dxa"/>
            <w:tcBorders>
              <w:top w:val="nil"/>
              <w:left w:val="nil"/>
              <w:bottom w:val="nil"/>
              <w:right w:val="nil"/>
            </w:tcBorders>
            <w:shd w:val="clear" w:color="auto" w:fill="D9D9D9" w:themeFill="background1" w:themeFillShade="D9"/>
            <w:noWrap/>
            <w:vAlign w:val="center"/>
            <w:hideMark/>
          </w:tcPr>
          <w:p w14:paraId="4BB06EA7" w14:textId="77777777" w:rsidR="00775843" w:rsidRPr="00DD4C71" w:rsidRDefault="00775843" w:rsidP="009E791A">
            <w:pPr>
              <w:spacing w:after="0" w:line="22" w:lineRule="atLeast"/>
              <w:jc w:val="center"/>
              <w:rPr>
                <w:rFonts w:asciiTheme="majorHAnsi" w:eastAsia="Times New Roman" w:hAnsiTheme="majorHAnsi" w:cstheme="majorHAnsi"/>
                <w:sz w:val="20"/>
                <w:szCs w:val="20"/>
              </w:rPr>
            </w:pPr>
            <w:r w:rsidRPr="00DD4C71">
              <w:rPr>
                <w:rFonts w:asciiTheme="majorHAnsi" w:hAnsiTheme="majorHAnsi" w:cstheme="majorHAnsi"/>
                <w:sz w:val="20"/>
                <w:szCs w:val="20"/>
              </w:rPr>
              <w:t>1,763.4</w:t>
            </w:r>
          </w:p>
        </w:tc>
        <w:tc>
          <w:tcPr>
            <w:tcW w:w="1276" w:type="dxa"/>
            <w:tcBorders>
              <w:top w:val="nil"/>
              <w:left w:val="nil"/>
              <w:bottom w:val="nil"/>
              <w:right w:val="nil"/>
            </w:tcBorders>
            <w:shd w:val="clear" w:color="auto" w:fill="D9D9D9" w:themeFill="background1" w:themeFillShade="D9"/>
            <w:noWrap/>
            <w:vAlign w:val="center"/>
            <w:hideMark/>
          </w:tcPr>
          <w:p w14:paraId="4A91D874" w14:textId="77777777" w:rsidR="00775843" w:rsidRPr="00DD4C71" w:rsidRDefault="00775843" w:rsidP="009E791A">
            <w:pPr>
              <w:spacing w:after="0" w:line="22" w:lineRule="atLeast"/>
              <w:jc w:val="center"/>
              <w:rPr>
                <w:rFonts w:asciiTheme="majorHAnsi" w:eastAsia="Times New Roman" w:hAnsiTheme="majorHAnsi" w:cstheme="majorHAnsi"/>
                <w:sz w:val="20"/>
                <w:szCs w:val="20"/>
              </w:rPr>
            </w:pPr>
            <w:r w:rsidRPr="00DD4C71">
              <w:rPr>
                <w:rFonts w:asciiTheme="majorHAnsi" w:hAnsiTheme="majorHAnsi" w:cstheme="majorHAnsi"/>
                <w:color w:val="000000"/>
                <w:sz w:val="20"/>
                <w:szCs w:val="20"/>
              </w:rPr>
              <w:t>1,715.2</w:t>
            </w:r>
          </w:p>
        </w:tc>
        <w:tc>
          <w:tcPr>
            <w:tcW w:w="992" w:type="dxa"/>
            <w:tcBorders>
              <w:top w:val="nil"/>
              <w:left w:val="nil"/>
              <w:bottom w:val="nil"/>
              <w:right w:val="nil"/>
            </w:tcBorders>
            <w:shd w:val="clear" w:color="auto" w:fill="D9D9D9" w:themeFill="background1" w:themeFillShade="D9"/>
            <w:noWrap/>
            <w:vAlign w:val="center"/>
            <w:hideMark/>
          </w:tcPr>
          <w:p w14:paraId="5829C789" w14:textId="77777777" w:rsidR="00775843" w:rsidRPr="00DD4C71" w:rsidRDefault="00775843" w:rsidP="009E791A">
            <w:pPr>
              <w:spacing w:after="0" w:line="22" w:lineRule="atLeast"/>
              <w:jc w:val="center"/>
              <w:rPr>
                <w:rFonts w:asciiTheme="majorHAnsi" w:eastAsia="Times New Roman" w:hAnsiTheme="majorHAnsi" w:cstheme="majorHAnsi"/>
                <w:sz w:val="20"/>
                <w:szCs w:val="20"/>
              </w:rPr>
            </w:pPr>
            <w:r w:rsidRPr="00DD4C71">
              <w:rPr>
                <w:rFonts w:asciiTheme="majorHAnsi" w:hAnsiTheme="majorHAnsi" w:cstheme="majorHAnsi"/>
                <w:sz w:val="20"/>
                <w:szCs w:val="20"/>
              </w:rPr>
              <w:t>48.2</w:t>
            </w:r>
          </w:p>
        </w:tc>
        <w:tc>
          <w:tcPr>
            <w:tcW w:w="992" w:type="dxa"/>
            <w:tcBorders>
              <w:top w:val="nil"/>
              <w:left w:val="nil"/>
              <w:bottom w:val="nil"/>
              <w:right w:val="nil"/>
            </w:tcBorders>
            <w:shd w:val="clear" w:color="auto" w:fill="D9D9D9" w:themeFill="background1" w:themeFillShade="D9"/>
            <w:noWrap/>
            <w:vAlign w:val="center"/>
            <w:hideMark/>
          </w:tcPr>
          <w:p w14:paraId="55D8B41A" w14:textId="77777777" w:rsidR="00775843" w:rsidRPr="00DD4C71" w:rsidRDefault="00775843" w:rsidP="009E791A">
            <w:pPr>
              <w:spacing w:after="0" w:line="22" w:lineRule="atLeast"/>
              <w:jc w:val="center"/>
              <w:rPr>
                <w:rFonts w:asciiTheme="majorHAnsi" w:eastAsia="Times New Roman" w:hAnsiTheme="majorHAnsi" w:cstheme="majorHAnsi"/>
                <w:sz w:val="20"/>
                <w:szCs w:val="20"/>
              </w:rPr>
            </w:pPr>
            <w:r w:rsidRPr="00DD4C71">
              <w:rPr>
                <w:rFonts w:asciiTheme="majorHAnsi" w:hAnsiTheme="majorHAnsi" w:cstheme="majorHAnsi"/>
                <w:sz w:val="20"/>
                <w:szCs w:val="20"/>
              </w:rPr>
              <w:t>2.8</w:t>
            </w:r>
          </w:p>
        </w:tc>
        <w:tc>
          <w:tcPr>
            <w:tcW w:w="1134" w:type="dxa"/>
            <w:tcBorders>
              <w:top w:val="nil"/>
              <w:left w:val="nil"/>
              <w:bottom w:val="nil"/>
              <w:right w:val="nil"/>
            </w:tcBorders>
            <w:shd w:val="clear" w:color="auto" w:fill="D9D9D9" w:themeFill="background1" w:themeFillShade="D9"/>
            <w:noWrap/>
            <w:vAlign w:val="center"/>
            <w:hideMark/>
          </w:tcPr>
          <w:p w14:paraId="75822168" w14:textId="77777777" w:rsidR="00775843" w:rsidRPr="00DD4C71" w:rsidRDefault="00775843" w:rsidP="009E791A">
            <w:pPr>
              <w:spacing w:after="0" w:line="22" w:lineRule="atLeast"/>
              <w:jc w:val="center"/>
              <w:rPr>
                <w:rFonts w:asciiTheme="majorHAnsi" w:eastAsia="Times New Roman" w:hAnsiTheme="majorHAnsi" w:cstheme="majorHAnsi"/>
                <w:sz w:val="20"/>
                <w:szCs w:val="20"/>
              </w:rPr>
            </w:pPr>
            <w:r w:rsidRPr="00DD4C71">
              <w:rPr>
                <w:rFonts w:asciiTheme="majorHAnsi" w:hAnsiTheme="majorHAnsi" w:cstheme="majorHAnsi"/>
                <w:sz w:val="20"/>
                <w:szCs w:val="20"/>
              </w:rPr>
              <w:t>184.2</w:t>
            </w:r>
          </w:p>
        </w:tc>
        <w:tc>
          <w:tcPr>
            <w:tcW w:w="993" w:type="dxa"/>
            <w:tcBorders>
              <w:top w:val="nil"/>
              <w:left w:val="nil"/>
              <w:bottom w:val="nil"/>
              <w:right w:val="nil"/>
            </w:tcBorders>
            <w:shd w:val="clear" w:color="auto" w:fill="D9D9D9" w:themeFill="background1" w:themeFillShade="D9"/>
            <w:noWrap/>
            <w:vAlign w:val="center"/>
            <w:hideMark/>
          </w:tcPr>
          <w:p w14:paraId="1C489C6D" w14:textId="77777777" w:rsidR="00775843" w:rsidRPr="00DD4C71" w:rsidRDefault="00775843" w:rsidP="009E791A">
            <w:pPr>
              <w:spacing w:after="0" w:line="22" w:lineRule="atLeast"/>
              <w:jc w:val="center"/>
              <w:rPr>
                <w:rFonts w:asciiTheme="majorHAnsi" w:eastAsia="Times New Roman" w:hAnsiTheme="majorHAnsi" w:cstheme="majorHAnsi"/>
                <w:sz w:val="20"/>
                <w:szCs w:val="20"/>
              </w:rPr>
            </w:pPr>
            <w:r w:rsidRPr="00DD4C71">
              <w:rPr>
                <w:rFonts w:asciiTheme="majorHAnsi" w:hAnsiTheme="majorHAnsi" w:cstheme="majorHAnsi"/>
                <w:sz w:val="20"/>
                <w:szCs w:val="20"/>
              </w:rPr>
              <w:t>11.7</w:t>
            </w:r>
          </w:p>
        </w:tc>
      </w:tr>
      <w:tr w:rsidR="00775843" w:rsidRPr="00DD4C71" w14:paraId="45998654" w14:textId="77777777" w:rsidTr="009E791A">
        <w:trPr>
          <w:trHeight w:val="290"/>
        </w:trPr>
        <w:tc>
          <w:tcPr>
            <w:tcW w:w="2268" w:type="dxa"/>
            <w:tcBorders>
              <w:top w:val="nil"/>
              <w:left w:val="nil"/>
              <w:bottom w:val="nil"/>
              <w:right w:val="nil"/>
            </w:tcBorders>
            <w:shd w:val="clear" w:color="auto" w:fill="FFFFFF" w:themeFill="background1"/>
            <w:noWrap/>
            <w:vAlign w:val="center"/>
            <w:hideMark/>
          </w:tcPr>
          <w:p w14:paraId="7C02FED3" w14:textId="77777777" w:rsidR="00775843" w:rsidRPr="00DD4C71" w:rsidRDefault="00775843" w:rsidP="009E791A">
            <w:pPr>
              <w:spacing w:after="0" w:line="22" w:lineRule="atLeast"/>
              <w:rPr>
                <w:rFonts w:asciiTheme="majorHAnsi" w:eastAsia="Times New Roman" w:hAnsiTheme="majorHAnsi" w:cstheme="majorHAnsi"/>
                <w:color w:val="000000"/>
                <w:sz w:val="20"/>
                <w:szCs w:val="20"/>
                <w:lang w:eastAsia="en-AU"/>
              </w:rPr>
            </w:pPr>
            <w:r w:rsidRPr="00DD4C71">
              <w:rPr>
                <w:rFonts w:asciiTheme="majorHAnsi" w:hAnsiTheme="majorHAnsi" w:cstheme="majorHAnsi"/>
                <w:color w:val="000000"/>
                <w:sz w:val="20"/>
                <w:szCs w:val="20"/>
              </w:rPr>
              <w:t>Skill Level 3 Occupations</w:t>
            </w:r>
          </w:p>
        </w:tc>
        <w:tc>
          <w:tcPr>
            <w:tcW w:w="1276" w:type="dxa"/>
            <w:tcBorders>
              <w:top w:val="nil"/>
              <w:left w:val="nil"/>
              <w:bottom w:val="nil"/>
              <w:right w:val="nil"/>
            </w:tcBorders>
            <w:shd w:val="clear" w:color="auto" w:fill="FFFFFF" w:themeFill="background1"/>
            <w:noWrap/>
            <w:vAlign w:val="center"/>
            <w:hideMark/>
          </w:tcPr>
          <w:p w14:paraId="19F6DDF7" w14:textId="77777777" w:rsidR="00775843" w:rsidRPr="00DD4C71" w:rsidRDefault="00775843" w:rsidP="009E791A">
            <w:pPr>
              <w:spacing w:after="0" w:line="22" w:lineRule="atLeast"/>
              <w:jc w:val="center"/>
              <w:rPr>
                <w:rFonts w:asciiTheme="majorHAnsi" w:eastAsia="Times New Roman" w:hAnsiTheme="majorHAnsi" w:cstheme="majorHAnsi"/>
                <w:sz w:val="20"/>
                <w:szCs w:val="20"/>
              </w:rPr>
            </w:pPr>
            <w:r w:rsidRPr="00DD4C71">
              <w:rPr>
                <w:rFonts w:asciiTheme="majorHAnsi" w:hAnsiTheme="majorHAnsi" w:cstheme="majorHAnsi"/>
                <w:sz w:val="20"/>
                <w:szCs w:val="20"/>
              </w:rPr>
              <w:t>2,129.6</w:t>
            </w:r>
          </w:p>
        </w:tc>
        <w:tc>
          <w:tcPr>
            <w:tcW w:w="1276" w:type="dxa"/>
            <w:tcBorders>
              <w:top w:val="nil"/>
              <w:left w:val="nil"/>
              <w:bottom w:val="nil"/>
              <w:right w:val="nil"/>
            </w:tcBorders>
            <w:shd w:val="clear" w:color="auto" w:fill="FFFFFF" w:themeFill="background1"/>
            <w:noWrap/>
            <w:vAlign w:val="center"/>
            <w:hideMark/>
          </w:tcPr>
          <w:p w14:paraId="2EAE0334" w14:textId="77777777" w:rsidR="00775843" w:rsidRPr="00DD4C71" w:rsidRDefault="00775843" w:rsidP="009E791A">
            <w:pPr>
              <w:spacing w:after="0" w:line="22" w:lineRule="atLeast"/>
              <w:jc w:val="center"/>
              <w:rPr>
                <w:rFonts w:asciiTheme="majorHAnsi" w:eastAsia="Times New Roman" w:hAnsiTheme="majorHAnsi" w:cstheme="majorHAnsi"/>
                <w:sz w:val="20"/>
                <w:szCs w:val="20"/>
              </w:rPr>
            </w:pPr>
            <w:r w:rsidRPr="00DD4C71">
              <w:rPr>
                <w:rFonts w:asciiTheme="majorHAnsi" w:hAnsiTheme="majorHAnsi" w:cstheme="majorHAnsi"/>
                <w:color w:val="000000"/>
                <w:sz w:val="20"/>
                <w:szCs w:val="20"/>
              </w:rPr>
              <w:t>2,079.4</w:t>
            </w:r>
          </w:p>
        </w:tc>
        <w:tc>
          <w:tcPr>
            <w:tcW w:w="992" w:type="dxa"/>
            <w:tcBorders>
              <w:top w:val="nil"/>
              <w:left w:val="nil"/>
              <w:bottom w:val="nil"/>
              <w:right w:val="nil"/>
            </w:tcBorders>
            <w:shd w:val="clear" w:color="auto" w:fill="FFFFFF" w:themeFill="background1"/>
            <w:noWrap/>
            <w:vAlign w:val="center"/>
            <w:hideMark/>
          </w:tcPr>
          <w:p w14:paraId="64BDBDC0" w14:textId="77777777" w:rsidR="00775843" w:rsidRPr="00DD4C71" w:rsidRDefault="00775843" w:rsidP="009E791A">
            <w:pPr>
              <w:spacing w:after="0" w:line="22" w:lineRule="atLeast"/>
              <w:jc w:val="center"/>
              <w:rPr>
                <w:rFonts w:asciiTheme="majorHAnsi" w:eastAsia="Times New Roman" w:hAnsiTheme="majorHAnsi" w:cstheme="majorHAnsi"/>
                <w:sz w:val="20"/>
                <w:szCs w:val="20"/>
              </w:rPr>
            </w:pPr>
            <w:r w:rsidRPr="00DD4C71">
              <w:rPr>
                <w:rFonts w:asciiTheme="majorHAnsi" w:hAnsiTheme="majorHAnsi" w:cstheme="majorHAnsi"/>
                <w:sz w:val="20"/>
                <w:szCs w:val="20"/>
              </w:rPr>
              <w:t>50.2</w:t>
            </w:r>
          </w:p>
        </w:tc>
        <w:tc>
          <w:tcPr>
            <w:tcW w:w="992" w:type="dxa"/>
            <w:tcBorders>
              <w:top w:val="nil"/>
              <w:left w:val="nil"/>
              <w:bottom w:val="nil"/>
              <w:right w:val="nil"/>
            </w:tcBorders>
            <w:shd w:val="clear" w:color="auto" w:fill="FFFFFF" w:themeFill="background1"/>
            <w:noWrap/>
            <w:vAlign w:val="center"/>
            <w:hideMark/>
          </w:tcPr>
          <w:p w14:paraId="5E25631D" w14:textId="77777777" w:rsidR="00775843" w:rsidRPr="00DD4C71" w:rsidRDefault="00775843" w:rsidP="009E791A">
            <w:pPr>
              <w:spacing w:after="0" w:line="22" w:lineRule="atLeast"/>
              <w:jc w:val="center"/>
              <w:rPr>
                <w:rFonts w:asciiTheme="majorHAnsi" w:eastAsia="Times New Roman" w:hAnsiTheme="majorHAnsi" w:cstheme="majorHAnsi"/>
                <w:sz w:val="20"/>
                <w:szCs w:val="20"/>
              </w:rPr>
            </w:pPr>
            <w:r w:rsidRPr="00DD4C71">
              <w:rPr>
                <w:rFonts w:asciiTheme="majorHAnsi" w:hAnsiTheme="majorHAnsi" w:cstheme="majorHAnsi"/>
                <w:sz w:val="20"/>
                <w:szCs w:val="20"/>
              </w:rPr>
              <w:t>2.4</w:t>
            </w:r>
          </w:p>
        </w:tc>
        <w:tc>
          <w:tcPr>
            <w:tcW w:w="1134" w:type="dxa"/>
            <w:tcBorders>
              <w:top w:val="nil"/>
              <w:left w:val="nil"/>
              <w:bottom w:val="nil"/>
              <w:right w:val="nil"/>
            </w:tcBorders>
            <w:shd w:val="clear" w:color="auto" w:fill="FFFFFF" w:themeFill="background1"/>
            <w:noWrap/>
            <w:vAlign w:val="center"/>
            <w:hideMark/>
          </w:tcPr>
          <w:p w14:paraId="5B582CBF" w14:textId="77777777" w:rsidR="00775843" w:rsidRPr="00DD4C71" w:rsidRDefault="00775843" w:rsidP="009E791A">
            <w:pPr>
              <w:spacing w:after="0" w:line="22" w:lineRule="atLeast"/>
              <w:jc w:val="center"/>
              <w:rPr>
                <w:rFonts w:asciiTheme="majorHAnsi" w:eastAsia="Times New Roman" w:hAnsiTheme="majorHAnsi" w:cstheme="majorHAnsi"/>
                <w:sz w:val="20"/>
                <w:szCs w:val="20"/>
              </w:rPr>
            </w:pPr>
            <w:r w:rsidRPr="00DD4C71">
              <w:rPr>
                <w:rFonts w:asciiTheme="majorHAnsi" w:hAnsiTheme="majorHAnsi" w:cstheme="majorHAnsi"/>
                <w:sz w:val="20"/>
                <w:szCs w:val="20"/>
              </w:rPr>
              <w:t>123.9</w:t>
            </w:r>
          </w:p>
        </w:tc>
        <w:tc>
          <w:tcPr>
            <w:tcW w:w="993" w:type="dxa"/>
            <w:tcBorders>
              <w:top w:val="nil"/>
              <w:left w:val="nil"/>
              <w:bottom w:val="nil"/>
              <w:right w:val="nil"/>
            </w:tcBorders>
            <w:shd w:val="clear" w:color="auto" w:fill="FFFFFF" w:themeFill="background1"/>
            <w:noWrap/>
            <w:vAlign w:val="center"/>
            <w:hideMark/>
          </w:tcPr>
          <w:p w14:paraId="60B973BA" w14:textId="77777777" w:rsidR="00775843" w:rsidRPr="00DD4C71" w:rsidRDefault="00775843" w:rsidP="009E791A">
            <w:pPr>
              <w:spacing w:after="0" w:line="22" w:lineRule="atLeast"/>
              <w:jc w:val="center"/>
              <w:rPr>
                <w:rFonts w:asciiTheme="majorHAnsi" w:eastAsia="Times New Roman" w:hAnsiTheme="majorHAnsi" w:cstheme="majorHAnsi"/>
                <w:sz w:val="20"/>
                <w:szCs w:val="20"/>
              </w:rPr>
            </w:pPr>
            <w:r w:rsidRPr="00DD4C71">
              <w:rPr>
                <w:rFonts w:asciiTheme="majorHAnsi" w:hAnsiTheme="majorHAnsi" w:cstheme="majorHAnsi"/>
                <w:sz w:val="20"/>
                <w:szCs w:val="20"/>
              </w:rPr>
              <w:t>6.2</w:t>
            </w:r>
          </w:p>
        </w:tc>
      </w:tr>
      <w:tr w:rsidR="00775843" w:rsidRPr="00DD4C71" w14:paraId="1819087E" w14:textId="77777777" w:rsidTr="009E791A">
        <w:trPr>
          <w:trHeight w:val="290"/>
        </w:trPr>
        <w:tc>
          <w:tcPr>
            <w:tcW w:w="2268" w:type="dxa"/>
            <w:tcBorders>
              <w:top w:val="nil"/>
              <w:left w:val="nil"/>
              <w:bottom w:val="nil"/>
              <w:right w:val="nil"/>
            </w:tcBorders>
            <w:shd w:val="clear" w:color="auto" w:fill="D9D9D9" w:themeFill="background1" w:themeFillShade="D9"/>
            <w:noWrap/>
            <w:vAlign w:val="center"/>
            <w:hideMark/>
          </w:tcPr>
          <w:p w14:paraId="2DC3239A" w14:textId="77777777" w:rsidR="00775843" w:rsidRPr="00DD4C71" w:rsidRDefault="00775843" w:rsidP="009E791A">
            <w:pPr>
              <w:spacing w:after="0" w:line="22" w:lineRule="atLeast"/>
              <w:rPr>
                <w:rFonts w:asciiTheme="majorHAnsi" w:eastAsia="Times New Roman" w:hAnsiTheme="majorHAnsi" w:cstheme="majorHAnsi"/>
                <w:color w:val="000000"/>
                <w:sz w:val="20"/>
                <w:szCs w:val="20"/>
                <w:lang w:eastAsia="en-AU"/>
              </w:rPr>
            </w:pPr>
            <w:r w:rsidRPr="00DD4C71">
              <w:rPr>
                <w:rFonts w:asciiTheme="majorHAnsi" w:hAnsiTheme="majorHAnsi" w:cstheme="majorHAnsi"/>
                <w:color w:val="000000"/>
                <w:sz w:val="20"/>
                <w:szCs w:val="20"/>
              </w:rPr>
              <w:t>Skill Level 4 Occupations</w:t>
            </w:r>
          </w:p>
        </w:tc>
        <w:tc>
          <w:tcPr>
            <w:tcW w:w="1276" w:type="dxa"/>
            <w:tcBorders>
              <w:top w:val="nil"/>
              <w:left w:val="nil"/>
              <w:bottom w:val="nil"/>
              <w:right w:val="nil"/>
            </w:tcBorders>
            <w:shd w:val="clear" w:color="auto" w:fill="D9D9D9" w:themeFill="background1" w:themeFillShade="D9"/>
            <w:noWrap/>
            <w:vAlign w:val="center"/>
            <w:hideMark/>
          </w:tcPr>
          <w:p w14:paraId="323991AE" w14:textId="77777777" w:rsidR="00775843" w:rsidRPr="00DD4C71" w:rsidRDefault="00775843" w:rsidP="009E791A">
            <w:pPr>
              <w:spacing w:after="0" w:line="22" w:lineRule="atLeast"/>
              <w:jc w:val="center"/>
              <w:rPr>
                <w:rFonts w:asciiTheme="majorHAnsi" w:eastAsia="Times New Roman" w:hAnsiTheme="majorHAnsi" w:cstheme="majorHAnsi"/>
                <w:sz w:val="20"/>
                <w:szCs w:val="20"/>
              </w:rPr>
            </w:pPr>
            <w:r w:rsidRPr="00DD4C71">
              <w:rPr>
                <w:rFonts w:asciiTheme="majorHAnsi" w:hAnsiTheme="majorHAnsi" w:cstheme="majorHAnsi"/>
                <w:sz w:val="20"/>
                <w:szCs w:val="20"/>
              </w:rPr>
              <w:t>3,531.9</w:t>
            </w:r>
          </w:p>
        </w:tc>
        <w:tc>
          <w:tcPr>
            <w:tcW w:w="1276" w:type="dxa"/>
            <w:tcBorders>
              <w:top w:val="nil"/>
              <w:left w:val="nil"/>
              <w:bottom w:val="nil"/>
              <w:right w:val="nil"/>
            </w:tcBorders>
            <w:shd w:val="clear" w:color="auto" w:fill="D9D9D9" w:themeFill="background1" w:themeFillShade="D9"/>
            <w:noWrap/>
            <w:vAlign w:val="center"/>
            <w:hideMark/>
          </w:tcPr>
          <w:p w14:paraId="659685AB" w14:textId="77777777" w:rsidR="00775843" w:rsidRPr="00DD4C71" w:rsidRDefault="00775843" w:rsidP="009E791A">
            <w:pPr>
              <w:spacing w:after="0" w:line="22" w:lineRule="atLeast"/>
              <w:jc w:val="center"/>
              <w:rPr>
                <w:rFonts w:asciiTheme="majorHAnsi" w:eastAsia="Times New Roman" w:hAnsiTheme="majorHAnsi" w:cstheme="majorHAnsi"/>
                <w:sz w:val="20"/>
                <w:szCs w:val="20"/>
              </w:rPr>
            </w:pPr>
            <w:r w:rsidRPr="00DD4C71">
              <w:rPr>
                <w:rFonts w:asciiTheme="majorHAnsi" w:hAnsiTheme="majorHAnsi" w:cstheme="majorHAnsi"/>
                <w:color w:val="000000"/>
                <w:sz w:val="20"/>
                <w:szCs w:val="20"/>
              </w:rPr>
              <w:t>3,363.1</w:t>
            </w:r>
          </w:p>
        </w:tc>
        <w:tc>
          <w:tcPr>
            <w:tcW w:w="992" w:type="dxa"/>
            <w:tcBorders>
              <w:top w:val="nil"/>
              <w:left w:val="nil"/>
              <w:bottom w:val="nil"/>
              <w:right w:val="nil"/>
            </w:tcBorders>
            <w:shd w:val="clear" w:color="auto" w:fill="D9D9D9" w:themeFill="background1" w:themeFillShade="D9"/>
            <w:noWrap/>
            <w:vAlign w:val="center"/>
            <w:hideMark/>
          </w:tcPr>
          <w:p w14:paraId="5A92D992" w14:textId="77777777" w:rsidR="00775843" w:rsidRPr="00DD4C71" w:rsidRDefault="00775843" w:rsidP="009E791A">
            <w:pPr>
              <w:spacing w:after="0" w:line="22" w:lineRule="atLeast"/>
              <w:jc w:val="center"/>
              <w:rPr>
                <w:rFonts w:asciiTheme="majorHAnsi" w:eastAsia="Times New Roman" w:hAnsiTheme="majorHAnsi" w:cstheme="majorHAnsi"/>
                <w:sz w:val="20"/>
                <w:szCs w:val="20"/>
              </w:rPr>
            </w:pPr>
            <w:r w:rsidRPr="00DD4C71">
              <w:rPr>
                <w:rFonts w:asciiTheme="majorHAnsi" w:hAnsiTheme="majorHAnsi" w:cstheme="majorHAnsi"/>
                <w:sz w:val="20"/>
                <w:szCs w:val="20"/>
              </w:rPr>
              <w:t>168.8</w:t>
            </w:r>
          </w:p>
        </w:tc>
        <w:tc>
          <w:tcPr>
            <w:tcW w:w="992" w:type="dxa"/>
            <w:tcBorders>
              <w:top w:val="nil"/>
              <w:left w:val="nil"/>
              <w:bottom w:val="nil"/>
              <w:right w:val="nil"/>
            </w:tcBorders>
            <w:shd w:val="clear" w:color="auto" w:fill="D9D9D9" w:themeFill="background1" w:themeFillShade="D9"/>
            <w:noWrap/>
            <w:vAlign w:val="center"/>
            <w:hideMark/>
          </w:tcPr>
          <w:p w14:paraId="4EB197D2" w14:textId="77777777" w:rsidR="00775843" w:rsidRPr="00DD4C71" w:rsidRDefault="00775843" w:rsidP="009E791A">
            <w:pPr>
              <w:spacing w:after="0" w:line="22" w:lineRule="atLeast"/>
              <w:jc w:val="center"/>
              <w:rPr>
                <w:rFonts w:asciiTheme="majorHAnsi" w:eastAsia="Times New Roman" w:hAnsiTheme="majorHAnsi" w:cstheme="majorHAnsi"/>
                <w:sz w:val="20"/>
                <w:szCs w:val="20"/>
              </w:rPr>
            </w:pPr>
            <w:r w:rsidRPr="00DD4C71">
              <w:rPr>
                <w:rFonts w:asciiTheme="majorHAnsi" w:hAnsiTheme="majorHAnsi" w:cstheme="majorHAnsi"/>
                <w:sz w:val="20"/>
                <w:szCs w:val="20"/>
              </w:rPr>
              <w:t>5.0</w:t>
            </w:r>
          </w:p>
        </w:tc>
        <w:tc>
          <w:tcPr>
            <w:tcW w:w="1134" w:type="dxa"/>
            <w:tcBorders>
              <w:top w:val="nil"/>
              <w:left w:val="nil"/>
              <w:bottom w:val="nil"/>
              <w:right w:val="nil"/>
            </w:tcBorders>
            <w:shd w:val="clear" w:color="auto" w:fill="D9D9D9" w:themeFill="background1" w:themeFillShade="D9"/>
            <w:noWrap/>
            <w:vAlign w:val="center"/>
            <w:hideMark/>
          </w:tcPr>
          <w:p w14:paraId="0E1A2EB4" w14:textId="77777777" w:rsidR="00775843" w:rsidRPr="00DD4C71" w:rsidRDefault="00775843" w:rsidP="009E791A">
            <w:pPr>
              <w:spacing w:after="0" w:line="22" w:lineRule="atLeast"/>
              <w:jc w:val="center"/>
              <w:rPr>
                <w:rFonts w:asciiTheme="majorHAnsi" w:eastAsia="Times New Roman" w:hAnsiTheme="majorHAnsi" w:cstheme="majorHAnsi"/>
                <w:sz w:val="20"/>
                <w:szCs w:val="20"/>
              </w:rPr>
            </w:pPr>
            <w:r w:rsidRPr="00DD4C71">
              <w:rPr>
                <w:rFonts w:asciiTheme="majorHAnsi" w:hAnsiTheme="majorHAnsi" w:cstheme="majorHAnsi"/>
                <w:sz w:val="20"/>
                <w:szCs w:val="20"/>
              </w:rPr>
              <w:t>373.8</w:t>
            </w:r>
          </w:p>
        </w:tc>
        <w:tc>
          <w:tcPr>
            <w:tcW w:w="993" w:type="dxa"/>
            <w:tcBorders>
              <w:top w:val="nil"/>
              <w:left w:val="nil"/>
              <w:bottom w:val="nil"/>
              <w:right w:val="nil"/>
            </w:tcBorders>
            <w:shd w:val="clear" w:color="auto" w:fill="D9D9D9" w:themeFill="background1" w:themeFillShade="D9"/>
            <w:noWrap/>
            <w:vAlign w:val="center"/>
            <w:hideMark/>
          </w:tcPr>
          <w:p w14:paraId="1D7E79F2" w14:textId="77777777" w:rsidR="00775843" w:rsidRPr="00DD4C71" w:rsidRDefault="00775843" w:rsidP="009E791A">
            <w:pPr>
              <w:spacing w:after="0" w:line="22" w:lineRule="atLeast"/>
              <w:jc w:val="center"/>
              <w:rPr>
                <w:rFonts w:asciiTheme="majorHAnsi" w:eastAsia="Times New Roman" w:hAnsiTheme="majorHAnsi" w:cstheme="majorHAnsi"/>
                <w:sz w:val="20"/>
                <w:szCs w:val="20"/>
              </w:rPr>
            </w:pPr>
            <w:r w:rsidRPr="00DD4C71">
              <w:rPr>
                <w:rFonts w:asciiTheme="majorHAnsi" w:hAnsiTheme="majorHAnsi" w:cstheme="majorHAnsi"/>
                <w:sz w:val="20"/>
                <w:szCs w:val="20"/>
              </w:rPr>
              <w:t>11.8</w:t>
            </w:r>
          </w:p>
        </w:tc>
      </w:tr>
      <w:tr w:rsidR="00775843" w:rsidRPr="00DD4C71" w14:paraId="18046D81" w14:textId="77777777" w:rsidTr="009E791A">
        <w:trPr>
          <w:trHeight w:val="290"/>
        </w:trPr>
        <w:tc>
          <w:tcPr>
            <w:tcW w:w="2268" w:type="dxa"/>
            <w:tcBorders>
              <w:top w:val="nil"/>
              <w:left w:val="nil"/>
              <w:right w:val="nil"/>
            </w:tcBorders>
            <w:shd w:val="clear" w:color="auto" w:fill="FFFFFF" w:themeFill="background1"/>
            <w:noWrap/>
            <w:vAlign w:val="center"/>
            <w:hideMark/>
          </w:tcPr>
          <w:p w14:paraId="13677981" w14:textId="77777777" w:rsidR="00775843" w:rsidRPr="00DD4C71" w:rsidRDefault="00775843" w:rsidP="009E791A">
            <w:pPr>
              <w:spacing w:after="0" w:line="22" w:lineRule="atLeast"/>
              <w:rPr>
                <w:rFonts w:asciiTheme="majorHAnsi" w:eastAsia="Times New Roman" w:hAnsiTheme="majorHAnsi" w:cstheme="majorHAnsi"/>
                <w:color w:val="000000"/>
                <w:sz w:val="20"/>
                <w:szCs w:val="20"/>
                <w:lang w:eastAsia="en-AU"/>
              </w:rPr>
            </w:pPr>
            <w:r w:rsidRPr="00DD4C71">
              <w:rPr>
                <w:rFonts w:asciiTheme="majorHAnsi" w:hAnsiTheme="majorHAnsi" w:cstheme="majorHAnsi"/>
                <w:color w:val="000000"/>
                <w:sz w:val="20"/>
                <w:szCs w:val="20"/>
              </w:rPr>
              <w:t>Skill Level 5 Occupations</w:t>
            </w:r>
          </w:p>
        </w:tc>
        <w:tc>
          <w:tcPr>
            <w:tcW w:w="1276" w:type="dxa"/>
            <w:tcBorders>
              <w:top w:val="nil"/>
              <w:left w:val="nil"/>
              <w:right w:val="nil"/>
            </w:tcBorders>
            <w:shd w:val="clear" w:color="auto" w:fill="FFFFFF" w:themeFill="background1"/>
            <w:noWrap/>
            <w:vAlign w:val="center"/>
            <w:hideMark/>
          </w:tcPr>
          <w:p w14:paraId="03AD1864" w14:textId="77777777" w:rsidR="00775843" w:rsidRPr="00DD4C71" w:rsidRDefault="00775843" w:rsidP="009E791A">
            <w:pPr>
              <w:spacing w:after="0" w:line="22" w:lineRule="atLeast"/>
              <w:jc w:val="center"/>
              <w:rPr>
                <w:rFonts w:asciiTheme="majorHAnsi" w:eastAsia="Times New Roman" w:hAnsiTheme="majorHAnsi" w:cstheme="majorHAnsi"/>
                <w:sz w:val="20"/>
                <w:szCs w:val="20"/>
              </w:rPr>
            </w:pPr>
            <w:r w:rsidRPr="00DD4C71">
              <w:rPr>
                <w:rFonts w:asciiTheme="majorHAnsi" w:hAnsiTheme="majorHAnsi" w:cstheme="majorHAnsi"/>
                <w:sz w:val="20"/>
                <w:szCs w:val="20"/>
              </w:rPr>
              <w:t>1,988.6</w:t>
            </w:r>
          </w:p>
        </w:tc>
        <w:tc>
          <w:tcPr>
            <w:tcW w:w="1276" w:type="dxa"/>
            <w:tcBorders>
              <w:top w:val="nil"/>
              <w:left w:val="nil"/>
              <w:right w:val="nil"/>
            </w:tcBorders>
            <w:shd w:val="clear" w:color="auto" w:fill="FFFFFF" w:themeFill="background1"/>
            <w:noWrap/>
            <w:vAlign w:val="center"/>
            <w:hideMark/>
          </w:tcPr>
          <w:p w14:paraId="228D7598" w14:textId="77777777" w:rsidR="00775843" w:rsidRPr="00DD4C71" w:rsidRDefault="00775843" w:rsidP="009E791A">
            <w:pPr>
              <w:spacing w:after="0" w:line="22" w:lineRule="atLeast"/>
              <w:jc w:val="center"/>
              <w:rPr>
                <w:rFonts w:asciiTheme="majorHAnsi" w:eastAsia="Times New Roman" w:hAnsiTheme="majorHAnsi" w:cstheme="majorHAnsi"/>
                <w:sz w:val="20"/>
                <w:szCs w:val="20"/>
              </w:rPr>
            </w:pPr>
            <w:r w:rsidRPr="00DD4C71">
              <w:rPr>
                <w:rFonts w:asciiTheme="majorHAnsi" w:hAnsiTheme="majorHAnsi" w:cstheme="majorHAnsi"/>
                <w:color w:val="000000"/>
                <w:sz w:val="20"/>
                <w:szCs w:val="20"/>
              </w:rPr>
              <w:t>2,007.2</w:t>
            </w:r>
          </w:p>
        </w:tc>
        <w:tc>
          <w:tcPr>
            <w:tcW w:w="992" w:type="dxa"/>
            <w:tcBorders>
              <w:top w:val="nil"/>
              <w:left w:val="nil"/>
              <w:right w:val="nil"/>
            </w:tcBorders>
            <w:shd w:val="clear" w:color="auto" w:fill="FFFFFF" w:themeFill="background1"/>
            <w:noWrap/>
            <w:vAlign w:val="center"/>
            <w:hideMark/>
          </w:tcPr>
          <w:p w14:paraId="27E503B7" w14:textId="77777777" w:rsidR="00775843" w:rsidRPr="00DD4C71" w:rsidRDefault="00775843" w:rsidP="009E791A">
            <w:pPr>
              <w:spacing w:after="0" w:line="22" w:lineRule="atLeast"/>
              <w:jc w:val="center"/>
              <w:rPr>
                <w:rFonts w:asciiTheme="majorHAnsi" w:eastAsia="Times New Roman" w:hAnsiTheme="majorHAnsi" w:cstheme="majorHAnsi"/>
                <w:sz w:val="20"/>
                <w:szCs w:val="20"/>
              </w:rPr>
            </w:pPr>
            <w:r w:rsidRPr="00DD4C71">
              <w:rPr>
                <w:rFonts w:asciiTheme="majorHAnsi" w:hAnsiTheme="majorHAnsi" w:cstheme="majorHAnsi"/>
                <w:sz w:val="20"/>
                <w:szCs w:val="20"/>
              </w:rPr>
              <w:t>-18.6</w:t>
            </w:r>
          </w:p>
        </w:tc>
        <w:tc>
          <w:tcPr>
            <w:tcW w:w="992" w:type="dxa"/>
            <w:tcBorders>
              <w:top w:val="nil"/>
              <w:left w:val="nil"/>
              <w:right w:val="nil"/>
            </w:tcBorders>
            <w:shd w:val="clear" w:color="auto" w:fill="FFFFFF" w:themeFill="background1"/>
            <w:noWrap/>
            <w:vAlign w:val="center"/>
            <w:hideMark/>
          </w:tcPr>
          <w:p w14:paraId="17CC3F80" w14:textId="77777777" w:rsidR="00775843" w:rsidRPr="00DD4C71" w:rsidRDefault="00775843" w:rsidP="009E791A">
            <w:pPr>
              <w:spacing w:after="0" w:line="22" w:lineRule="atLeast"/>
              <w:jc w:val="center"/>
              <w:rPr>
                <w:rFonts w:asciiTheme="majorHAnsi" w:eastAsia="Times New Roman" w:hAnsiTheme="majorHAnsi" w:cstheme="majorHAnsi"/>
                <w:sz w:val="20"/>
                <w:szCs w:val="20"/>
              </w:rPr>
            </w:pPr>
            <w:r w:rsidRPr="00DD4C71">
              <w:rPr>
                <w:rFonts w:asciiTheme="majorHAnsi" w:hAnsiTheme="majorHAnsi" w:cstheme="majorHAnsi"/>
                <w:sz w:val="20"/>
                <w:szCs w:val="20"/>
              </w:rPr>
              <w:t>-0.9</w:t>
            </w:r>
          </w:p>
        </w:tc>
        <w:tc>
          <w:tcPr>
            <w:tcW w:w="1134" w:type="dxa"/>
            <w:tcBorders>
              <w:top w:val="nil"/>
              <w:left w:val="nil"/>
              <w:right w:val="nil"/>
            </w:tcBorders>
            <w:shd w:val="clear" w:color="auto" w:fill="FFFFFF" w:themeFill="background1"/>
            <w:noWrap/>
            <w:vAlign w:val="center"/>
            <w:hideMark/>
          </w:tcPr>
          <w:p w14:paraId="11ACD7F0" w14:textId="77777777" w:rsidR="00775843" w:rsidRPr="00DD4C71" w:rsidRDefault="00775843" w:rsidP="009E791A">
            <w:pPr>
              <w:spacing w:after="0" w:line="22" w:lineRule="atLeast"/>
              <w:jc w:val="center"/>
              <w:rPr>
                <w:rFonts w:asciiTheme="majorHAnsi" w:eastAsia="Times New Roman" w:hAnsiTheme="majorHAnsi" w:cstheme="majorHAnsi"/>
                <w:sz w:val="20"/>
                <w:szCs w:val="20"/>
              </w:rPr>
            </w:pPr>
            <w:r w:rsidRPr="00DD4C71">
              <w:rPr>
                <w:rFonts w:asciiTheme="majorHAnsi" w:hAnsiTheme="majorHAnsi" w:cstheme="majorHAnsi"/>
                <w:sz w:val="20"/>
                <w:szCs w:val="20"/>
              </w:rPr>
              <w:t>-10.4</w:t>
            </w:r>
          </w:p>
        </w:tc>
        <w:tc>
          <w:tcPr>
            <w:tcW w:w="993" w:type="dxa"/>
            <w:tcBorders>
              <w:top w:val="nil"/>
              <w:left w:val="nil"/>
              <w:right w:val="nil"/>
            </w:tcBorders>
            <w:shd w:val="clear" w:color="auto" w:fill="FFFFFF" w:themeFill="background1"/>
            <w:noWrap/>
            <w:vAlign w:val="center"/>
            <w:hideMark/>
          </w:tcPr>
          <w:p w14:paraId="2EE4BBC6" w14:textId="77777777" w:rsidR="00775843" w:rsidRPr="00DD4C71" w:rsidRDefault="00775843" w:rsidP="009E791A">
            <w:pPr>
              <w:spacing w:after="0" w:line="22" w:lineRule="atLeast"/>
              <w:jc w:val="center"/>
              <w:rPr>
                <w:rFonts w:asciiTheme="majorHAnsi" w:eastAsia="Times New Roman" w:hAnsiTheme="majorHAnsi" w:cstheme="majorHAnsi"/>
                <w:sz w:val="20"/>
                <w:szCs w:val="20"/>
              </w:rPr>
            </w:pPr>
            <w:r w:rsidRPr="00DD4C71">
              <w:rPr>
                <w:rFonts w:asciiTheme="majorHAnsi" w:hAnsiTheme="majorHAnsi" w:cstheme="majorHAnsi"/>
                <w:sz w:val="20"/>
                <w:szCs w:val="20"/>
              </w:rPr>
              <w:t>-0.5</w:t>
            </w:r>
          </w:p>
        </w:tc>
      </w:tr>
      <w:tr w:rsidR="00775843" w:rsidRPr="00DD4C71" w14:paraId="71EEC3D1" w14:textId="77777777" w:rsidTr="009E791A">
        <w:trPr>
          <w:trHeight w:val="349"/>
        </w:trPr>
        <w:tc>
          <w:tcPr>
            <w:tcW w:w="2268" w:type="dxa"/>
            <w:tcBorders>
              <w:top w:val="nil"/>
              <w:left w:val="nil"/>
              <w:bottom w:val="single" w:sz="4" w:space="0" w:color="auto"/>
              <w:right w:val="nil"/>
            </w:tcBorders>
            <w:shd w:val="clear" w:color="auto" w:fill="D9D9D9" w:themeFill="background1" w:themeFillShade="D9"/>
            <w:noWrap/>
            <w:vAlign w:val="center"/>
          </w:tcPr>
          <w:p w14:paraId="7CE9A7C8" w14:textId="77777777" w:rsidR="00775843" w:rsidRPr="00DD4C71" w:rsidRDefault="00775843" w:rsidP="009E791A">
            <w:pPr>
              <w:spacing w:after="0" w:line="22" w:lineRule="atLeast"/>
              <w:rPr>
                <w:rFonts w:asciiTheme="majorHAnsi" w:hAnsiTheme="majorHAnsi" w:cstheme="majorHAnsi"/>
                <w:color w:val="000000"/>
                <w:sz w:val="20"/>
                <w:szCs w:val="20"/>
              </w:rPr>
            </w:pPr>
            <w:r w:rsidRPr="00DD4C71">
              <w:rPr>
                <w:rFonts w:asciiTheme="majorHAnsi" w:hAnsiTheme="majorHAnsi" w:cstheme="majorHAnsi"/>
                <w:b/>
                <w:bCs/>
                <w:sz w:val="20"/>
                <w:szCs w:val="20"/>
              </w:rPr>
              <w:t>TOTAL EMPLOYMENT</w:t>
            </w:r>
          </w:p>
        </w:tc>
        <w:tc>
          <w:tcPr>
            <w:tcW w:w="1276" w:type="dxa"/>
            <w:tcBorders>
              <w:top w:val="nil"/>
              <w:left w:val="nil"/>
              <w:bottom w:val="single" w:sz="4" w:space="0" w:color="auto"/>
              <w:right w:val="nil"/>
            </w:tcBorders>
            <w:shd w:val="clear" w:color="auto" w:fill="D9D9D9" w:themeFill="background1" w:themeFillShade="D9"/>
            <w:noWrap/>
            <w:vAlign w:val="center"/>
          </w:tcPr>
          <w:p w14:paraId="2AD68D28" w14:textId="77777777" w:rsidR="00775843" w:rsidRPr="00DD4C71" w:rsidRDefault="00775843" w:rsidP="009E791A">
            <w:pPr>
              <w:spacing w:after="0" w:line="22" w:lineRule="atLeast"/>
              <w:jc w:val="center"/>
              <w:rPr>
                <w:rFonts w:asciiTheme="majorHAnsi" w:eastAsia="Times New Roman" w:hAnsiTheme="majorHAnsi" w:cstheme="majorHAnsi"/>
                <w:b/>
                <w:bCs/>
                <w:sz w:val="20"/>
                <w:szCs w:val="20"/>
              </w:rPr>
            </w:pPr>
            <w:r w:rsidRPr="00DD4C71">
              <w:rPr>
                <w:rFonts w:asciiTheme="majorHAnsi" w:hAnsiTheme="majorHAnsi" w:cstheme="majorHAnsi"/>
                <w:b/>
                <w:bCs/>
                <w:color w:val="000000"/>
                <w:sz w:val="20"/>
                <w:szCs w:val="20"/>
              </w:rPr>
              <w:t>14,410.4</w:t>
            </w:r>
          </w:p>
        </w:tc>
        <w:tc>
          <w:tcPr>
            <w:tcW w:w="1276" w:type="dxa"/>
            <w:tcBorders>
              <w:top w:val="nil"/>
              <w:left w:val="nil"/>
              <w:bottom w:val="single" w:sz="4" w:space="0" w:color="auto"/>
              <w:right w:val="nil"/>
            </w:tcBorders>
            <w:shd w:val="clear" w:color="auto" w:fill="D9D9D9" w:themeFill="background1" w:themeFillShade="D9"/>
            <w:noWrap/>
            <w:vAlign w:val="center"/>
          </w:tcPr>
          <w:p w14:paraId="03F207C9" w14:textId="77777777" w:rsidR="00775843" w:rsidRPr="00DD4C71" w:rsidRDefault="00775843" w:rsidP="009E791A">
            <w:pPr>
              <w:spacing w:after="0" w:line="22" w:lineRule="atLeast"/>
              <w:jc w:val="center"/>
              <w:rPr>
                <w:rFonts w:asciiTheme="majorHAnsi" w:eastAsia="Times New Roman" w:hAnsiTheme="majorHAnsi" w:cstheme="majorHAnsi"/>
                <w:b/>
                <w:bCs/>
                <w:sz w:val="20"/>
                <w:szCs w:val="20"/>
              </w:rPr>
            </w:pPr>
            <w:r w:rsidRPr="00DD4C71">
              <w:rPr>
                <w:rFonts w:asciiTheme="majorHAnsi" w:hAnsiTheme="majorHAnsi" w:cstheme="majorHAnsi"/>
                <w:b/>
                <w:bCs/>
                <w:color w:val="000000"/>
                <w:sz w:val="20"/>
                <w:szCs w:val="20"/>
              </w:rPr>
              <w:t>14,006.6</w:t>
            </w:r>
          </w:p>
        </w:tc>
        <w:tc>
          <w:tcPr>
            <w:tcW w:w="992" w:type="dxa"/>
            <w:tcBorders>
              <w:top w:val="nil"/>
              <w:left w:val="nil"/>
              <w:bottom w:val="single" w:sz="4" w:space="0" w:color="auto"/>
              <w:right w:val="nil"/>
            </w:tcBorders>
            <w:shd w:val="clear" w:color="auto" w:fill="D9D9D9" w:themeFill="background1" w:themeFillShade="D9"/>
            <w:noWrap/>
            <w:vAlign w:val="center"/>
          </w:tcPr>
          <w:p w14:paraId="77214BBC" w14:textId="77777777" w:rsidR="00775843" w:rsidRPr="00DD4C71" w:rsidRDefault="00775843" w:rsidP="009E791A">
            <w:pPr>
              <w:spacing w:after="0" w:line="22" w:lineRule="atLeast"/>
              <w:jc w:val="center"/>
              <w:rPr>
                <w:rFonts w:asciiTheme="majorHAnsi" w:eastAsia="Times New Roman" w:hAnsiTheme="majorHAnsi" w:cstheme="majorHAnsi"/>
                <w:b/>
                <w:bCs/>
                <w:sz w:val="20"/>
                <w:szCs w:val="20"/>
              </w:rPr>
            </w:pPr>
            <w:r w:rsidRPr="00DD4C71">
              <w:rPr>
                <w:rFonts w:asciiTheme="majorHAnsi" w:hAnsiTheme="majorHAnsi" w:cstheme="majorHAnsi"/>
                <w:b/>
                <w:bCs/>
                <w:color w:val="000000"/>
                <w:sz w:val="20"/>
                <w:szCs w:val="20"/>
              </w:rPr>
              <w:t>403.8</w:t>
            </w:r>
          </w:p>
        </w:tc>
        <w:tc>
          <w:tcPr>
            <w:tcW w:w="992" w:type="dxa"/>
            <w:tcBorders>
              <w:top w:val="nil"/>
              <w:left w:val="nil"/>
              <w:bottom w:val="single" w:sz="4" w:space="0" w:color="auto"/>
              <w:right w:val="nil"/>
            </w:tcBorders>
            <w:shd w:val="clear" w:color="auto" w:fill="D9D9D9" w:themeFill="background1" w:themeFillShade="D9"/>
            <w:noWrap/>
            <w:vAlign w:val="center"/>
          </w:tcPr>
          <w:p w14:paraId="53636175" w14:textId="77777777" w:rsidR="00775843" w:rsidRPr="00DD4C71" w:rsidRDefault="00775843" w:rsidP="009E791A">
            <w:pPr>
              <w:spacing w:after="0" w:line="22" w:lineRule="atLeast"/>
              <w:jc w:val="center"/>
              <w:rPr>
                <w:rFonts w:asciiTheme="majorHAnsi" w:eastAsia="Times New Roman" w:hAnsiTheme="majorHAnsi" w:cstheme="majorHAnsi"/>
                <w:b/>
                <w:bCs/>
                <w:sz w:val="20"/>
                <w:szCs w:val="20"/>
              </w:rPr>
            </w:pPr>
            <w:r w:rsidRPr="00DD4C71">
              <w:rPr>
                <w:rFonts w:asciiTheme="majorHAnsi" w:hAnsiTheme="majorHAnsi" w:cstheme="majorHAnsi"/>
                <w:b/>
                <w:bCs/>
                <w:color w:val="000000"/>
                <w:sz w:val="20"/>
                <w:szCs w:val="20"/>
              </w:rPr>
              <w:t>2.9</w:t>
            </w:r>
          </w:p>
        </w:tc>
        <w:tc>
          <w:tcPr>
            <w:tcW w:w="1134" w:type="dxa"/>
            <w:tcBorders>
              <w:top w:val="nil"/>
              <w:left w:val="nil"/>
              <w:bottom w:val="single" w:sz="4" w:space="0" w:color="auto"/>
              <w:right w:val="nil"/>
            </w:tcBorders>
            <w:shd w:val="clear" w:color="auto" w:fill="D9D9D9" w:themeFill="background1" w:themeFillShade="D9"/>
            <w:noWrap/>
            <w:vAlign w:val="center"/>
          </w:tcPr>
          <w:p w14:paraId="269EB094" w14:textId="77777777" w:rsidR="00775843" w:rsidRPr="00DD4C71" w:rsidRDefault="00775843" w:rsidP="009E791A">
            <w:pPr>
              <w:spacing w:after="0" w:line="22" w:lineRule="atLeast"/>
              <w:jc w:val="center"/>
              <w:rPr>
                <w:rFonts w:asciiTheme="majorHAnsi" w:eastAsia="Times New Roman" w:hAnsiTheme="majorHAnsi" w:cstheme="majorHAnsi"/>
                <w:b/>
                <w:bCs/>
                <w:sz w:val="20"/>
                <w:szCs w:val="20"/>
              </w:rPr>
            </w:pPr>
            <w:r w:rsidRPr="00DD4C71">
              <w:rPr>
                <w:rFonts w:asciiTheme="majorHAnsi" w:hAnsiTheme="majorHAnsi" w:cstheme="majorHAnsi"/>
                <w:b/>
                <w:bCs/>
                <w:color w:val="000000"/>
                <w:sz w:val="20"/>
                <w:szCs w:val="20"/>
              </w:rPr>
              <w:t>1,574.4</w:t>
            </w:r>
          </w:p>
        </w:tc>
        <w:tc>
          <w:tcPr>
            <w:tcW w:w="993" w:type="dxa"/>
            <w:tcBorders>
              <w:top w:val="nil"/>
              <w:left w:val="nil"/>
              <w:bottom w:val="single" w:sz="4" w:space="0" w:color="auto"/>
              <w:right w:val="nil"/>
            </w:tcBorders>
            <w:shd w:val="clear" w:color="auto" w:fill="D9D9D9" w:themeFill="background1" w:themeFillShade="D9"/>
            <w:noWrap/>
            <w:vAlign w:val="center"/>
          </w:tcPr>
          <w:p w14:paraId="30E8E6E6" w14:textId="77777777" w:rsidR="00775843" w:rsidRPr="00DD4C71" w:rsidRDefault="00775843" w:rsidP="009E791A">
            <w:pPr>
              <w:spacing w:after="0" w:line="22" w:lineRule="atLeast"/>
              <w:jc w:val="center"/>
              <w:rPr>
                <w:rFonts w:asciiTheme="majorHAnsi" w:eastAsia="Times New Roman" w:hAnsiTheme="majorHAnsi" w:cstheme="majorHAnsi"/>
                <w:b/>
                <w:bCs/>
                <w:sz w:val="20"/>
                <w:szCs w:val="20"/>
              </w:rPr>
            </w:pPr>
            <w:r w:rsidRPr="00DD4C71">
              <w:rPr>
                <w:rFonts w:asciiTheme="majorHAnsi" w:hAnsiTheme="majorHAnsi" w:cstheme="majorHAnsi"/>
                <w:b/>
                <w:bCs/>
                <w:color w:val="000000"/>
                <w:sz w:val="20"/>
                <w:szCs w:val="20"/>
              </w:rPr>
              <w:t>12.3</w:t>
            </w:r>
          </w:p>
        </w:tc>
      </w:tr>
    </w:tbl>
    <w:p w14:paraId="3F60ED66" w14:textId="77777777" w:rsidR="000704FB" w:rsidRDefault="000704FB" w:rsidP="004C4A6C"/>
    <w:p w14:paraId="54018014" w14:textId="77777777" w:rsidR="00A26F58" w:rsidRDefault="00A26F58" w:rsidP="004C4A6C"/>
    <w:p w14:paraId="072128FC" w14:textId="3E11123F" w:rsidR="007502C1" w:rsidRPr="00DD4C71" w:rsidRDefault="0085368A" w:rsidP="007502C1">
      <w:pPr>
        <w:pStyle w:val="Heading1"/>
      </w:pPr>
      <w:bookmarkStart w:id="15" w:name="_Toc174691123"/>
      <w:r>
        <w:t>L</w:t>
      </w:r>
      <w:r w:rsidR="007502C1">
        <w:t xml:space="preserve">abour </w:t>
      </w:r>
      <w:r>
        <w:t>demand</w:t>
      </w:r>
      <w:r w:rsidR="007502C1">
        <w:t xml:space="preserve"> indicators are weaker</w:t>
      </w:r>
      <w:bookmarkEnd w:id="15"/>
    </w:p>
    <w:p w14:paraId="53DB77E2" w14:textId="77777777" w:rsidR="00775843" w:rsidRDefault="00775843" w:rsidP="00775843">
      <w:r w:rsidRPr="00DD4C71">
        <w:t xml:space="preserve">Results from Jobs and Skills Australia’s June 2024 </w:t>
      </w:r>
      <w:r w:rsidRPr="00DD4C71">
        <w:rPr>
          <w:i/>
          <w:iCs/>
        </w:rPr>
        <w:t>Recruitment Experiences and Outlook Survey (REOS)</w:t>
      </w:r>
      <w:r w:rsidRPr="00DD4C71">
        <w:t xml:space="preserve"> confirm that labour market conditions remain softer than a year ago. The REOS </w:t>
      </w:r>
      <w:r w:rsidRPr="00DD4C71">
        <w:rPr>
          <w:b/>
          <w:bCs/>
        </w:rPr>
        <w:t>recruitment rate</w:t>
      </w:r>
      <w:r w:rsidRPr="00DD4C71">
        <w:t xml:space="preserve"> is the proportion of employers who were recruiting at the time of the survey. The recruitment rate is a robust indicator of the demand for workers and an indicator of employers’ confidence in business conditions.</w:t>
      </w:r>
    </w:p>
    <w:p w14:paraId="4F84163F" w14:textId="77777777" w:rsidR="00A804D2" w:rsidRPr="00DD4C71" w:rsidRDefault="00A804D2" w:rsidP="00775843"/>
    <w:p w14:paraId="455CA7C9" w14:textId="6501C1A4" w:rsidR="00775843" w:rsidRPr="00DD4C71" w:rsidRDefault="00775843" w:rsidP="00775843">
      <w:pPr>
        <w:pStyle w:val="ChartandTablelabel"/>
        <w:rPr>
          <w:rFonts w:asciiTheme="minorHAnsi" w:hAnsiTheme="minorHAnsi"/>
          <w:lang w:val="en-AU"/>
        </w:rPr>
      </w:pPr>
      <w:r w:rsidRPr="00DD4C71">
        <w:rPr>
          <w:rFonts w:asciiTheme="minorHAnsi" w:hAnsiTheme="minorHAnsi"/>
          <w:lang w:val="en-AU"/>
        </w:rPr>
        <w:t xml:space="preserve">Figure </w:t>
      </w:r>
      <w:r w:rsidR="00904B4B">
        <w:rPr>
          <w:rFonts w:asciiTheme="minorHAnsi" w:hAnsiTheme="minorHAnsi"/>
          <w:lang w:val="en-AU"/>
        </w:rPr>
        <w:t>4</w:t>
      </w:r>
      <w:r w:rsidRPr="00DD4C71">
        <w:rPr>
          <w:rFonts w:asciiTheme="minorHAnsi" w:hAnsiTheme="minorHAnsi"/>
          <w:lang w:val="en-AU"/>
        </w:rPr>
        <w:t>: Recruitment rate (proportion of employers currently recruiting or who recruited in the past month), June quarter 2021 to June quarter 2024</w:t>
      </w:r>
    </w:p>
    <w:p w14:paraId="0E9D945A" w14:textId="77777777" w:rsidR="00775843" w:rsidRPr="00DD4C71" w:rsidRDefault="00775843" w:rsidP="008321B9">
      <w:pPr>
        <w:pStyle w:val="ChartandTablelabel"/>
        <w:spacing w:after="0"/>
        <w:jc w:val="center"/>
        <w:rPr>
          <w:lang w:val="en-AU"/>
        </w:rPr>
      </w:pPr>
      <w:r w:rsidRPr="00DD4C71">
        <w:rPr>
          <w:noProof/>
        </w:rPr>
        <w:drawing>
          <wp:inline distT="0" distB="0" distL="0" distR="0" wp14:anchorId="13C8013E" wp14:editId="30707DF4">
            <wp:extent cx="4856400" cy="2505600"/>
            <wp:effectExtent l="0" t="0" r="1905" b="0"/>
            <wp:docPr id="1896573742" name="Chart 1" descr="A line chart of the recruitment rate over the past three years. Since June 2022 the recruitment rate declined from 58% to 45% in June 2024. ">
              <a:extLst xmlns:a="http://schemas.openxmlformats.org/drawingml/2006/main">
                <a:ext uri="{FF2B5EF4-FFF2-40B4-BE49-F238E27FC236}">
                  <a16:creationId xmlns:a16="http://schemas.microsoft.com/office/drawing/2014/main" id="{3497FF63-1F25-0F24-CC8D-6AE1A776B547}"/>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4E50FB5D" w14:textId="77777777" w:rsidR="00775843" w:rsidRPr="00DD4C71" w:rsidRDefault="00775843" w:rsidP="00775843">
      <w:pPr>
        <w:pStyle w:val="Source"/>
        <w:spacing w:before="0"/>
      </w:pPr>
      <w:r w:rsidRPr="00DD4C71">
        <w:rPr>
          <w:iCs/>
        </w:rPr>
        <w:t>Source: Jobs and Skills Australia (JSA)</w:t>
      </w:r>
      <w:r w:rsidRPr="00DD4C71">
        <w:t xml:space="preserve">, Recruitment Experiences and Outlook Survey, </w:t>
      </w:r>
      <w:r w:rsidRPr="00DD4C71">
        <w:rPr>
          <w:iCs/>
        </w:rPr>
        <w:t>June 2024</w:t>
      </w:r>
    </w:p>
    <w:p w14:paraId="1EE12178" w14:textId="77777777" w:rsidR="00775843" w:rsidRDefault="00775843" w:rsidP="00775843">
      <w:bookmarkStart w:id="16" w:name="_Hlk157671683"/>
    </w:p>
    <w:p w14:paraId="5EA20E77" w14:textId="77777777" w:rsidR="00D5751F" w:rsidRDefault="00D5751F" w:rsidP="00D5751F">
      <w:r w:rsidRPr="00DD4C71">
        <w:t xml:space="preserve">The June quarter 2024 recruitment rate is 5 percentage points lower than 12 months ago and is now 13 percentage points lower than the peak of 58% recorded in the June quarter 2022 (Figure </w:t>
      </w:r>
      <w:r>
        <w:t>4</w:t>
      </w:r>
      <w:r w:rsidRPr="00DD4C71">
        <w:t>).</w:t>
      </w:r>
    </w:p>
    <w:p w14:paraId="0A11CD9D" w14:textId="77777777" w:rsidR="00D5751F" w:rsidRPr="00A36702" w:rsidRDefault="00D5751F" w:rsidP="00D5751F">
      <w:pPr>
        <w:rPr>
          <w:rFonts w:asciiTheme="minorHAnsi" w:hAnsiTheme="minorHAnsi" w:cstheme="minorHAnsi"/>
        </w:rPr>
      </w:pPr>
      <w:r w:rsidRPr="00A36702">
        <w:rPr>
          <w:rFonts w:asciiTheme="minorHAnsi" w:hAnsiTheme="minorHAnsi" w:cstheme="minorHAnsi"/>
        </w:rPr>
        <w:t>Monthly</w:t>
      </w:r>
      <w:r w:rsidRPr="00A36702">
        <w:rPr>
          <w:rFonts w:asciiTheme="minorHAnsi" w:hAnsiTheme="minorHAnsi" w:cstheme="minorHAnsi"/>
          <w:b/>
          <w:bCs/>
        </w:rPr>
        <w:t xml:space="preserve"> job advertisements</w:t>
      </w:r>
      <w:r w:rsidRPr="00A36702">
        <w:rPr>
          <w:rFonts w:asciiTheme="minorHAnsi" w:hAnsiTheme="minorHAnsi" w:cstheme="minorHAnsi"/>
        </w:rPr>
        <w:t xml:space="preserve"> have also been gradually declining and are below their mid</w:t>
      </w:r>
      <w:r w:rsidRPr="00A36702">
        <w:rPr>
          <w:rFonts w:asciiTheme="minorHAnsi" w:hAnsiTheme="minorHAnsi" w:cstheme="minorHAnsi"/>
        </w:rPr>
        <w:noBreakHyphen/>
        <w:t xml:space="preserve">2022 peak. Indeed, Jobs and Skills Australia’s </w:t>
      </w:r>
      <w:r w:rsidRPr="00A36702">
        <w:rPr>
          <w:rFonts w:asciiTheme="minorHAnsi" w:hAnsiTheme="minorHAnsi" w:cstheme="minorHAnsi"/>
          <w:i/>
          <w:iCs/>
        </w:rPr>
        <w:t>Internet Vacancy Index (IVI)</w:t>
      </w:r>
      <w:r w:rsidRPr="00A36702">
        <w:rPr>
          <w:rFonts w:asciiTheme="minorHAnsi" w:hAnsiTheme="minorHAnsi" w:cstheme="minorHAnsi"/>
        </w:rPr>
        <w:t xml:space="preserve"> shows that there has been an overall decrease in recruitment activity over the quarter to June 2024, with job advertisements declining further, by 7.4% (or 18,100 job advertisements) over the period (Figure </w:t>
      </w:r>
      <w:r>
        <w:rPr>
          <w:rFonts w:asciiTheme="minorHAnsi" w:hAnsiTheme="minorHAnsi" w:cstheme="minorHAnsi"/>
        </w:rPr>
        <w:t>5</w:t>
      </w:r>
      <w:r w:rsidRPr="00A36702">
        <w:rPr>
          <w:rFonts w:asciiTheme="minorHAnsi" w:hAnsiTheme="minorHAnsi" w:cstheme="minorHAnsi"/>
        </w:rPr>
        <w:t>). Internet job advertisements decreased by 50,200 (or 18.1%) over the year to June 2024, although they remain elevated compared with pre</w:t>
      </w:r>
      <w:r w:rsidRPr="00A36702">
        <w:rPr>
          <w:rFonts w:asciiTheme="minorHAnsi" w:hAnsiTheme="minorHAnsi" w:cstheme="minorHAnsi"/>
        </w:rPr>
        <w:noBreakHyphen/>
        <w:t>COVID levels.</w:t>
      </w:r>
    </w:p>
    <w:p w14:paraId="5E9B7B46" w14:textId="77777777" w:rsidR="00D5751F" w:rsidRPr="00DD4C71" w:rsidRDefault="00D5751F" w:rsidP="00775843"/>
    <w:bookmarkEnd w:id="16"/>
    <w:p w14:paraId="3DCDCA1E" w14:textId="6D3393E9" w:rsidR="00775843" w:rsidRPr="00DD4C71" w:rsidRDefault="00775843" w:rsidP="00775843">
      <w:pPr>
        <w:pStyle w:val="ChartandTablelabel"/>
        <w:keepNext/>
        <w:keepLines/>
        <w:rPr>
          <w:rFonts w:asciiTheme="minorHAnsi" w:hAnsiTheme="minorHAnsi"/>
          <w:lang w:val="en-AU"/>
        </w:rPr>
      </w:pPr>
      <w:r w:rsidRPr="00DD4C71">
        <w:rPr>
          <w:rFonts w:asciiTheme="minorHAnsi" w:hAnsiTheme="minorHAnsi"/>
          <w:lang w:val="en-AU"/>
        </w:rPr>
        <w:t xml:space="preserve">Figure </w:t>
      </w:r>
      <w:r w:rsidR="00904B4B">
        <w:rPr>
          <w:rFonts w:asciiTheme="minorHAnsi" w:hAnsiTheme="minorHAnsi"/>
          <w:lang w:val="en-AU"/>
        </w:rPr>
        <w:t>5</w:t>
      </w:r>
      <w:r w:rsidRPr="00DD4C71">
        <w:rPr>
          <w:rFonts w:asciiTheme="minorHAnsi" w:hAnsiTheme="minorHAnsi"/>
          <w:lang w:val="en-AU"/>
        </w:rPr>
        <w:t>: IVI job advertisements and unemployment rate, June 2006 to June 2024</w:t>
      </w:r>
    </w:p>
    <w:p w14:paraId="1ACFAC5B" w14:textId="77777777" w:rsidR="00775843" w:rsidRPr="00DD4C71" w:rsidRDefault="00775843" w:rsidP="00775843">
      <w:pPr>
        <w:keepNext/>
        <w:keepLines/>
        <w:spacing w:after="0"/>
      </w:pPr>
      <w:r w:rsidRPr="00DD4C71">
        <w:rPr>
          <w:noProof/>
        </w:rPr>
        <w:drawing>
          <wp:inline distT="0" distB="0" distL="0" distR="0" wp14:anchorId="0EFF4944" wp14:editId="1DFE4A7E">
            <wp:extent cx="5580000" cy="2880000"/>
            <wp:effectExtent l="0" t="0" r="1905" b="0"/>
            <wp:docPr id="330692617" name="Chart 1" descr="A column and line chart, with the columns representing the Internet Vacancy Index monthly count of online job advertisements and the line representing the unemployment rate, from June 2006 to June 2024. This figure shows that the number of job advertisements are generally higher during periods when the unemployment rate is lower, and job advertisements are lower when the unemployment rate is elevated. Job advertisements reached a series low in April 2020, during the initial COVID-19 lockdowns,  before increasing rapidly and reaching a near series high in June 2022. Since then, job advertisements have decreased gradually but remain elevated compared with pre-COVID levels.">
              <a:extLst xmlns:a="http://schemas.openxmlformats.org/drawingml/2006/main">
                <a:ext uri="{FF2B5EF4-FFF2-40B4-BE49-F238E27FC236}">
                  <a16:creationId xmlns:a16="http://schemas.microsoft.com/office/drawing/2014/main" id="{4BFB9A2F-BA9C-40BD-8F91-17DEC719223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2C13CF2A" w14:textId="77777777" w:rsidR="00775843" w:rsidRDefault="00775843" w:rsidP="00775843">
      <w:pPr>
        <w:pStyle w:val="Source"/>
        <w:keepLines/>
        <w:spacing w:before="0"/>
      </w:pPr>
      <w:r w:rsidRPr="00DD4C71">
        <w:t>Source: ABS, Labour Force, Australia, June 2024, seasonally adjusted data; JSA, Internet Vacancy Index, June 2024, seasonally adjusted data.</w:t>
      </w:r>
    </w:p>
    <w:p w14:paraId="348D8A8A" w14:textId="77777777" w:rsidR="000704FB" w:rsidRPr="000704FB" w:rsidRDefault="000704FB" w:rsidP="00244CBF">
      <w:pPr>
        <w:spacing w:after="0"/>
      </w:pPr>
    </w:p>
    <w:p w14:paraId="54C94336" w14:textId="0CF37F34" w:rsidR="008C659D" w:rsidRPr="00DD4C71" w:rsidRDefault="0085368A" w:rsidP="00D70A20">
      <w:pPr>
        <w:pStyle w:val="Heading2"/>
      </w:pPr>
      <w:bookmarkStart w:id="17" w:name="_Hlk156825427"/>
      <w:bookmarkStart w:id="18" w:name="_Toc174691124"/>
      <w:bookmarkStart w:id="19" w:name="_Toc151365183"/>
      <w:bookmarkEnd w:id="7"/>
      <w:bookmarkEnd w:id="8"/>
      <w:bookmarkEnd w:id="10"/>
      <w:bookmarkEnd w:id="12"/>
      <w:bookmarkEnd w:id="17"/>
      <w:r>
        <w:t>Jobs are more competitive</w:t>
      </w:r>
      <w:bookmarkEnd w:id="18"/>
    </w:p>
    <w:p w14:paraId="0A0CC1F3" w14:textId="06746B6F" w:rsidR="00E10CBD" w:rsidRDefault="00394B95" w:rsidP="00E10CBD">
      <w:pPr>
        <w:rPr>
          <w:rFonts w:cs="Arial"/>
        </w:rPr>
      </w:pPr>
      <w:r w:rsidRPr="00DD4C71">
        <w:rPr>
          <w:rFonts w:cs="Arial"/>
        </w:rPr>
        <w:t xml:space="preserve">Jobs and Skills Australia’s </w:t>
      </w:r>
      <w:r w:rsidRPr="00DD4C71">
        <w:rPr>
          <w:rFonts w:cs="Arial"/>
          <w:i/>
          <w:iCs/>
        </w:rPr>
        <w:t>Survey of Employers who have Recently Advertised (SERA)</w:t>
      </w:r>
      <w:r w:rsidRPr="00DD4C71">
        <w:rPr>
          <w:rFonts w:cs="Arial"/>
        </w:rPr>
        <w:t xml:space="preserve"> shows that the </w:t>
      </w:r>
      <w:r w:rsidRPr="00DD4C71">
        <w:rPr>
          <w:rFonts w:cs="Arial"/>
          <w:b/>
          <w:bCs/>
        </w:rPr>
        <w:t>fill rates</w:t>
      </w:r>
      <w:r w:rsidRPr="00DD4C71">
        <w:rPr>
          <w:rFonts w:cs="Arial"/>
        </w:rPr>
        <w:t xml:space="preserve"> of advertised vacancies </w:t>
      </w:r>
      <w:r w:rsidR="00CC3F9D" w:rsidRPr="00DD4C71">
        <w:rPr>
          <w:rFonts w:cs="Arial"/>
        </w:rPr>
        <w:t>continue to rise gradually</w:t>
      </w:r>
      <w:r w:rsidR="00A50D4D">
        <w:rPr>
          <w:rFonts w:cs="Arial"/>
        </w:rPr>
        <w:t>,</w:t>
      </w:r>
      <w:r w:rsidR="00A50D4D" w:rsidRPr="00A50D4D">
        <w:t xml:space="preserve"> </w:t>
      </w:r>
      <w:r w:rsidR="00A50D4D" w:rsidRPr="00E81DE9">
        <w:t>indicat</w:t>
      </w:r>
      <w:r w:rsidR="00A50D4D">
        <w:t xml:space="preserve">ing </w:t>
      </w:r>
      <w:r w:rsidR="00A50D4D" w:rsidRPr="00E81DE9">
        <w:t xml:space="preserve">that </w:t>
      </w:r>
      <w:r w:rsidR="00A50D4D">
        <w:t xml:space="preserve">employers fill vacancies </w:t>
      </w:r>
      <w:r w:rsidR="00A50D4D" w:rsidRPr="00E81DE9">
        <w:t xml:space="preserve">relatively </w:t>
      </w:r>
      <w:r w:rsidR="00A50D4D">
        <w:t xml:space="preserve">more </w:t>
      </w:r>
      <w:r w:rsidR="00A50D4D" w:rsidRPr="00E81DE9">
        <w:t>eas</w:t>
      </w:r>
      <w:r w:rsidR="00A50D4D">
        <w:t>ily</w:t>
      </w:r>
      <w:r w:rsidRPr="00DD4C71">
        <w:rPr>
          <w:rFonts w:cs="Arial"/>
        </w:rPr>
        <w:t xml:space="preserve">. The vacancy fill rate </w:t>
      </w:r>
      <w:r w:rsidR="00A50D4D">
        <w:rPr>
          <w:rFonts w:cs="Arial"/>
        </w:rPr>
        <w:t xml:space="preserve">was </w:t>
      </w:r>
      <w:r w:rsidR="00A50D4D" w:rsidRPr="00DD4C71">
        <w:t xml:space="preserve">66.2% </w:t>
      </w:r>
      <w:r w:rsidR="00A50D4D">
        <w:t xml:space="preserve">in </w:t>
      </w:r>
      <w:r w:rsidR="00A50D4D" w:rsidRPr="00DD4C71">
        <w:t>the June quarter 2024</w:t>
      </w:r>
      <w:r w:rsidR="00A50D4D">
        <w:t xml:space="preserve">, an </w:t>
      </w:r>
      <w:r w:rsidR="00CC3F9D" w:rsidRPr="00DD4C71">
        <w:t xml:space="preserve">increase </w:t>
      </w:r>
      <w:r w:rsidR="00A50D4D">
        <w:t>of</w:t>
      </w:r>
      <w:r w:rsidR="00CC3F9D" w:rsidRPr="00DD4C71">
        <w:t xml:space="preserve"> 1.7 percentage points over</w:t>
      </w:r>
      <w:r w:rsidR="00A50D4D">
        <w:t xml:space="preserve"> the </w:t>
      </w:r>
      <w:r w:rsidR="00A50D4D" w:rsidRPr="00A50D4D">
        <w:t>quarter</w:t>
      </w:r>
      <w:r w:rsidR="00A50D4D">
        <w:t xml:space="preserve"> and</w:t>
      </w:r>
      <w:r w:rsidR="00CC3F9D" w:rsidRPr="00DD4C71">
        <w:t xml:space="preserve"> </w:t>
      </w:r>
      <w:r w:rsidR="00A50D4D" w:rsidRPr="00DD4C71">
        <w:t>4.8 percentage points over the last 12 months</w:t>
      </w:r>
      <w:r w:rsidR="00A50D4D" w:rsidRPr="00DD4C71">
        <w:rPr>
          <w:rFonts w:cs="Arial"/>
        </w:rPr>
        <w:t xml:space="preserve"> </w:t>
      </w:r>
      <w:r w:rsidR="007739A6" w:rsidRPr="00DD4C71">
        <w:rPr>
          <w:rFonts w:cs="Arial"/>
        </w:rPr>
        <w:t xml:space="preserve">(Table </w:t>
      </w:r>
      <w:r w:rsidR="00036883">
        <w:rPr>
          <w:rFonts w:cs="Arial"/>
        </w:rPr>
        <w:t>6</w:t>
      </w:r>
      <w:r w:rsidR="007739A6" w:rsidRPr="00DD4C71">
        <w:rPr>
          <w:rFonts w:cs="Arial"/>
        </w:rPr>
        <w:t>).</w:t>
      </w:r>
      <w:r w:rsidR="007739A6" w:rsidRPr="00DD4C71">
        <w:rPr>
          <w:rStyle w:val="FootnoteReference"/>
          <w:rFonts w:cs="Arial"/>
        </w:rPr>
        <w:footnoteReference w:id="5"/>
      </w:r>
      <w:r w:rsidRPr="00DD4C71">
        <w:rPr>
          <w:rFonts w:cs="Arial"/>
        </w:rPr>
        <w:t xml:space="preserve"> </w:t>
      </w:r>
      <w:r w:rsidR="00CC3F9D" w:rsidRPr="00DD4C71">
        <w:t>This is underpinned by increases in the total number of applicants, qualified applicants, and suitable applicants per vacancy over the quarter and the year to June quarter 2024</w:t>
      </w:r>
      <w:r w:rsidR="001D0898">
        <w:t>.</w:t>
      </w:r>
      <w:r w:rsidRPr="00DD4C71">
        <w:rPr>
          <w:rFonts w:cs="Arial"/>
        </w:rPr>
        <w:t xml:space="preserve"> </w:t>
      </w:r>
    </w:p>
    <w:p w14:paraId="259FCAA9" w14:textId="77777777" w:rsidR="00D5751F" w:rsidRDefault="00D5751F" w:rsidP="00E10CBD">
      <w:pPr>
        <w:rPr>
          <w:rFonts w:cs="Arial"/>
        </w:rPr>
      </w:pPr>
    </w:p>
    <w:p w14:paraId="3EA59018" w14:textId="77777777" w:rsidR="0080312C" w:rsidRPr="00DD4C71" w:rsidRDefault="0080312C" w:rsidP="00E10CBD">
      <w:pPr>
        <w:rPr>
          <w:rFonts w:cs="Arial"/>
        </w:rPr>
      </w:pPr>
    </w:p>
    <w:tbl>
      <w:tblPr>
        <w:tblStyle w:val="JSATable1"/>
        <w:tblpPr w:leftFromText="180" w:rightFromText="180" w:vertAnchor="text" w:horzAnchor="margin" w:tblpY="292"/>
        <w:tblW w:w="8080" w:type="dxa"/>
        <w:tblLayout w:type="fixed"/>
        <w:tblLook w:val="0020" w:firstRow="1" w:lastRow="0" w:firstColumn="0" w:lastColumn="0" w:noHBand="0" w:noVBand="0"/>
      </w:tblPr>
      <w:tblGrid>
        <w:gridCol w:w="3402"/>
        <w:gridCol w:w="1418"/>
        <w:gridCol w:w="1559"/>
        <w:gridCol w:w="1701"/>
      </w:tblGrid>
      <w:tr w:rsidR="003B267A" w:rsidRPr="00DD4C71" w14:paraId="66E26263" w14:textId="77777777" w:rsidTr="003B267A">
        <w:trPr>
          <w:cnfStyle w:val="100000000000" w:firstRow="1" w:lastRow="0" w:firstColumn="0" w:lastColumn="0" w:oddVBand="0" w:evenVBand="0" w:oddHBand="0" w:evenHBand="0" w:firstRowFirstColumn="0" w:firstRowLastColumn="0" w:lastRowFirstColumn="0" w:lastRowLastColumn="0"/>
          <w:trHeight w:val="507"/>
        </w:trPr>
        <w:tc>
          <w:tcPr>
            <w:tcW w:w="3402" w:type="dxa"/>
            <w:shd w:val="clear" w:color="auto" w:fill="012749"/>
          </w:tcPr>
          <w:p w14:paraId="7169AB49" w14:textId="77777777" w:rsidR="003B267A" w:rsidRPr="00DD4C71" w:rsidRDefault="003B267A" w:rsidP="003B267A">
            <w:pPr>
              <w:rPr>
                <w:rFonts w:cs="Arial"/>
                <w:sz w:val="19"/>
                <w:szCs w:val="19"/>
              </w:rPr>
            </w:pPr>
          </w:p>
        </w:tc>
        <w:tc>
          <w:tcPr>
            <w:tcW w:w="1418" w:type="dxa"/>
            <w:shd w:val="clear" w:color="auto" w:fill="012749"/>
          </w:tcPr>
          <w:p w14:paraId="7DDCFA70" w14:textId="77777777" w:rsidR="003B267A" w:rsidRPr="00DD4C71" w:rsidRDefault="003B267A" w:rsidP="003B267A">
            <w:pPr>
              <w:jc w:val="right"/>
              <w:rPr>
                <w:rFonts w:cs="Arial"/>
                <w:sz w:val="19"/>
                <w:szCs w:val="19"/>
              </w:rPr>
            </w:pPr>
            <w:r w:rsidRPr="00DD4C71">
              <w:rPr>
                <w:rFonts w:cs="Arial"/>
                <w:sz w:val="19"/>
                <w:szCs w:val="19"/>
              </w:rPr>
              <w:t>June quarter 2024</w:t>
            </w:r>
          </w:p>
        </w:tc>
        <w:tc>
          <w:tcPr>
            <w:tcW w:w="1559" w:type="dxa"/>
            <w:shd w:val="clear" w:color="auto" w:fill="012749"/>
          </w:tcPr>
          <w:p w14:paraId="2180A2AF" w14:textId="77777777" w:rsidR="003B267A" w:rsidRPr="00DD4C71" w:rsidRDefault="003B267A" w:rsidP="003B267A">
            <w:pPr>
              <w:jc w:val="right"/>
              <w:rPr>
                <w:rFonts w:cs="Arial"/>
                <w:sz w:val="19"/>
                <w:szCs w:val="19"/>
              </w:rPr>
            </w:pPr>
            <w:r w:rsidRPr="00DD4C71">
              <w:rPr>
                <w:rFonts w:cs="Arial"/>
                <w:sz w:val="19"/>
                <w:szCs w:val="19"/>
              </w:rPr>
              <w:t>Change over the quarter</w:t>
            </w:r>
          </w:p>
        </w:tc>
        <w:tc>
          <w:tcPr>
            <w:tcW w:w="1701" w:type="dxa"/>
            <w:shd w:val="clear" w:color="auto" w:fill="012749"/>
          </w:tcPr>
          <w:p w14:paraId="5EEDE120" w14:textId="77777777" w:rsidR="003B267A" w:rsidRPr="00DD4C71" w:rsidRDefault="003B267A" w:rsidP="003B267A">
            <w:pPr>
              <w:jc w:val="right"/>
              <w:rPr>
                <w:rFonts w:cs="Arial"/>
                <w:sz w:val="19"/>
                <w:szCs w:val="19"/>
              </w:rPr>
            </w:pPr>
            <w:r w:rsidRPr="00DD4C71">
              <w:rPr>
                <w:rFonts w:cs="Arial"/>
                <w:sz w:val="19"/>
                <w:szCs w:val="19"/>
              </w:rPr>
              <w:t>Change over 12 months</w:t>
            </w:r>
          </w:p>
        </w:tc>
      </w:tr>
      <w:tr w:rsidR="003B267A" w:rsidRPr="00DD4C71" w14:paraId="38BC3E6B" w14:textId="77777777" w:rsidTr="003B267A">
        <w:trPr>
          <w:trHeight w:val="294"/>
        </w:trPr>
        <w:tc>
          <w:tcPr>
            <w:tcW w:w="3402" w:type="dxa"/>
            <w:tcBorders>
              <w:bottom w:val="nil"/>
            </w:tcBorders>
          </w:tcPr>
          <w:p w14:paraId="15E56109" w14:textId="77777777" w:rsidR="003B267A" w:rsidRPr="00DD4C71" w:rsidRDefault="003B267A" w:rsidP="003B267A">
            <w:pPr>
              <w:rPr>
                <w:sz w:val="19"/>
                <w:szCs w:val="19"/>
              </w:rPr>
            </w:pPr>
            <w:r w:rsidRPr="00DD4C71">
              <w:rPr>
                <w:sz w:val="19"/>
                <w:szCs w:val="19"/>
              </w:rPr>
              <w:t>Vacancy fill rate (%)</w:t>
            </w:r>
          </w:p>
        </w:tc>
        <w:tc>
          <w:tcPr>
            <w:tcW w:w="1418" w:type="dxa"/>
            <w:tcBorders>
              <w:bottom w:val="nil"/>
            </w:tcBorders>
          </w:tcPr>
          <w:p w14:paraId="1BC84D6B" w14:textId="77777777" w:rsidR="003B267A" w:rsidRPr="00DD4C71" w:rsidRDefault="003B267A" w:rsidP="003B267A">
            <w:pPr>
              <w:jc w:val="center"/>
              <w:rPr>
                <w:sz w:val="19"/>
                <w:szCs w:val="19"/>
              </w:rPr>
            </w:pPr>
            <w:r w:rsidRPr="00DD4C71">
              <w:rPr>
                <w:sz w:val="19"/>
                <w:szCs w:val="19"/>
              </w:rPr>
              <w:t>66.2%</w:t>
            </w:r>
          </w:p>
        </w:tc>
        <w:tc>
          <w:tcPr>
            <w:tcW w:w="1559" w:type="dxa"/>
            <w:tcBorders>
              <w:bottom w:val="nil"/>
            </w:tcBorders>
          </w:tcPr>
          <w:p w14:paraId="6E4ECFB8" w14:textId="77777777" w:rsidR="003B267A" w:rsidRPr="00DD4C71" w:rsidRDefault="003B267A" w:rsidP="003B267A">
            <w:pPr>
              <w:jc w:val="center"/>
              <w:rPr>
                <w:sz w:val="19"/>
                <w:szCs w:val="19"/>
              </w:rPr>
            </w:pPr>
            <w:r w:rsidRPr="00DD4C71">
              <w:rPr>
                <w:sz w:val="19"/>
                <w:szCs w:val="19"/>
              </w:rPr>
              <w:t>↑1.7% pts</w:t>
            </w:r>
          </w:p>
        </w:tc>
        <w:tc>
          <w:tcPr>
            <w:tcW w:w="1701" w:type="dxa"/>
            <w:tcBorders>
              <w:bottom w:val="nil"/>
            </w:tcBorders>
          </w:tcPr>
          <w:p w14:paraId="6083BB7B" w14:textId="77777777" w:rsidR="003B267A" w:rsidRPr="00DD4C71" w:rsidRDefault="003B267A" w:rsidP="003B267A">
            <w:pPr>
              <w:jc w:val="center"/>
              <w:rPr>
                <w:sz w:val="19"/>
                <w:szCs w:val="19"/>
              </w:rPr>
            </w:pPr>
            <w:r w:rsidRPr="00DD4C71">
              <w:rPr>
                <w:sz w:val="19"/>
                <w:szCs w:val="19"/>
              </w:rPr>
              <w:t>↑4.8% pts</w:t>
            </w:r>
          </w:p>
        </w:tc>
      </w:tr>
      <w:tr w:rsidR="003B267A" w:rsidRPr="00DD4C71" w14:paraId="6435E674" w14:textId="77777777" w:rsidTr="003B267A">
        <w:trPr>
          <w:cnfStyle w:val="000000010000" w:firstRow="0" w:lastRow="0" w:firstColumn="0" w:lastColumn="0" w:oddVBand="0" w:evenVBand="0" w:oddHBand="0" w:evenHBand="1" w:firstRowFirstColumn="0" w:firstRowLastColumn="0" w:lastRowFirstColumn="0" w:lastRowLastColumn="0"/>
          <w:trHeight w:val="242"/>
        </w:trPr>
        <w:tc>
          <w:tcPr>
            <w:tcW w:w="3402" w:type="dxa"/>
            <w:tcBorders>
              <w:bottom w:val="nil"/>
            </w:tcBorders>
            <w:shd w:val="clear" w:color="auto" w:fill="D9D9D9" w:themeFill="background1" w:themeFillShade="D9"/>
          </w:tcPr>
          <w:p w14:paraId="28B35575" w14:textId="77777777" w:rsidR="003B267A" w:rsidRPr="00DD4C71" w:rsidRDefault="003B267A" w:rsidP="003B267A">
            <w:pPr>
              <w:rPr>
                <w:sz w:val="19"/>
                <w:szCs w:val="19"/>
              </w:rPr>
            </w:pPr>
            <w:r w:rsidRPr="00DD4C71">
              <w:rPr>
                <w:sz w:val="19"/>
                <w:szCs w:val="19"/>
              </w:rPr>
              <w:t>Applicants per vacancy (no.)</w:t>
            </w:r>
          </w:p>
        </w:tc>
        <w:tc>
          <w:tcPr>
            <w:tcW w:w="1418" w:type="dxa"/>
            <w:tcBorders>
              <w:bottom w:val="nil"/>
            </w:tcBorders>
            <w:shd w:val="clear" w:color="auto" w:fill="D9D9D9" w:themeFill="background1" w:themeFillShade="D9"/>
          </w:tcPr>
          <w:p w14:paraId="02E22108" w14:textId="77777777" w:rsidR="003B267A" w:rsidRPr="00DD4C71" w:rsidRDefault="003B267A" w:rsidP="003B267A">
            <w:pPr>
              <w:jc w:val="center"/>
              <w:rPr>
                <w:sz w:val="19"/>
                <w:szCs w:val="19"/>
              </w:rPr>
            </w:pPr>
            <w:r w:rsidRPr="00DD4C71">
              <w:rPr>
                <w:sz w:val="19"/>
                <w:szCs w:val="19"/>
              </w:rPr>
              <w:t>24.1</w:t>
            </w:r>
          </w:p>
        </w:tc>
        <w:tc>
          <w:tcPr>
            <w:tcW w:w="1559" w:type="dxa"/>
            <w:tcBorders>
              <w:bottom w:val="nil"/>
            </w:tcBorders>
            <w:shd w:val="clear" w:color="auto" w:fill="D9D9D9" w:themeFill="background1" w:themeFillShade="D9"/>
          </w:tcPr>
          <w:p w14:paraId="3819D3DF" w14:textId="77777777" w:rsidR="003B267A" w:rsidRPr="00DD4C71" w:rsidRDefault="003B267A" w:rsidP="003B267A">
            <w:pPr>
              <w:jc w:val="center"/>
              <w:rPr>
                <w:sz w:val="19"/>
                <w:szCs w:val="19"/>
              </w:rPr>
            </w:pPr>
            <w:r w:rsidRPr="00DD4C71">
              <w:rPr>
                <w:sz w:val="19"/>
                <w:szCs w:val="19"/>
              </w:rPr>
              <w:t>↑3.0</w:t>
            </w:r>
          </w:p>
        </w:tc>
        <w:tc>
          <w:tcPr>
            <w:tcW w:w="1701" w:type="dxa"/>
            <w:tcBorders>
              <w:bottom w:val="nil"/>
            </w:tcBorders>
            <w:shd w:val="clear" w:color="auto" w:fill="D9D9D9" w:themeFill="background1" w:themeFillShade="D9"/>
          </w:tcPr>
          <w:p w14:paraId="51E1F30C" w14:textId="77777777" w:rsidR="003B267A" w:rsidRPr="00DD4C71" w:rsidRDefault="003B267A" w:rsidP="003B267A">
            <w:pPr>
              <w:jc w:val="center"/>
              <w:rPr>
                <w:sz w:val="19"/>
                <w:szCs w:val="19"/>
              </w:rPr>
            </w:pPr>
            <w:r w:rsidRPr="00DD4C71">
              <w:rPr>
                <w:sz w:val="19"/>
                <w:szCs w:val="19"/>
              </w:rPr>
              <w:t>↑8.1</w:t>
            </w:r>
          </w:p>
        </w:tc>
      </w:tr>
      <w:tr w:rsidR="003B267A" w:rsidRPr="00DD4C71" w14:paraId="78A297F6" w14:textId="77777777" w:rsidTr="003B267A">
        <w:trPr>
          <w:trHeight w:val="202"/>
        </w:trPr>
        <w:tc>
          <w:tcPr>
            <w:tcW w:w="3402" w:type="dxa"/>
            <w:tcBorders>
              <w:bottom w:val="nil"/>
            </w:tcBorders>
          </w:tcPr>
          <w:p w14:paraId="02D6DAD8" w14:textId="77777777" w:rsidR="003B267A" w:rsidRPr="00DD4C71" w:rsidRDefault="003B267A" w:rsidP="003B267A">
            <w:pPr>
              <w:rPr>
                <w:sz w:val="19"/>
                <w:szCs w:val="19"/>
              </w:rPr>
            </w:pPr>
            <w:r w:rsidRPr="00DD4C71">
              <w:rPr>
                <w:sz w:val="19"/>
                <w:szCs w:val="19"/>
              </w:rPr>
              <w:t>Qualified applicants per vacancy (no.)</w:t>
            </w:r>
          </w:p>
        </w:tc>
        <w:tc>
          <w:tcPr>
            <w:tcW w:w="1418" w:type="dxa"/>
            <w:tcBorders>
              <w:bottom w:val="nil"/>
            </w:tcBorders>
          </w:tcPr>
          <w:p w14:paraId="079636C3" w14:textId="77777777" w:rsidR="003B267A" w:rsidRPr="00DD4C71" w:rsidRDefault="003B267A" w:rsidP="003B267A">
            <w:pPr>
              <w:jc w:val="center"/>
              <w:rPr>
                <w:sz w:val="19"/>
                <w:szCs w:val="19"/>
              </w:rPr>
            </w:pPr>
            <w:r w:rsidRPr="00DD4C71">
              <w:rPr>
                <w:sz w:val="19"/>
                <w:szCs w:val="19"/>
              </w:rPr>
              <w:t>7.5</w:t>
            </w:r>
          </w:p>
        </w:tc>
        <w:tc>
          <w:tcPr>
            <w:tcW w:w="1559" w:type="dxa"/>
            <w:tcBorders>
              <w:bottom w:val="nil"/>
            </w:tcBorders>
          </w:tcPr>
          <w:p w14:paraId="28BF835A" w14:textId="77777777" w:rsidR="003B267A" w:rsidRPr="00DD4C71" w:rsidRDefault="003B267A" w:rsidP="003B267A">
            <w:pPr>
              <w:jc w:val="center"/>
              <w:rPr>
                <w:sz w:val="19"/>
                <w:szCs w:val="19"/>
              </w:rPr>
            </w:pPr>
            <w:r w:rsidRPr="00DD4C71">
              <w:rPr>
                <w:sz w:val="19"/>
                <w:szCs w:val="19"/>
              </w:rPr>
              <w:t>↑0.6</w:t>
            </w:r>
          </w:p>
        </w:tc>
        <w:tc>
          <w:tcPr>
            <w:tcW w:w="1701" w:type="dxa"/>
            <w:tcBorders>
              <w:bottom w:val="nil"/>
            </w:tcBorders>
          </w:tcPr>
          <w:p w14:paraId="561EDA1E" w14:textId="77777777" w:rsidR="003B267A" w:rsidRPr="00DD4C71" w:rsidRDefault="003B267A" w:rsidP="003B267A">
            <w:pPr>
              <w:jc w:val="center"/>
              <w:rPr>
                <w:sz w:val="19"/>
                <w:szCs w:val="19"/>
              </w:rPr>
            </w:pPr>
            <w:r w:rsidRPr="00DD4C71">
              <w:rPr>
                <w:sz w:val="19"/>
                <w:szCs w:val="19"/>
              </w:rPr>
              <w:t>↑1.9</w:t>
            </w:r>
          </w:p>
        </w:tc>
      </w:tr>
      <w:tr w:rsidR="003B267A" w:rsidRPr="00DD4C71" w14:paraId="1A5FE748" w14:textId="77777777" w:rsidTr="003B267A">
        <w:trPr>
          <w:cnfStyle w:val="000000010000" w:firstRow="0" w:lastRow="0" w:firstColumn="0" w:lastColumn="0" w:oddVBand="0" w:evenVBand="0" w:oddHBand="0" w:evenHBand="1" w:firstRowFirstColumn="0" w:firstRowLastColumn="0" w:lastRowFirstColumn="0" w:lastRowLastColumn="0"/>
          <w:trHeight w:val="291"/>
        </w:trPr>
        <w:tc>
          <w:tcPr>
            <w:tcW w:w="3402" w:type="dxa"/>
            <w:tcBorders>
              <w:bottom w:val="nil"/>
            </w:tcBorders>
            <w:shd w:val="clear" w:color="auto" w:fill="D9D9D9" w:themeFill="background1" w:themeFillShade="D9"/>
          </w:tcPr>
          <w:p w14:paraId="10AC9F79" w14:textId="77777777" w:rsidR="003B267A" w:rsidRPr="00DD4C71" w:rsidRDefault="003B267A" w:rsidP="003B267A">
            <w:pPr>
              <w:rPr>
                <w:sz w:val="19"/>
                <w:szCs w:val="19"/>
              </w:rPr>
            </w:pPr>
            <w:r w:rsidRPr="00DD4C71">
              <w:rPr>
                <w:sz w:val="19"/>
                <w:szCs w:val="19"/>
              </w:rPr>
              <w:t>Suitable applicants per vacancy (no.)</w:t>
            </w:r>
          </w:p>
        </w:tc>
        <w:tc>
          <w:tcPr>
            <w:tcW w:w="1418" w:type="dxa"/>
            <w:tcBorders>
              <w:bottom w:val="nil"/>
            </w:tcBorders>
            <w:shd w:val="clear" w:color="auto" w:fill="D9D9D9" w:themeFill="background1" w:themeFillShade="D9"/>
          </w:tcPr>
          <w:p w14:paraId="496E9609" w14:textId="77777777" w:rsidR="003B267A" w:rsidRPr="00DD4C71" w:rsidRDefault="003B267A" w:rsidP="003B267A">
            <w:pPr>
              <w:jc w:val="center"/>
              <w:rPr>
                <w:sz w:val="19"/>
                <w:szCs w:val="19"/>
              </w:rPr>
            </w:pPr>
            <w:r w:rsidRPr="00DD4C71">
              <w:rPr>
                <w:sz w:val="19"/>
                <w:szCs w:val="19"/>
              </w:rPr>
              <w:t>3.0</w:t>
            </w:r>
          </w:p>
        </w:tc>
        <w:tc>
          <w:tcPr>
            <w:tcW w:w="1559" w:type="dxa"/>
            <w:tcBorders>
              <w:bottom w:val="nil"/>
            </w:tcBorders>
            <w:shd w:val="clear" w:color="auto" w:fill="D9D9D9" w:themeFill="background1" w:themeFillShade="D9"/>
          </w:tcPr>
          <w:p w14:paraId="327EB023" w14:textId="77777777" w:rsidR="003B267A" w:rsidRPr="00DD4C71" w:rsidRDefault="003B267A" w:rsidP="003B267A">
            <w:pPr>
              <w:jc w:val="center"/>
              <w:rPr>
                <w:sz w:val="19"/>
                <w:szCs w:val="19"/>
              </w:rPr>
            </w:pPr>
            <w:r w:rsidRPr="00DD4C71">
              <w:rPr>
                <w:sz w:val="19"/>
                <w:szCs w:val="19"/>
              </w:rPr>
              <w:t>↑0.1</w:t>
            </w:r>
          </w:p>
        </w:tc>
        <w:tc>
          <w:tcPr>
            <w:tcW w:w="1701" w:type="dxa"/>
            <w:tcBorders>
              <w:bottom w:val="nil"/>
            </w:tcBorders>
            <w:shd w:val="clear" w:color="auto" w:fill="D9D9D9" w:themeFill="background1" w:themeFillShade="D9"/>
          </w:tcPr>
          <w:p w14:paraId="4137F286" w14:textId="77777777" w:rsidR="003B267A" w:rsidRPr="00DD4C71" w:rsidRDefault="003B267A" w:rsidP="003B267A">
            <w:pPr>
              <w:jc w:val="center"/>
              <w:rPr>
                <w:sz w:val="19"/>
                <w:szCs w:val="19"/>
              </w:rPr>
            </w:pPr>
            <w:r w:rsidRPr="00DD4C71">
              <w:rPr>
                <w:sz w:val="19"/>
                <w:szCs w:val="19"/>
              </w:rPr>
              <w:t>↑0.4</w:t>
            </w:r>
          </w:p>
        </w:tc>
      </w:tr>
      <w:tr w:rsidR="003B267A" w:rsidRPr="00DD4C71" w14:paraId="2DBD64A3" w14:textId="77777777" w:rsidTr="003B267A">
        <w:trPr>
          <w:trHeight w:val="351"/>
        </w:trPr>
        <w:tc>
          <w:tcPr>
            <w:tcW w:w="3402" w:type="dxa"/>
            <w:tcBorders>
              <w:bottom w:val="single" w:sz="4" w:space="0" w:color="auto"/>
            </w:tcBorders>
          </w:tcPr>
          <w:p w14:paraId="6C387E82" w14:textId="77777777" w:rsidR="003B267A" w:rsidRPr="00DD4C71" w:rsidRDefault="003B267A" w:rsidP="003B267A">
            <w:pPr>
              <w:rPr>
                <w:sz w:val="19"/>
                <w:szCs w:val="19"/>
              </w:rPr>
            </w:pPr>
            <w:r w:rsidRPr="00DD4C71">
              <w:rPr>
                <w:sz w:val="19"/>
                <w:szCs w:val="19"/>
              </w:rPr>
              <w:t xml:space="preserve">Suitability gap (%) </w:t>
            </w:r>
          </w:p>
        </w:tc>
        <w:tc>
          <w:tcPr>
            <w:tcW w:w="1418" w:type="dxa"/>
            <w:tcBorders>
              <w:bottom w:val="single" w:sz="4" w:space="0" w:color="auto"/>
            </w:tcBorders>
          </w:tcPr>
          <w:p w14:paraId="4E5A3AC2" w14:textId="77777777" w:rsidR="003B267A" w:rsidRPr="00DD4C71" w:rsidRDefault="003B267A" w:rsidP="003B267A">
            <w:pPr>
              <w:jc w:val="center"/>
              <w:rPr>
                <w:sz w:val="19"/>
                <w:szCs w:val="19"/>
              </w:rPr>
            </w:pPr>
            <w:r w:rsidRPr="00DD4C71">
              <w:rPr>
                <w:sz w:val="19"/>
                <w:szCs w:val="19"/>
              </w:rPr>
              <w:t>60.7%</w:t>
            </w:r>
          </w:p>
        </w:tc>
        <w:tc>
          <w:tcPr>
            <w:tcW w:w="1559" w:type="dxa"/>
            <w:tcBorders>
              <w:bottom w:val="single" w:sz="4" w:space="0" w:color="auto"/>
            </w:tcBorders>
          </w:tcPr>
          <w:p w14:paraId="768D164A" w14:textId="77777777" w:rsidR="003B267A" w:rsidRPr="00DD4C71" w:rsidRDefault="003B267A" w:rsidP="003B267A">
            <w:pPr>
              <w:jc w:val="center"/>
              <w:rPr>
                <w:sz w:val="19"/>
                <w:szCs w:val="19"/>
              </w:rPr>
            </w:pPr>
            <w:r w:rsidRPr="00DD4C71">
              <w:rPr>
                <w:sz w:val="19"/>
                <w:szCs w:val="19"/>
              </w:rPr>
              <w:t>↑1.8% pts</w:t>
            </w:r>
          </w:p>
        </w:tc>
        <w:tc>
          <w:tcPr>
            <w:tcW w:w="1701" w:type="dxa"/>
            <w:tcBorders>
              <w:bottom w:val="single" w:sz="4" w:space="0" w:color="auto"/>
            </w:tcBorders>
          </w:tcPr>
          <w:p w14:paraId="1D9D11B7" w14:textId="77777777" w:rsidR="003B267A" w:rsidRPr="00DD4C71" w:rsidRDefault="003B267A" w:rsidP="003B267A">
            <w:pPr>
              <w:jc w:val="center"/>
              <w:rPr>
                <w:sz w:val="19"/>
                <w:szCs w:val="19"/>
              </w:rPr>
            </w:pPr>
            <w:r w:rsidRPr="00DD4C71">
              <w:rPr>
                <w:sz w:val="19"/>
                <w:szCs w:val="19"/>
              </w:rPr>
              <w:t>↑7% pts</w:t>
            </w:r>
          </w:p>
        </w:tc>
      </w:tr>
    </w:tbl>
    <w:p w14:paraId="59E706C0" w14:textId="5C4E878D" w:rsidR="00CC3F9D" w:rsidRPr="00DD4C71" w:rsidRDefault="00E10CBD" w:rsidP="00811F14">
      <w:pPr>
        <w:pStyle w:val="ChartandTablelabel"/>
        <w:rPr>
          <w:lang w:val="en-AU"/>
        </w:rPr>
      </w:pPr>
      <w:r w:rsidRPr="00DD4C71">
        <w:rPr>
          <w:lang w:val="en-AU"/>
        </w:rPr>
        <w:t xml:space="preserve">Table </w:t>
      </w:r>
      <w:r w:rsidR="00036883">
        <w:rPr>
          <w:lang w:val="en-AU"/>
        </w:rPr>
        <w:t>6</w:t>
      </w:r>
      <w:r w:rsidRPr="00DD4C71">
        <w:rPr>
          <w:lang w:val="en-AU"/>
        </w:rPr>
        <w:t xml:space="preserve">: National </w:t>
      </w:r>
      <w:r w:rsidR="00811F14" w:rsidRPr="00DD4C71">
        <w:rPr>
          <w:lang w:val="en-AU"/>
        </w:rPr>
        <w:t>s</w:t>
      </w:r>
      <w:r w:rsidRPr="00DD4C71">
        <w:rPr>
          <w:lang w:val="en-AU"/>
        </w:rPr>
        <w:t>napshot</w:t>
      </w:r>
      <w:r w:rsidR="00811F14" w:rsidRPr="00DD4C71">
        <w:rPr>
          <w:lang w:val="en-AU"/>
        </w:rPr>
        <w:t xml:space="preserve"> of recruitment experiences</w:t>
      </w:r>
    </w:p>
    <w:p w14:paraId="77189EE5" w14:textId="77777777" w:rsidR="003B267A" w:rsidRDefault="003B267A" w:rsidP="007739A6">
      <w:pPr>
        <w:rPr>
          <w:sz w:val="18"/>
          <w:szCs w:val="18"/>
        </w:rPr>
      </w:pPr>
    </w:p>
    <w:p w14:paraId="0E21FF59" w14:textId="77777777" w:rsidR="003B267A" w:rsidRDefault="003B267A" w:rsidP="007739A6">
      <w:pPr>
        <w:rPr>
          <w:sz w:val="18"/>
          <w:szCs w:val="18"/>
        </w:rPr>
      </w:pPr>
    </w:p>
    <w:p w14:paraId="43027D59" w14:textId="77777777" w:rsidR="003B267A" w:rsidRDefault="003B267A" w:rsidP="007739A6">
      <w:pPr>
        <w:rPr>
          <w:sz w:val="18"/>
          <w:szCs w:val="18"/>
        </w:rPr>
      </w:pPr>
    </w:p>
    <w:p w14:paraId="0B2AF339" w14:textId="77777777" w:rsidR="003B267A" w:rsidRDefault="003B267A" w:rsidP="007739A6">
      <w:pPr>
        <w:rPr>
          <w:sz w:val="18"/>
          <w:szCs w:val="18"/>
        </w:rPr>
      </w:pPr>
    </w:p>
    <w:p w14:paraId="6083C938" w14:textId="77777777" w:rsidR="003B267A" w:rsidRDefault="003B267A" w:rsidP="007739A6">
      <w:pPr>
        <w:rPr>
          <w:sz w:val="18"/>
          <w:szCs w:val="18"/>
        </w:rPr>
      </w:pPr>
    </w:p>
    <w:p w14:paraId="242D849E" w14:textId="77777777" w:rsidR="003B267A" w:rsidRDefault="003B267A" w:rsidP="007739A6">
      <w:pPr>
        <w:rPr>
          <w:sz w:val="18"/>
          <w:szCs w:val="18"/>
        </w:rPr>
      </w:pPr>
    </w:p>
    <w:p w14:paraId="5E3FEB3E" w14:textId="77777777" w:rsidR="003B267A" w:rsidRDefault="003B267A" w:rsidP="007739A6">
      <w:pPr>
        <w:rPr>
          <w:sz w:val="18"/>
          <w:szCs w:val="18"/>
        </w:rPr>
      </w:pPr>
    </w:p>
    <w:p w14:paraId="57CE6943" w14:textId="29E3628E" w:rsidR="0069495F" w:rsidRDefault="007739A6" w:rsidP="006D4B28">
      <w:pPr>
        <w:pStyle w:val="Source"/>
      </w:pPr>
      <w:r w:rsidRPr="00DD4C71">
        <w:t>Source: Jobs and Skills Australia, Survey of Employers who Recently Advertised (SERA).</w:t>
      </w:r>
      <w:r w:rsidRPr="00DD4C71">
        <w:br/>
        <w:t>Note: The change from previous quarter refers to the change from March quarter 2024 to June quarter 2024. The change from the previous year refers to the change from June quarter 2023 to June quarter 2024.</w:t>
      </w:r>
    </w:p>
    <w:p w14:paraId="63B64B08" w14:textId="77777777" w:rsidR="001B0E3E" w:rsidRDefault="001B0E3E" w:rsidP="0069495F"/>
    <w:p w14:paraId="3A8847A5" w14:textId="081CE6C9" w:rsidR="004C4A6C" w:rsidRDefault="0085368A" w:rsidP="00244CBF">
      <w:pPr>
        <w:shd w:val="clear" w:color="auto" w:fill="FFFFFF" w:themeFill="background1"/>
        <w:spacing w:before="240" w:after="160" w:line="259" w:lineRule="auto"/>
      </w:pPr>
      <w:r w:rsidRPr="00DD4C71">
        <w:t>Further, in the June quarter 2024 the suitability gap increased by 1.8 percentage points to 60.7%.</w:t>
      </w:r>
      <w:r w:rsidRPr="00DD4C71">
        <w:rPr>
          <w:rStyle w:val="FootnoteReference"/>
        </w:rPr>
        <w:footnoteReference w:id="6"/>
      </w:r>
      <w:r w:rsidRPr="00DD4C71">
        <w:t xml:space="preserve"> The suitability gap captures the percentage of applicants who have the required qualifications but are deemed unsuitable by employers for the job advertised.</w:t>
      </w:r>
      <w:r w:rsidRPr="00DD4C71">
        <w:rPr>
          <w:rStyle w:val="FootnoteReference"/>
        </w:rPr>
        <w:footnoteReference w:id="7"/>
      </w:r>
      <w:r w:rsidRPr="00DD4C71">
        <w:t xml:space="preserve"> The gap increased from 53.8% in June quarter 2023 to 60.7% in June quarter 2024. This is a 7 percentage points increase. The increase in suitability gap may indicate that employers have more choice and can scrutinise qualified applicants more during recruitment. During tighter labour market conditions last year, the suitability gap was much narrower. </w:t>
      </w:r>
    </w:p>
    <w:p w14:paraId="0300ACDA" w14:textId="01908C34" w:rsidR="00330129" w:rsidRDefault="00330129" w:rsidP="00330129">
      <w:pPr>
        <w:shd w:val="clear" w:color="auto" w:fill="FFFFFF" w:themeFill="background1"/>
        <w:spacing w:after="160" w:line="259" w:lineRule="auto"/>
      </w:pPr>
      <w:r w:rsidRPr="0085368A">
        <w:t xml:space="preserve">Overall, </w:t>
      </w:r>
      <w:r>
        <w:t>t</w:t>
      </w:r>
      <w:r w:rsidRPr="00DD4C71">
        <w:t xml:space="preserve">he number of internet vacancies, as measured by Jobs and Skills Australia’s Internet Vacancy Index (IVI), and the recruitment difficulty rate from Jobs and Skills Australia’s Recruitment Experiences and Outlook Survey (REOS) have both been trending down since March quarter 2023, generally. Further, they are both lower than a year ago. (Figure </w:t>
      </w:r>
      <w:r w:rsidR="00085F6F">
        <w:t>6</w:t>
      </w:r>
      <w:r w:rsidRPr="00DD4C71">
        <w:t>).</w:t>
      </w:r>
    </w:p>
    <w:p w14:paraId="6A649AB1" w14:textId="77777777" w:rsidR="001B0E3E" w:rsidRDefault="001B0E3E" w:rsidP="001B0E3E">
      <w:r>
        <w:t xml:space="preserve">In terms of regional variation, the national metropolitan (metro) area fill rate increased by 1.8 percentage points to 68% over the June quarter 2024, and 5.4 percentage points over the </w:t>
      </w:r>
      <w:r w:rsidRPr="00C451E3">
        <w:t xml:space="preserve">year (Table </w:t>
      </w:r>
      <w:r>
        <w:t>7</w:t>
      </w:r>
      <w:r w:rsidRPr="00C451E3">
        <w:t>).</w:t>
      </w:r>
      <w:r>
        <w:t xml:space="preserve"> This is supported by the increases in the total number of applicants, qualified applicants, and suitable applicants per vacancy, over the June quarter 2024 and in the last 12 months. In June quarter 2024, the suitability gap for metro increased by 1.8 percentage points to 62.4% and by 6.2 percentage points from 56.2% in June quarter 2023. </w:t>
      </w:r>
    </w:p>
    <w:p w14:paraId="308F60C1" w14:textId="77777777" w:rsidR="001B0E3E" w:rsidRDefault="001B0E3E" w:rsidP="00E65FCD">
      <w:pPr>
        <w:rPr>
          <w:b/>
          <w:bCs/>
        </w:rPr>
      </w:pPr>
      <w:r w:rsidRPr="0011185C">
        <w:t xml:space="preserve">The </w:t>
      </w:r>
      <w:r>
        <w:t xml:space="preserve">national </w:t>
      </w:r>
      <w:r w:rsidRPr="0011185C">
        <w:t>regional fill rate increased by 1.5 percentage points to 61.3% in June quarter</w:t>
      </w:r>
      <w:r>
        <w:t> </w:t>
      </w:r>
      <w:r w:rsidRPr="0011185C">
        <w:t xml:space="preserve">2024 and by 3.3 percentage points </w:t>
      </w:r>
      <w:r>
        <w:t>compared</w:t>
      </w:r>
      <w:r w:rsidRPr="0011185C">
        <w:t xml:space="preserve"> to a yea</w:t>
      </w:r>
      <w:r w:rsidRPr="00F31C3B">
        <w:t>r ago (</w:t>
      </w:r>
      <w:r>
        <w:t>Table 8)</w:t>
      </w:r>
      <w:r w:rsidRPr="00E3373F">
        <w:t>.</w:t>
      </w:r>
      <w:r>
        <w:t xml:space="preserve"> T</w:t>
      </w:r>
      <w:r w:rsidRPr="0011185C">
        <w:t xml:space="preserve">otal applicants, qualified applicants and suitable applicants </w:t>
      </w:r>
      <w:r>
        <w:t xml:space="preserve">have also </w:t>
      </w:r>
      <w:r w:rsidRPr="0011185C">
        <w:t xml:space="preserve">increased in </w:t>
      </w:r>
      <w:r>
        <w:t xml:space="preserve">regional </w:t>
      </w:r>
      <w:r w:rsidRPr="0011185C">
        <w:t xml:space="preserve">areas. In </w:t>
      </w:r>
      <w:r>
        <w:t>J</w:t>
      </w:r>
      <w:r w:rsidRPr="0011185C">
        <w:t>une quarter 2024, the suitability gap in regional areas increased by 1.9 percentage points to</w:t>
      </w:r>
      <w:r>
        <w:t xml:space="preserve"> </w:t>
      </w:r>
      <w:r w:rsidRPr="0011185C">
        <w:t>54.9% and over the year, it increased 12 percentage points to 54.9% from June quarter</w:t>
      </w:r>
      <w:r>
        <w:t> </w:t>
      </w:r>
      <w:r w:rsidRPr="0011185C">
        <w:t xml:space="preserve">2023. </w:t>
      </w:r>
    </w:p>
    <w:p w14:paraId="67D02B4D" w14:textId="77777777" w:rsidR="000704FB" w:rsidRPr="00DD4C71" w:rsidRDefault="000704FB" w:rsidP="00330129">
      <w:pPr>
        <w:shd w:val="clear" w:color="auto" w:fill="FFFFFF" w:themeFill="background1"/>
        <w:spacing w:after="160" w:line="259" w:lineRule="auto"/>
      </w:pPr>
    </w:p>
    <w:p w14:paraId="4BF3EBFB" w14:textId="18E3405E" w:rsidR="00330129" w:rsidRPr="00DD4C71" w:rsidRDefault="00330129" w:rsidP="008321B9">
      <w:pPr>
        <w:pStyle w:val="ChartandTablelabel"/>
        <w:keepNext/>
        <w:keepLines/>
        <w:spacing w:before="240" w:after="240"/>
        <w:jc w:val="center"/>
        <w:rPr>
          <w:noProof/>
        </w:rPr>
      </w:pPr>
      <w:bookmarkStart w:id="20" w:name="_Ref173248482"/>
      <w:bookmarkStart w:id="21" w:name="_Hlk166666062"/>
      <w:r w:rsidRPr="00DD4C71">
        <w:rPr>
          <w:lang w:val="en-AU"/>
        </w:rPr>
        <w:lastRenderedPageBreak/>
        <w:t xml:space="preserve">Figure </w:t>
      </w:r>
      <w:bookmarkEnd w:id="20"/>
      <w:bookmarkEnd w:id="21"/>
      <w:r w:rsidR="00085F6F">
        <w:rPr>
          <w:lang w:val="en-AU"/>
        </w:rPr>
        <w:t>6</w:t>
      </w:r>
      <w:r w:rsidRPr="00DD4C71">
        <w:rPr>
          <w:lang w:val="en-AU"/>
        </w:rPr>
        <w:t>: Fill rate, recruitment difficulty rate and internet vacancies, June 2022 to June 2024</w:t>
      </w:r>
      <w:r w:rsidRPr="00DD4C71">
        <w:rPr>
          <w:noProof/>
        </w:rPr>
        <w:drawing>
          <wp:inline distT="0" distB="0" distL="0" distR="0" wp14:anchorId="0499DDAC" wp14:editId="61B39CAF">
            <wp:extent cx="5741581" cy="2945130"/>
            <wp:effectExtent l="0" t="0" r="0" b="0"/>
            <wp:docPr id="777039897" name="Chart 1" descr="A line chart showing the fill rate, recruitment difficulty rate and internet vacancies. Since March 2023, the recruitment difficulty rate and internet vacancies have been trending down, while the fill rate has been increasing gradually.">
              <a:extLst xmlns:a="http://schemas.openxmlformats.org/drawingml/2006/main">
                <a:ext uri="{FF2B5EF4-FFF2-40B4-BE49-F238E27FC236}">
                  <a16:creationId xmlns:a16="http://schemas.microsoft.com/office/drawing/2014/main" id="{B0212168-1ACA-4696-81A8-221FD2120BC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67B0CC48" w14:textId="77777777" w:rsidR="00330129" w:rsidRDefault="00330129" w:rsidP="006D4B28">
      <w:pPr>
        <w:pStyle w:val="Source"/>
        <w:rPr>
          <w:b/>
        </w:rPr>
      </w:pPr>
      <w:r w:rsidRPr="00DD4C71">
        <w:t>Source: Jobs and Skills Australia: Survey of Employers who Recently Advertised; Recruitment Experiences and Outlook Survey; and Internet Vacancy Index (seasonally adjusted).</w:t>
      </w:r>
    </w:p>
    <w:p w14:paraId="6E86DA1A" w14:textId="77777777" w:rsidR="00244CBF" w:rsidRDefault="00244CBF" w:rsidP="004F4559"/>
    <w:tbl>
      <w:tblPr>
        <w:tblStyle w:val="JSATable1"/>
        <w:tblpPr w:leftFromText="180" w:rightFromText="180" w:vertAnchor="text" w:horzAnchor="margin" w:tblpY="295"/>
        <w:tblW w:w="8080" w:type="dxa"/>
        <w:tblLayout w:type="fixed"/>
        <w:tblLook w:val="0020" w:firstRow="1" w:lastRow="0" w:firstColumn="0" w:lastColumn="0" w:noHBand="0" w:noVBand="0"/>
      </w:tblPr>
      <w:tblGrid>
        <w:gridCol w:w="3402"/>
        <w:gridCol w:w="1418"/>
        <w:gridCol w:w="1559"/>
        <w:gridCol w:w="1701"/>
      </w:tblGrid>
      <w:tr w:rsidR="004F4559" w:rsidRPr="00DD4C71" w14:paraId="12D1567A" w14:textId="77777777" w:rsidTr="004F4559">
        <w:trPr>
          <w:cnfStyle w:val="100000000000" w:firstRow="1" w:lastRow="0" w:firstColumn="0" w:lastColumn="0" w:oddVBand="0" w:evenVBand="0" w:oddHBand="0" w:evenHBand="0" w:firstRowFirstColumn="0" w:firstRowLastColumn="0" w:lastRowFirstColumn="0" w:lastRowLastColumn="0"/>
          <w:trHeight w:val="507"/>
        </w:trPr>
        <w:tc>
          <w:tcPr>
            <w:tcW w:w="3402" w:type="dxa"/>
            <w:shd w:val="clear" w:color="auto" w:fill="012749"/>
          </w:tcPr>
          <w:p w14:paraId="1FC5A398" w14:textId="77777777" w:rsidR="004F4559" w:rsidRPr="00DD4C71" w:rsidRDefault="004F4559" w:rsidP="004F4559">
            <w:pPr>
              <w:rPr>
                <w:rFonts w:cs="Arial"/>
                <w:sz w:val="19"/>
                <w:szCs w:val="19"/>
              </w:rPr>
            </w:pPr>
          </w:p>
        </w:tc>
        <w:tc>
          <w:tcPr>
            <w:tcW w:w="1418" w:type="dxa"/>
            <w:shd w:val="clear" w:color="auto" w:fill="012749"/>
          </w:tcPr>
          <w:p w14:paraId="7C21B896" w14:textId="77777777" w:rsidR="004F4559" w:rsidRPr="00DD4C71" w:rsidRDefault="004F4559" w:rsidP="004F4559">
            <w:pPr>
              <w:jc w:val="right"/>
              <w:rPr>
                <w:rFonts w:cs="Arial"/>
                <w:sz w:val="19"/>
                <w:szCs w:val="19"/>
              </w:rPr>
            </w:pPr>
            <w:r w:rsidRPr="00DD4C71">
              <w:rPr>
                <w:rFonts w:cs="Arial"/>
                <w:sz w:val="19"/>
                <w:szCs w:val="19"/>
              </w:rPr>
              <w:t>June quarter 2024</w:t>
            </w:r>
          </w:p>
        </w:tc>
        <w:tc>
          <w:tcPr>
            <w:tcW w:w="1559" w:type="dxa"/>
            <w:shd w:val="clear" w:color="auto" w:fill="012749"/>
          </w:tcPr>
          <w:p w14:paraId="34B33F70" w14:textId="77777777" w:rsidR="004F4559" w:rsidRPr="00DD4C71" w:rsidRDefault="004F4559" w:rsidP="004F4559">
            <w:pPr>
              <w:jc w:val="right"/>
              <w:rPr>
                <w:rFonts w:cs="Arial"/>
                <w:sz w:val="19"/>
                <w:szCs w:val="19"/>
              </w:rPr>
            </w:pPr>
            <w:r w:rsidRPr="00DD4C71">
              <w:rPr>
                <w:rFonts w:cs="Arial"/>
                <w:sz w:val="19"/>
                <w:szCs w:val="19"/>
              </w:rPr>
              <w:t>Change over the quarter</w:t>
            </w:r>
          </w:p>
        </w:tc>
        <w:tc>
          <w:tcPr>
            <w:tcW w:w="1701" w:type="dxa"/>
            <w:shd w:val="clear" w:color="auto" w:fill="012749"/>
          </w:tcPr>
          <w:p w14:paraId="5B9589B9" w14:textId="77777777" w:rsidR="004F4559" w:rsidRPr="00DD4C71" w:rsidRDefault="004F4559" w:rsidP="004F4559">
            <w:pPr>
              <w:jc w:val="right"/>
              <w:rPr>
                <w:rFonts w:cs="Arial"/>
                <w:sz w:val="19"/>
                <w:szCs w:val="19"/>
              </w:rPr>
            </w:pPr>
            <w:r w:rsidRPr="00DD4C71">
              <w:rPr>
                <w:rFonts w:cs="Arial"/>
                <w:sz w:val="19"/>
                <w:szCs w:val="19"/>
              </w:rPr>
              <w:t>Change over 12 months</w:t>
            </w:r>
          </w:p>
        </w:tc>
      </w:tr>
      <w:tr w:rsidR="004F4559" w:rsidRPr="00DD4C71" w14:paraId="7997CB13" w14:textId="77777777" w:rsidTr="004F4559">
        <w:trPr>
          <w:trHeight w:val="294"/>
        </w:trPr>
        <w:tc>
          <w:tcPr>
            <w:tcW w:w="3402" w:type="dxa"/>
            <w:tcBorders>
              <w:bottom w:val="nil"/>
            </w:tcBorders>
          </w:tcPr>
          <w:p w14:paraId="03EF38C0" w14:textId="77777777" w:rsidR="004F4559" w:rsidRPr="00DD4C71" w:rsidRDefault="004F4559" w:rsidP="004F4559">
            <w:pPr>
              <w:rPr>
                <w:sz w:val="19"/>
                <w:szCs w:val="19"/>
              </w:rPr>
            </w:pPr>
            <w:r w:rsidRPr="00DD4C71">
              <w:rPr>
                <w:sz w:val="19"/>
                <w:szCs w:val="19"/>
              </w:rPr>
              <w:t>Vacancy fill rate (%)</w:t>
            </w:r>
          </w:p>
        </w:tc>
        <w:tc>
          <w:tcPr>
            <w:tcW w:w="1418" w:type="dxa"/>
            <w:tcBorders>
              <w:bottom w:val="nil"/>
            </w:tcBorders>
          </w:tcPr>
          <w:p w14:paraId="0B60DA98" w14:textId="77777777" w:rsidR="004F4559" w:rsidRPr="00DD4C71" w:rsidRDefault="004F4559" w:rsidP="004F4559">
            <w:pPr>
              <w:jc w:val="center"/>
              <w:rPr>
                <w:sz w:val="19"/>
                <w:szCs w:val="19"/>
              </w:rPr>
            </w:pPr>
            <w:r w:rsidRPr="004F4559">
              <w:rPr>
                <w:sz w:val="19"/>
                <w:szCs w:val="19"/>
              </w:rPr>
              <w:t>68.0%</w:t>
            </w:r>
          </w:p>
        </w:tc>
        <w:tc>
          <w:tcPr>
            <w:tcW w:w="1559" w:type="dxa"/>
            <w:tcBorders>
              <w:bottom w:val="nil"/>
            </w:tcBorders>
          </w:tcPr>
          <w:p w14:paraId="1DAEBF94" w14:textId="77777777" w:rsidR="004F4559" w:rsidRPr="00DD4C71" w:rsidRDefault="004F4559" w:rsidP="004F4559">
            <w:pPr>
              <w:jc w:val="center"/>
              <w:rPr>
                <w:sz w:val="19"/>
                <w:szCs w:val="19"/>
              </w:rPr>
            </w:pPr>
            <w:r w:rsidRPr="004F4559">
              <w:rPr>
                <w:sz w:val="19"/>
                <w:szCs w:val="19"/>
              </w:rPr>
              <w:t>↑1.8%</w:t>
            </w:r>
          </w:p>
        </w:tc>
        <w:tc>
          <w:tcPr>
            <w:tcW w:w="1701" w:type="dxa"/>
            <w:tcBorders>
              <w:bottom w:val="nil"/>
            </w:tcBorders>
          </w:tcPr>
          <w:p w14:paraId="53F859BF" w14:textId="77777777" w:rsidR="004F4559" w:rsidRPr="00DD4C71" w:rsidRDefault="004F4559" w:rsidP="004F4559">
            <w:pPr>
              <w:jc w:val="center"/>
              <w:rPr>
                <w:sz w:val="19"/>
                <w:szCs w:val="19"/>
              </w:rPr>
            </w:pPr>
            <w:r w:rsidRPr="004F4559">
              <w:rPr>
                <w:sz w:val="19"/>
                <w:szCs w:val="19"/>
              </w:rPr>
              <w:t>↑5.4%</w:t>
            </w:r>
          </w:p>
        </w:tc>
      </w:tr>
      <w:tr w:rsidR="004F4559" w:rsidRPr="00DD4C71" w14:paraId="6EFD7EB4" w14:textId="77777777" w:rsidTr="003D14BF">
        <w:trPr>
          <w:cnfStyle w:val="000000010000" w:firstRow="0" w:lastRow="0" w:firstColumn="0" w:lastColumn="0" w:oddVBand="0" w:evenVBand="0" w:oddHBand="0" w:evenHBand="1" w:firstRowFirstColumn="0" w:firstRowLastColumn="0" w:lastRowFirstColumn="0" w:lastRowLastColumn="0"/>
          <w:trHeight w:val="216"/>
        </w:trPr>
        <w:tc>
          <w:tcPr>
            <w:tcW w:w="3402" w:type="dxa"/>
            <w:tcBorders>
              <w:bottom w:val="nil"/>
            </w:tcBorders>
            <w:shd w:val="clear" w:color="auto" w:fill="D9D9D9" w:themeFill="background1" w:themeFillShade="D9"/>
          </w:tcPr>
          <w:p w14:paraId="4F569E2C" w14:textId="77777777" w:rsidR="004F4559" w:rsidRPr="00DD4C71" w:rsidRDefault="004F4559" w:rsidP="004F4559">
            <w:pPr>
              <w:rPr>
                <w:sz w:val="19"/>
                <w:szCs w:val="19"/>
              </w:rPr>
            </w:pPr>
            <w:r w:rsidRPr="00DD4C71">
              <w:rPr>
                <w:sz w:val="19"/>
                <w:szCs w:val="19"/>
              </w:rPr>
              <w:t>Applicants per vacancy (no.)</w:t>
            </w:r>
          </w:p>
        </w:tc>
        <w:tc>
          <w:tcPr>
            <w:tcW w:w="1418" w:type="dxa"/>
            <w:tcBorders>
              <w:bottom w:val="nil"/>
            </w:tcBorders>
            <w:shd w:val="clear" w:color="auto" w:fill="D9D9D9" w:themeFill="background1" w:themeFillShade="D9"/>
          </w:tcPr>
          <w:p w14:paraId="48FEEB01" w14:textId="77777777" w:rsidR="004F4559" w:rsidRPr="00DD4C71" w:rsidRDefault="004F4559" w:rsidP="004F4559">
            <w:pPr>
              <w:jc w:val="center"/>
              <w:rPr>
                <w:sz w:val="19"/>
                <w:szCs w:val="19"/>
              </w:rPr>
            </w:pPr>
            <w:r w:rsidRPr="004F4559">
              <w:rPr>
                <w:sz w:val="19"/>
                <w:szCs w:val="19"/>
              </w:rPr>
              <w:t>28.0</w:t>
            </w:r>
          </w:p>
        </w:tc>
        <w:tc>
          <w:tcPr>
            <w:tcW w:w="1559" w:type="dxa"/>
            <w:tcBorders>
              <w:bottom w:val="nil"/>
            </w:tcBorders>
            <w:shd w:val="clear" w:color="auto" w:fill="D9D9D9" w:themeFill="background1" w:themeFillShade="D9"/>
          </w:tcPr>
          <w:p w14:paraId="768A6A37" w14:textId="77777777" w:rsidR="004F4559" w:rsidRPr="00DD4C71" w:rsidRDefault="004F4559" w:rsidP="004F4559">
            <w:pPr>
              <w:jc w:val="center"/>
              <w:rPr>
                <w:sz w:val="19"/>
                <w:szCs w:val="19"/>
              </w:rPr>
            </w:pPr>
            <w:r w:rsidRPr="004F4559">
              <w:rPr>
                <w:sz w:val="19"/>
                <w:szCs w:val="19"/>
              </w:rPr>
              <w:t>↑3.7</w:t>
            </w:r>
          </w:p>
        </w:tc>
        <w:tc>
          <w:tcPr>
            <w:tcW w:w="1701" w:type="dxa"/>
            <w:tcBorders>
              <w:bottom w:val="nil"/>
            </w:tcBorders>
            <w:shd w:val="clear" w:color="auto" w:fill="D9D9D9" w:themeFill="background1" w:themeFillShade="D9"/>
          </w:tcPr>
          <w:p w14:paraId="3719AC8D" w14:textId="77777777" w:rsidR="004F4559" w:rsidRPr="00DD4C71" w:rsidRDefault="004F4559" w:rsidP="004F4559">
            <w:pPr>
              <w:jc w:val="center"/>
              <w:rPr>
                <w:sz w:val="19"/>
                <w:szCs w:val="19"/>
              </w:rPr>
            </w:pPr>
            <w:r w:rsidRPr="004F4559">
              <w:rPr>
                <w:sz w:val="19"/>
                <w:szCs w:val="19"/>
              </w:rPr>
              <w:t>↑9.8</w:t>
            </w:r>
          </w:p>
        </w:tc>
      </w:tr>
      <w:tr w:rsidR="004F4559" w:rsidRPr="00DD4C71" w14:paraId="17119747" w14:textId="77777777" w:rsidTr="004F4559">
        <w:trPr>
          <w:trHeight w:val="206"/>
        </w:trPr>
        <w:tc>
          <w:tcPr>
            <w:tcW w:w="3402" w:type="dxa"/>
            <w:tcBorders>
              <w:bottom w:val="nil"/>
            </w:tcBorders>
          </w:tcPr>
          <w:p w14:paraId="0DF2A54C" w14:textId="77777777" w:rsidR="004F4559" w:rsidRPr="00DD4C71" w:rsidRDefault="004F4559" w:rsidP="004F4559">
            <w:pPr>
              <w:rPr>
                <w:sz w:val="19"/>
                <w:szCs w:val="19"/>
              </w:rPr>
            </w:pPr>
            <w:r w:rsidRPr="00DD4C71">
              <w:rPr>
                <w:sz w:val="19"/>
                <w:szCs w:val="19"/>
              </w:rPr>
              <w:t>Qualified applicants per vacancy (no.)</w:t>
            </w:r>
          </w:p>
        </w:tc>
        <w:tc>
          <w:tcPr>
            <w:tcW w:w="1418" w:type="dxa"/>
            <w:tcBorders>
              <w:bottom w:val="nil"/>
            </w:tcBorders>
          </w:tcPr>
          <w:p w14:paraId="30BC0949" w14:textId="77777777" w:rsidR="004F4559" w:rsidRPr="00DD4C71" w:rsidRDefault="004F4559" w:rsidP="004F4559">
            <w:pPr>
              <w:jc w:val="center"/>
              <w:rPr>
                <w:sz w:val="19"/>
                <w:szCs w:val="19"/>
              </w:rPr>
            </w:pPr>
            <w:r w:rsidRPr="004F4559">
              <w:rPr>
                <w:sz w:val="19"/>
                <w:szCs w:val="19"/>
              </w:rPr>
              <w:t>8.9</w:t>
            </w:r>
          </w:p>
        </w:tc>
        <w:tc>
          <w:tcPr>
            <w:tcW w:w="1559" w:type="dxa"/>
            <w:tcBorders>
              <w:bottom w:val="nil"/>
            </w:tcBorders>
          </w:tcPr>
          <w:p w14:paraId="38BD0398" w14:textId="77777777" w:rsidR="004F4559" w:rsidRPr="00DD4C71" w:rsidRDefault="004F4559" w:rsidP="004F4559">
            <w:pPr>
              <w:jc w:val="center"/>
              <w:rPr>
                <w:sz w:val="19"/>
                <w:szCs w:val="19"/>
              </w:rPr>
            </w:pPr>
            <w:r w:rsidRPr="004F4559">
              <w:rPr>
                <w:sz w:val="19"/>
                <w:szCs w:val="19"/>
              </w:rPr>
              <w:t>↑0.8</w:t>
            </w:r>
          </w:p>
        </w:tc>
        <w:tc>
          <w:tcPr>
            <w:tcW w:w="1701" w:type="dxa"/>
            <w:tcBorders>
              <w:bottom w:val="nil"/>
            </w:tcBorders>
          </w:tcPr>
          <w:p w14:paraId="463FC266" w14:textId="77777777" w:rsidR="004F4559" w:rsidRPr="00DD4C71" w:rsidRDefault="004F4559" w:rsidP="004F4559">
            <w:pPr>
              <w:jc w:val="center"/>
              <w:rPr>
                <w:sz w:val="19"/>
                <w:szCs w:val="19"/>
              </w:rPr>
            </w:pPr>
            <w:r w:rsidRPr="004F4559">
              <w:rPr>
                <w:sz w:val="19"/>
                <w:szCs w:val="19"/>
              </w:rPr>
              <w:t>↑2.4</w:t>
            </w:r>
          </w:p>
        </w:tc>
      </w:tr>
      <w:tr w:rsidR="004F4559" w:rsidRPr="00DD4C71" w14:paraId="3A92C707" w14:textId="77777777" w:rsidTr="004F4559">
        <w:trPr>
          <w:cnfStyle w:val="000000010000" w:firstRow="0" w:lastRow="0" w:firstColumn="0" w:lastColumn="0" w:oddVBand="0" w:evenVBand="0" w:oddHBand="0" w:evenHBand="1" w:firstRowFirstColumn="0" w:firstRowLastColumn="0" w:lastRowFirstColumn="0" w:lastRowLastColumn="0"/>
          <w:trHeight w:val="80"/>
        </w:trPr>
        <w:tc>
          <w:tcPr>
            <w:tcW w:w="3402" w:type="dxa"/>
            <w:tcBorders>
              <w:bottom w:val="nil"/>
            </w:tcBorders>
            <w:shd w:val="clear" w:color="auto" w:fill="D9D9D9" w:themeFill="background1" w:themeFillShade="D9"/>
          </w:tcPr>
          <w:p w14:paraId="18E53891" w14:textId="77777777" w:rsidR="004F4559" w:rsidRPr="00DD4C71" w:rsidRDefault="004F4559" w:rsidP="004F4559">
            <w:pPr>
              <w:rPr>
                <w:sz w:val="19"/>
                <w:szCs w:val="19"/>
              </w:rPr>
            </w:pPr>
            <w:r w:rsidRPr="00DD4C71">
              <w:rPr>
                <w:sz w:val="19"/>
                <w:szCs w:val="19"/>
              </w:rPr>
              <w:t>Suitable applicants per vacancy (no.)</w:t>
            </w:r>
          </w:p>
        </w:tc>
        <w:tc>
          <w:tcPr>
            <w:tcW w:w="1418" w:type="dxa"/>
            <w:tcBorders>
              <w:bottom w:val="nil"/>
            </w:tcBorders>
            <w:shd w:val="clear" w:color="auto" w:fill="D9D9D9" w:themeFill="background1" w:themeFillShade="D9"/>
          </w:tcPr>
          <w:p w14:paraId="2CB7C7E0" w14:textId="77777777" w:rsidR="004F4559" w:rsidRPr="00DD4C71" w:rsidRDefault="004F4559" w:rsidP="004F4559">
            <w:pPr>
              <w:jc w:val="center"/>
              <w:rPr>
                <w:sz w:val="19"/>
                <w:szCs w:val="19"/>
              </w:rPr>
            </w:pPr>
            <w:r w:rsidRPr="004F4559">
              <w:rPr>
                <w:sz w:val="19"/>
                <w:szCs w:val="19"/>
              </w:rPr>
              <w:t>3.3</w:t>
            </w:r>
          </w:p>
        </w:tc>
        <w:tc>
          <w:tcPr>
            <w:tcW w:w="1559" w:type="dxa"/>
            <w:tcBorders>
              <w:bottom w:val="nil"/>
            </w:tcBorders>
            <w:shd w:val="clear" w:color="auto" w:fill="D9D9D9" w:themeFill="background1" w:themeFillShade="D9"/>
          </w:tcPr>
          <w:p w14:paraId="217BB4DE" w14:textId="77777777" w:rsidR="004F4559" w:rsidRPr="00DD4C71" w:rsidRDefault="004F4559" w:rsidP="004F4559">
            <w:pPr>
              <w:jc w:val="center"/>
              <w:rPr>
                <w:sz w:val="19"/>
                <w:szCs w:val="19"/>
              </w:rPr>
            </w:pPr>
            <w:r w:rsidRPr="004F4559">
              <w:rPr>
                <w:sz w:val="19"/>
                <w:szCs w:val="19"/>
              </w:rPr>
              <w:t>↑0.2</w:t>
            </w:r>
          </w:p>
        </w:tc>
        <w:tc>
          <w:tcPr>
            <w:tcW w:w="1701" w:type="dxa"/>
            <w:tcBorders>
              <w:bottom w:val="nil"/>
            </w:tcBorders>
            <w:shd w:val="clear" w:color="auto" w:fill="D9D9D9" w:themeFill="background1" w:themeFillShade="D9"/>
          </w:tcPr>
          <w:p w14:paraId="21D66FFB" w14:textId="77777777" w:rsidR="004F4559" w:rsidRPr="00DD4C71" w:rsidRDefault="004F4559" w:rsidP="004F4559">
            <w:pPr>
              <w:jc w:val="center"/>
              <w:rPr>
                <w:sz w:val="19"/>
                <w:szCs w:val="19"/>
              </w:rPr>
            </w:pPr>
            <w:r w:rsidRPr="004F4559">
              <w:rPr>
                <w:sz w:val="19"/>
                <w:szCs w:val="19"/>
              </w:rPr>
              <w:t>↑0.5</w:t>
            </w:r>
          </w:p>
        </w:tc>
      </w:tr>
      <w:tr w:rsidR="004F4559" w:rsidRPr="00DD4C71" w14:paraId="69B6F060" w14:textId="77777777" w:rsidTr="004F4559">
        <w:trPr>
          <w:trHeight w:val="80"/>
        </w:trPr>
        <w:tc>
          <w:tcPr>
            <w:tcW w:w="3402" w:type="dxa"/>
            <w:tcBorders>
              <w:bottom w:val="single" w:sz="4" w:space="0" w:color="auto"/>
            </w:tcBorders>
          </w:tcPr>
          <w:p w14:paraId="2BEA1F07" w14:textId="77777777" w:rsidR="004F4559" w:rsidRPr="00DD4C71" w:rsidRDefault="004F4559" w:rsidP="00903C04">
            <w:pPr>
              <w:spacing w:after="0"/>
              <w:rPr>
                <w:sz w:val="19"/>
                <w:szCs w:val="19"/>
              </w:rPr>
            </w:pPr>
            <w:r w:rsidRPr="00DD4C71">
              <w:rPr>
                <w:sz w:val="19"/>
                <w:szCs w:val="19"/>
              </w:rPr>
              <w:t xml:space="preserve">Suitability gap (%) </w:t>
            </w:r>
          </w:p>
        </w:tc>
        <w:tc>
          <w:tcPr>
            <w:tcW w:w="1418" w:type="dxa"/>
            <w:tcBorders>
              <w:bottom w:val="single" w:sz="4" w:space="0" w:color="auto"/>
            </w:tcBorders>
          </w:tcPr>
          <w:p w14:paraId="4FB50DF5" w14:textId="77777777" w:rsidR="004F4559" w:rsidRPr="00DD4C71" w:rsidRDefault="004F4559" w:rsidP="00903C04">
            <w:pPr>
              <w:spacing w:after="0"/>
              <w:jc w:val="center"/>
              <w:rPr>
                <w:sz w:val="19"/>
                <w:szCs w:val="19"/>
              </w:rPr>
            </w:pPr>
            <w:r w:rsidRPr="004F4559">
              <w:rPr>
                <w:sz w:val="19"/>
                <w:szCs w:val="19"/>
              </w:rPr>
              <w:t>62.4%</w:t>
            </w:r>
          </w:p>
        </w:tc>
        <w:tc>
          <w:tcPr>
            <w:tcW w:w="1559" w:type="dxa"/>
            <w:tcBorders>
              <w:bottom w:val="single" w:sz="4" w:space="0" w:color="auto"/>
            </w:tcBorders>
          </w:tcPr>
          <w:p w14:paraId="6FE5559B" w14:textId="77777777" w:rsidR="004F4559" w:rsidRPr="00DD4C71" w:rsidRDefault="004F4559" w:rsidP="00903C04">
            <w:pPr>
              <w:spacing w:after="0"/>
              <w:jc w:val="center"/>
              <w:rPr>
                <w:sz w:val="19"/>
                <w:szCs w:val="19"/>
              </w:rPr>
            </w:pPr>
            <w:r w:rsidRPr="004F4559">
              <w:rPr>
                <w:sz w:val="19"/>
                <w:szCs w:val="19"/>
              </w:rPr>
              <w:t>↑1.8%</w:t>
            </w:r>
          </w:p>
        </w:tc>
        <w:tc>
          <w:tcPr>
            <w:tcW w:w="1701" w:type="dxa"/>
            <w:tcBorders>
              <w:bottom w:val="single" w:sz="4" w:space="0" w:color="auto"/>
            </w:tcBorders>
          </w:tcPr>
          <w:p w14:paraId="4C1200D6" w14:textId="77777777" w:rsidR="004F4559" w:rsidRPr="00DD4C71" w:rsidRDefault="004F4559" w:rsidP="00903C04">
            <w:pPr>
              <w:spacing w:after="0"/>
              <w:jc w:val="center"/>
              <w:rPr>
                <w:sz w:val="19"/>
                <w:szCs w:val="19"/>
              </w:rPr>
            </w:pPr>
            <w:r w:rsidRPr="004F4559">
              <w:rPr>
                <w:sz w:val="19"/>
                <w:szCs w:val="19"/>
              </w:rPr>
              <w:t>↑6.2%</w:t>
            </w:r>
          </w:p>
        </w:tc>
      </w:tr>
    </w:tbl>
    <w:p w14:paraId="31942F29" w14:textId="78A83F50" w:rsidR="004F4559" w:rsidRPr="00DD4C71" w:rsidRDefault="004F4559" w:rsidP="004F4559">
      <w:pPr>
        <w:pStyle w:val="ChartandTablelabel"/>
        <w:rPr>
          <w:lang w:val="en-AU"/>
        </w:rPr>
      </w:pPr>
      <w:r w:rsidRPr="00DD4C71">
        <w:rPr>
          <w:lang w:val="en-AU"/>
        </w:rPr>
        <w:t xml:space="preserve">Table </w:t>
      </w:r>
      <w:r>
        <w:rPr>
          <w:lang w:val="en-AU"/>
        </w:rPr>
        <w:t>7</w:t>
      </w:r>
      <w:r w:rsidRPr="00DD4C71">
        <w:rPr>
          <w:lang w:val="en-AU"/>
        </w:rPr>
        <w:t xml:space="preserve">: </w:t>
      </w:r>
      <w:r w:rsidRPr="004F4559">
        <w:rPr>
          <w:lang w:val="en-AU"/>
        </w:rPr>
        <w:t>Metropolitan snapshot</w:t>
      </w:r>
    </w:p>
    <w:p w14:paraId="2125FEDE" w14:textId="77777777" w:rsidR="004F4559" w:rsidRDefault="004F4559" w:rsidP="004F4559">
      <w:pPr>
        <w:pStyle w:val="Source"/>
      </w:pPr>
    </w:p>
    <w:p w14:paraId="64C96DF5" w14:textId="77777777" w:rsidR="004F4559" w:rsidRDefault="004F4559" w:rsidP="004F4559">
      <w:pPr>
        <w:pStyle w:val="Source"/>
      </w:pPr>
    </w:p>
    <w:p w14:paraId="03B223B0" w14:textId="77777777" w:rsidR="004F4559" w:rsidRDefault="004F4559" w:rsidP="004F4559">
      <w:pPr>
        <w:pStyle w:val="Source"/>
      </w:pPr>
    </w:p>
    <w:p w14:paraId="49E11831" w14:textId="77777777" w:rsidR="004F4559" w:rsidRDefault="004F4559" w:rsidP="004F4559">
      <w:pPr>
        <w:pStyle w:val="Source"/>
      </w:pPr>
    </w:p>
    <w:p w14:paraId="0A969A59" w14:textId="77777777" w:rsidR="004F4559" w:rsidRDefault="004F4559" w:rsidP="004F4559">
      <w:pPr>
        <w:pStyle w:val="Source"/>
      </w:pPr>
    </w:p>
    <w:p w14:paraId="359D74BF" w14:textId="77777777" w:rsidR="004F4559" w:rsidRDefault="004F4559" w:rsidP="004F4559">
      <w:pPr>
        <w:pStyle w:val="Source"/>
      </w:pPr>
    </w:p>
    <w:p w14:paraId="5391D8CE" w14:textId="5C2C6C55" w:rsidR="004F4559" w:rsidRPr="003425BF" w:rsidRDefault="004F4559" w:rsidP="004F4559">
      <w:pPr>
        <w:pStyle w:val="Source"/>
        <w:spacing w:before="0"/>
      </w:pPr>
      <w:r w:rsidRPr="003425BF">
        <w:t>Source: Jobs and Skills Australia, Survey of Employers who Recently Advertised</w:t>
      </w:r>
    </w:p>
    <w:p w14:paraId="7727845E" w14:textId="77777777" w:rsidR="00736046" w:rsidRPr="009017FD" w:rsidRDefault="00736046" w:rsidP="009017FD"/>
    <w:tbl>
      <w:tblPr>
        <w:tblStyle w:val="JSATable1"/>
        <w:tblpPr w:leftFromText="180" w:rightFromText="180" w:vertAnchor="text" w:horzAnchor="margin" w:tblpY="307"/>
        <w:tblW w:w="8080" w:type="dxa"/>
        <w:tblLayout w:type="fixed"/>
        <w:tblLook w:val="0020" w:firstRow="1" w:lastRow="0" w:firstColumn="0" w:lastColumn="0" w:noHBand="0" w:noVBand="0"/>
      </w:tblPr>
      <w:tblGrid>
        <w:gridCol w:w="3402"/>
        <w:gridCol w:w="1418"/>
        <w:gridCol w:w="1559"/>
        <w:gridCol w:w="1701"/>
      </w:tblGrid>
      <w:tr w:rsidR="004F4559" w:rsidRPr="00DD4C71" w14:paraId="46B4D6B0" w14:textId="77777777" w:rsidTr="00903C04">
        <w:trPr>
          <w:cnfStyle w:val="100000000000" w:firstRow="1" w:lastRow="0" w:firstColumn="0" w:lastColumn="0" w:oddVBand="0" w:evenVBand="0" w:oddHBand="0" w:evenHBand="0" w:firstRowFirstColumn="0" w:firstRowLastColumn="0" w:lastRowFirstColumn="0" w:lastRowLastColumn="0"/>
          <w:trHeight w:val="507"/>
        </w:trPr>
        <w:tc>
          <w:tcPr>
            <w:tcW w:w="3402" w:type="dxa"/>
            <w:shd w:val="clear" w:color="auto" w:fill="012749"/>
          </w:tcPr>
          <w:p w14:paraId="7A14ADA7" w14:textId="77777777" w:rsidR="004F4559" w:rsidRPr="00DD4C71" w:rsidRDefault="004F4559" w:rsidP="004F4559">
            <w:pPr>
              <w:rPr>
                <w:rFonts w:cs="Arial"/>
                <w:sz w:val="19"/>
                <w:szCs w:val="19"/>
              </w:rPr>
            </w:pPr>
          </w:p>
        </w:tc>
        <w:tc>
          <w:tcPr>
            <w:tcW w:w="1418" w:type="dxa"/>
            <w:shd w:val="clear" w:color="auto" w:fill="012749"/>
          </w:tcPr>
          <w:p w14:paraId="0656C5F3" w14:textId="77777777" w:rsidR="004F4559" w:rsidRPr="00DD4C71" w:rsidRDefault="004F4559" w:rsidP="004F4559">
            <w:pPr>
              <w:jc w:val="right"/>
              <w:rPr>
                <w:rFonts w:cs="Arial"/>
                <w:sz w:val="19"/>
                <w:szCs w:val="19"/>
              </w:rPr>
            </w:pPr>
            <w:r w:rsidRPr="00DD4C71">
              <w:rPr>
                <w:rFonts w:cs="Arial"/>
                <w:sz w:val="19"/>
                <w:szCs w:val="19"/>
              </w:rPr>
              <w:t>June quarter 2024</w:t>
            </w:r>
          </w:p>
        </w:tc>
        <w:tc>
          <w:tcPr>
            <w:tcW w:w="1559" w:type="dxa"/>
            <w:shd w:val="clear" w:color="auto" w:fill="012749"/>
          </w:tcPr>
          <w:p w14:paraId="49F4AC81" w14:textId="77777777" w:rsidR="004F4559" w:rsidRPr="00DD4C71" w:rsidRDefault="004F4559" w:rsidP="004F4559">
            <w:pPr>
              <w:jc w:val="right"/>
              <w:rPr>
                <w:rFonts w:cs="Arial"/>
                <w:sz w:val="19"/>
                <w:szCs w:val="19"/>
              </w:rPr>
            </w:pPr>
            <w:r w:rsidRPr="00DD4C71">
              <w:rPr>
                <w:rFonts w:cs="Arial"/>
                <w:sz w:val="19"/>
                <w:szCs w:val="19"/>
              </w:rPr>
              <w:t>Change over the quarter</w:t>
            </w:r>
          </w:p>
        </w:tc>
        <w:tc>
          <w:tcPr>
            <w:tcW w:w="1701" w:type="dxa"/>
            <w:shd w:val="clear" w:color="auto" w:fill="012749"/>
          </w:tcPr>
          <w:p w14:paraId="4A8AB7AA" w14:textId="77777777" w:rsidR="004F4559" w:rsidRPr="00DD4C71" w:rsidRDefault="004F4559" w:rsidP="004F4559">
            <w:pPr>
              <w:jc w:val="right"/>
              <w:rPr>
                <w:rFonts w:cs="Arial"/>
                <w:sz w:val="19"/>
                <w:szCs w:val="19"/>
              </w:rPr>
            </w:pPr>
            <w:r w:rsidRPr="00DD4C71">
              <w:rPr>
                <w:rFonts w:cs="Arial"/>
                <w:sz w:val="19"/>
                <w:szCs w:val="19"/>
              </w:rPr>
              <w:t>Change over 12 months</w:t>
            </w:r>
          </w:p>
        </w:tc>
      </w:tr>
      <w:tr w:rsidR="004F4559" w:rsidRPr="00DD4C71" w14:paraId="6A99CE8B" w14:textId="77777777" w:rsidTr="00903C04">
        <w:trPr>
          <w:trHeight w:val="294"/>
        </w:trPr>
        <w:tc>
          <w:tcPr>
            <w:tcW w:w="3402" w:type="dxa"/>
            <w:tcBorders>
              <w:bottom w:val="nil"/>
            </w:tcBorders>
          </w:tcPr>
          <w:p w14:paraId="229D074A" w14:textId="77777777" w:rsidR="004F4559" w:rsidRPr="00DD4C71" w:rsidRDefault="004F4559" w:rsidP="004F4559">
            <w:pPr>
              <w:rPr>
                <w:sz w:val="19"/>
                <w:szCs w:val="19"/>
              </w:rPr>
            </w:pPr>
            <w:r w:rsidRPr="00DD4C71">
              <w:rPr>
                <w:sz w:val="19"/>
                <w:szCs w:val="19"/>
              </w:rPr>
              <w:t>Vacancy fill rate (%)</w:t>
            </w:r>
          </w:p>
        </w:tc>
        <w:tc>
          <w:tcPr>
            <w:tcW w:w="1418" w:type="dxa"/>
            <w:tcBorders>
              <w:bottom w:val="nil"/>
            </w:tcBorders>
          </w:tcPr>
          <w:p w14:paraId="7D2D6431" w14:textId="00D73633" w:rsidR="004F4559" w:rsidRPr="00DD4C71" w:rsidRDefault="004F4559" w:rsidP="004F4559">
            <w:pPr>
              <w:jc w:val="center"/>
              <w:rPr>
                <w:sz w:val="19"/>
                <w:szCs w:val="19"/>
              </w:rPr>
            </w:pPr>
            <w:r w:rsidRPr="004F4559">
              <w:rPr>
                <w:sz w:val="19"/>
                <w:szCs w:val="19"/>
              </w:rPr>
              <w:t>61.3%</w:t>
            </w:r>
          </w:p>
        </w:tc>
        <w:tc>
          <w:tcPr>
            <w:tcW w:w="1559" w:type="dxa"/>
            <w:tcBorders>
              <w:bottom w:val="nil"/>
            </w:tcBorders>
          </w:tcPr>
          <w:p w14:paraId="5169A27D" w14:textId="4A220F83" w:rsidR="004F4559" w:rsidRPr="00DD4C71" w:rsidRDefault="004F4559" w:rsidP="004F4559">
            <w:pPr>
              <w:jc w:val="center"/>
              <w:rPr>
                <w:sz w:val="19"/>
                <w:szCs w:val="19"/>
              </w:rPr>
            </w:pPr>
            <w:r w:rsidRPr="004F4559">
              <w:rPr>
                <w:sz w:val="19"/>
                <w:szCs w:val="19"/>
              </w:rPr>
              <w:t>↑1.5%</w:t>
            </w:r>
          </w:p>
        </w:tc>
        <w:tc>
          <w:tcPr>
            <w:tcW w:w="1701" w:type="dxa"/>
            <w:tcBorders>
              <w:bottom w:val="nil"/>
            </w:tcBorders>
          </w:tcPr>
          <w:p w14:paraId="5C8B6475" w14:textId="5591E5E3" w:rsidR="004F4559" w:rsidRPr="00DD4C71" w:rsidRDefault="004F4559" w:rsidP="004F4559">
            <w:pPr>
              <w:jc w:val="center"/>
              <w:rPr>
                <w:sz w:val="19"/>
                <w:szCs w:val="19"/>
              </w:rPr>
            </w:pPr>
            <w:r w:rsidRPr="004F4559">
              <w:rPr>
                <w:sz w:val="19"/>
                <w:szCs w:val="19"/>
              </w:rPr>
              <w:t>↑3.3%</w:t>
            </w:r>
          </w:p>
        </w:tc>
      </w:tr>
      <w:tr w:rsidR="004F4559" w:rsidRPr="00DD4C71" w14:paraId="1068CF42" w14:textId="77777777" w:rsidTr="00903C04">
        <w:trPr>
          <w:cnfStyle w:val="000000010000" w:firstRow="0" w:lastRow="0" w:firstColumn="0" w:lastColumn="0" w:oddVBand="0" w:evenVBand="0" w:oddHBand="0" w:evenHBand="1" w:firstRowFirstColumn="0" w:firstRowLastColumn="0" w:lastRowFirstColumn="0" w:lastRowLastColumn="0"/>
          <w:trHeight w:val="242"/>
        </w:trPr>
        <w:tc>
          <w:tcPr>
            <w:tcW w:w="3402" w:type="dxa"/>
            <w:tcBorders>
              <w:bottom w:val="nil"/>
            </w:tcBorders>
            <w:shd w:val="clear" w:color="auto" w:fill="D9D9D9" w:themeFill="background1" w:themeFillShade="D9"/>
          </w:tcPr>
          <w:p w14:paraId="299595DF" w14:textId="77777777" w:rsidR="004F4559" w:rsidRPr="00DD4C71" w:rsidRDefault="004F4559" w:rsidP="004F4559">
            <w:pPr>
              <w:rPr>
                <w:sz w:val="19"/>
                <w:szCs w:val="19"/>
              </w:rPr>
            </w:pPr>
            <w:r w:rsidRPr="00DD4C71">
              <w:rPr>
                <w:sz w:val="19"/>
                <w:szCs w:val="19"/>
              </w:rPr>
              <w:t>Applicants per vacancy (no.)</w:t>
            </w:r>
          </w:p>
        </w:tc>
        <w:tc>
          <w:tcPr>
            <w:tcW w:w="1418" w:type="dxa"/>
            <w:tcBorders>
              <w:bottom w:val="nil"/>
            </w:tcBorders>
            <w:shd w:val="clear" w:color="auto" w:fill="D9D9D9" w:themeFill="background1" w:themeFillShade="D9"/>
          </w:tcPr>
          <w:p w14:paraId="6AA34AA6" w14:textId="324EE263" w:rsidR="004F4559" w:rsidRPr="00DD4C71" w:rsidRDefault="004F4559" w:rsidP="004F4559">
            <w:pPr>
              <w:jc w:val="center"/>
              <w:rPr>
                <w:sz w:val="19"/>
                <w:szCs w:val="19"/>
              </w:rPr>
            </w:pPr>
            <w:r w:rsidRPr="004F4559">
              <w:rPr>
                <w:sz w:val="19"/>
                <w:szCs w:val="19"/>
              </w:rPr>
              <w:t>14.6</w:t>
            </w:r>
          </w:p>
        </w:tc>
        <w:tc>
          <w:tcPr>
            <w:tcW w:w="1559" w:type="dxa"/>
            <w:tcBorders>
              <w:bottom w:val="nil"/>
            </w:tcBorders>
            <w:shd w:val="clear" w:color="auto" w:fill="D9D9D9" w:themeFill="background1" w:themeFillShade="D9"/>
          </w:tcPr>
          <w:p w14:paraId="1573BCD1" w14:textId="683A9552" w:rsidR="004F4559" w:rsidRPr="00DD4C71" w:rsidRDefault="004F4559" w:rsidP="004F4559">
            <w:pPr>
              <w:jc w:val="center"/>
              <w:rPr>
                <w:sz w:val="19"/>
                <w:szCs w:val="19"/>
              </w:rPr>
            </w:pPr>
            <w:r w:rsidRPr="004F4559">
              <w:rPr>
                <w:sz w:val="19"/>
                <w:szCs w:val="19"/>
              </w:rPr>
              <w:t>↑1.7</w:t>
            </w:r>
          </w:p>
        </w:tc>
        <w:tc>
          <w:tcPr>
            <w:tcW w:w="1701" w:type="dxa"/>
            <w:tcBorders>
              <w:bottom w:val="nil"/>
            </w:tcBorders>
            <w:shd w:val="clear" w:color="auto" w:fill="D9D9D9" w:themeFill="background1" w:themeFillShade="D9"/>
          </w:tcPr>
          <w:p w14:paraId="141F50BB" w14:textId="71DA0ABE" w:rsidR="004F4559" w:rsidRPr="00DD4C71" w:rsidRDefault="004F4559" w:rsidP="004F4559">
            <w:pPr>
              <w:jc w:val="center"/>
              <w:rPr>
                <w:sz w:val="19"/>
                <w:szCs w:val="19"/>
              </w:rPr>
            </w:pPr>
            <w:r w:rsidRPr="004F4559">
              <w:rPr>
                <w:sz w:val="19"/>
                <w:szCs w:val="19"/>
              </w:rPr>
              <w:t>↑4.3</w:t>
            </w:r>
          </w:p>
        </w:tc>
      </w:tr>
      <w:tr w:rsidR="004F4559" w:rsidRPr="00DD4C71" w14:paraId="1FCDF588" w14:textId="77777777" w:rsidTr="00903C04">
        <w:trPr>
          <w:trHeight w:val="154"/>
        </w:trPr>
        <w:tc>
          <w:tcPr>
            <w:tcW w:w="3402" w:type="dxa"/>
            <w:tcBorders>
              <w:bottom w:val="nil"/>
            </w:tcBorders>
          </w:tcPr>
          <w:p w14:paraId="1FE3C8BB" w14:textId="77777777" w:rsidR="004F4559" w:rsidRPr="00DD4C71" w:rsidRDefault="004F4559" w:rsidP="004F4559">
            <w:pPr>
              <w:rPr>
                <w:sz w:val="19"/>
                <w:szCs w:val="19"/>
              </w:rPr>
            </w:pPr>
            <w:r w:rsidRPr="00DD4C71">
              <w:rPr>
                <w:sz w:val="19"/>
                <w:szCs w:val="19"/>
              </w:rPr>
              <w:t>Qualified applicants per vacancy (no.)</w:t>
            </w:r>
          </w:p>
        </w:tc>
        <w:tc>
          <w:tcPr>
            <w:tcW w:w="1418" w:type="dxa"/>
            <w:tcBorders>
              <w:bottom w:val="nil"/>
            </w:tcBorders>
          </w:tcPr>
          <w:p w14:paraId="009878CB" w14:textId="10D57DDB" w:rsidR="004F4559" w:rsidRPr="00DD4C71" w:rsidRDefault="004F4559" w:rsidP="004F4559">
            <w:pPr>
              <w:jc w:val="center"/>
              <w:rPr>
                <w:sz w:val="19"/>
                <w:szCs w:val="19"/>
              </w:rPr>
            </w:pPr>
            <w:r w:rsidRPr="004F4559">
              <w:rPr>
                <w:sz w:val="19"/>
                <w:szCs w:val="19"/>
              </w:rPr>
              <w:t>4.6</w:t>
            </w:r>
          </w:p>
        </w:tc>
        <w:tc>
          <w:tcPr>
            <w:tcW w:w="1559" w:type="dxa"/>
            <w:tcBorders>
              <w:bottom w:val="nil"/>
            </w:tcBorders>
          </w:tcPr>
          <w:p w14:paraId="745EA277" w14:textId="6949F4A0" w:rsidR="004F4559" w:rsidRPr="00DD4C71" w:rsidRDefault="004F4559" w:rsidP="004F4559">
            <w:pPr>
              <w:jc w:val="center"/>
              <w:rPr>
                <w:sz w:val="19"/>
                <w:szCs w:val="19"/>
              </w:rPr>
            </w:pPr>
            <w:r w:rsidRPr="004F4559">
              <w:rPr>
                <w:sz w:val="19"/>
                <w:szCs w:val="19"/>
              </w:rPr>
              <w:t>↑0.4</w:t>
            </w:r>
          </w:p>
        </w:tc>
        <w:tc>
          <w:tcPr>
            <w:tcW w:w="1701" w:type="dxa"/>
            <w:tcBorders>
              <w:bottom w:val="nil"/>
            </w:tcBorders>
          </w:tcPr>
          <w:p w14:paraId="6D8B9B33" w14:textId="553A958F" w:rsidR="004F4559" w:rsidRPr="00DD4C71" w:rsidRDefault="004F4559" w:rsidP="004F4559">
            <w:pPr>
              <w:jc w:val="center"/>
              <w:rPr>
                <w:sz w:val="19"/>
                <w:szCs w:val="19"/>
              </w:rPr>
            </w:pPr>
            <w:r w:rsidRPr="004F4559">
              <w:rPr>
                <w:sz w:val="19"/>
                <w:szCs w:val="19"/>
              </w:rPr>
              <w:t>↑1.1</w:t>
            </w:r>
          </w:p>
        </w:tc>
      </w:tr>
      <w:tr w:rsidR="004F4559" w:rsidRPr="00DD4C71" w14:paraId="02550A41" w14:textId="77777777" w:rsidTr="00903C04">
        <w:trPr>
          <w:cnfStyle w:val="000000010000" w:firstRow="0" w:lastRow="0" w:firstColumn="0" w:lastColumn="0" w:oddVBand="0" w:evenVBand="0" w:oddHBand="0" w:evenHBand="1" w:firstRowFirstColumn="0" w:firstRowLastColumn="0" w:lastRowFirstColumn="0" w:lastRowLastColumn="0"/>
          <w:trHeight w:val="101"/>
        </w:trPr>
        <w:tc>
          <w:tcPr>
            <w:tcW w:w="3402" w:type="dxa"/>
            <w:tcBorders>
              <w:bottom w:val="nil"/>
            </w:tcBorders>
            <w:shd w:val="clear" w:color="auto" w:fill="D9D9D9" w:themeFill="background1" w:themeFillShade="D9"/>
          </w:tcPr>
          <w:p w14:paraId="3B511B94" w14:textId="77777777" w:rsidR="004F4559" w:rsidRPr="00DD4C71" w:rsidRDefault="004F4559" w:rsidP="004F4559">
            <w:pPr>
              <w:rPr>
                <w:sz w:val="19"/>
                <w:szCs w:val="19"/>
              </w:rPr>
            </w:pPr>
            <w:r w:rsidRPr="00DD4C71">
              <w:rPr>
                <w:sz w:val="19"/>
                <w:szCs w:val="19"/>
              </w:rPr>
              <w:t>Suitable applicants per vacancy (no.)</w:t>
            </w:r>
          </w:p>
        </w:tc>
        <w:tc>
          <w:tcPr>
            <w:tcW w:w="1418" w:type="dxa"/>
            <w:tcBorders>
              <w:bottom w:val="nil"/>
            </w:tcBorders>
            <w:shd w:val="clear" w:color="auto" w:fill="D9D9D9" w:themeFill="background1" w:themeFillShade="D9"/>
          </w:tcPr>
          <w:p w14:paraId="319BC6F2" w14:textId="17E0EF1B" w:rsidR="004F4559" w:rsidRPr="00DD4C71" w:rsidRDefault="004F4559" w:rsidP="004F4559">
            <w:pPr>
              <w:jc w:val="center"/>
              <w:rPr>
                <w:sz w:val="19"/>
                <w:szCs w:val="19"/>
              </w:rPr>
            </w:pPr>
            <w:r w:rsidRPr="004F4559">
              <w:rPr>
                <w:sz w:val="19"/>
                <w:szCs w:val="19"/>
              </w:rPr>
              <w:t>2.1</w:t>
            </w:r>
          </w:p>
        </w:tc>
        <w:tc>
          <w:tcPr>
            <w:tcW w:w="1559" w:type="dxa"/>
            <w:tcBorders>
              <w:bottom w:val="nil"/>
            </w:tcBorders>
            <w:shd w:val="clear" w:color="auto" w:fill="D9D9D9" w:themeFill="background1" w:themeFillShade="D9"/>
          </w:tcPr>
          <w:p w14:paraId="402C0503" w14:textId="2B41A4B8" w:rsidR="004F4559" w:rsidRPr="00DD4C71" w:rsidRDefault="004F4559" w:rsidP="004F4559">
            <w:pPr>
              <w:jc w:val="center"/>
              <w:rPr>
                <w:sz w:val="19"/>
                <w:szCs w:val="19"/>
              </w:rPr>
            </w:pPr>
            <w:r w:rsidRPr="004F4559">
              <w:rPr>
                <w:sz w:val="19"/>
                <w:szCs w:val="19"/>
              </w:rPr>
              <w:t>↑0.1</w:t>
            </w:r>
          </w:p>
        </w:tc>
        <w:tc>
          <w:tcPr>
            <w:tcW w:w="1701" w:type="dxa"/>
            <w:tcBorders>
              <w:bottom w:val="nil"/>
            </w:tcBorders>
            <w:shd w:val="clear" w:color="auto" w:fill="D9D9D9" w:themeFill="background1" w:themeFillShade="D9"/>
          </w:tcPr>
          <w:p w14:paraId="73C9086C" w14:textId="1058EC61" w:rsidR="004F4559" w:rsidRPr="00DD4C71" w:rsidRDefault="004F4559" w:rsidP="004F4559">
            <w:pPr>
              <w:jc w:val="center"/>
              <w:rPr>
                <w:sz w:val="19"/>
                <w:szCs w:val="19"/>
              </w:rPr>
            </w:pPr>
            <w:r w:rsidRPr="004F4559">
              <w:rPr>
                <w:sz w:val="19"/>
                <w:szCs w:val="19"/>
              </w:rPr>
              <w:t>↑0.1</w:t>
            </w:r>
          </w:p>
        </w:tc>
      </w:tr>
      <w:tr w:rsidR="004F4559" w:rsidRPr="00DD4C71" w14:paraId="603CBBF6" w14:textId="77777777" w:rsidTr="00903C04">
        <w:trPr>
          <w:trHeight w:val="80"/>
        </w:trPr>
        <w:tc>
          <w:tcPr>
            <w:tcW w:w="3402" w:type="dxa"/>
            <w:tcBorders>
              <w:bottom w:val="single" w:sz="4" w:space="0" w:color="auto"/>
            </w:tcBorders>
          </w:tcPr>
          <w:p w14:paraId="13770C33" w14:textId="77777777" w:rsidR="004F4559" w:rsidRPr="00DD4C71" w:rsidRDefault="004F4559" w:rsidP="00903C04">
            <w:pPr>
              <w:spacing w:after="0"/>
              <w:rPr>
                <w:sz w:val="19"/>
                <w:szCs w:val="19"/>
              </w:rPr>
            </w:pPr>
            <w:r w:rsidRPr="00DD4C71">
              <w:rPr>
                <w:sz w:val="19"/>
                <w:szCs w:val="19"/>
              </w:rPr>
              <w:t xml:space="preserve">Suitability gap (%) </w:t>
            </w:r>
          </w:p>
        </w:tc>
        <w:tc>
          <w:tcPr>
            <w:tcW w:w="1418" w:type="dxa"/>
            <w:tcBorders>
              <w:bottom w:val="single" w:sz="4" w:space="0" w:color="auto"/>
            </w:tcBorders>
          </w:tcPr>
          <w:p w14:paraId="591BB6ED" w14:textId="56176014" w:rsidR="004F4559" w:rsidRPr="00DD4C71" w:rsidRDefault="004F4559" w:rsidP="00903C04">
            <w:pPr>
              <w:spacing w:after="0"/>
              <w:jc w:val="center"/>
              <w:rPr>
                <w:sz w:val="19"/>
                <w:szCs w:val="19"/>
              </w:rPr>
            </w:pPr>
            <w:r w:rsidRPr="004F4559">
              <w:rPr>
                <w:sz w:val="19"/>
                <w:szCs w:val="19"/>
              </w:rPr>
              <w:t>54.9%</w:t>
            </w:r>
          </w:p>
        </w:tc>
        <w:tc>
          <w:tcPr>
            <w:tcW w:w="1559" w:type="dxa"/>
            <w:tcBorders>
              <w:bottom w:val="single" w:sz="4" w:space="0" w:color="auto"/>
            </w:tcBorders>
          </w:tcPr>
          <w:p w14:paraId="17458DFF" w14:textId="444BB218" w:rsidR="004F4559" w:rsidRPr="00DD4C71" w:rsidRDefault="004F4559" w:rsidP="00903C04">
            <w:pPr>
              <w:spacing w:after="0"/>
              <w:jc w:val="center"/>
              <w:rPr>
                <w:sz w:val="19"/>
                <w:szCs w:val="19"/>
              </w:rPr>
            </w:pPr>
            <w:r w:rsidRPr="004F4559">
              <w:rPr>
                <w:sz w:val="19"/>
                <w:szCs w:val="19"/>
              </w:rPr>
              <w:t>↑1.9%</w:t>
            </w:r>
          </w:p>
        </w:tc>
        <w:tc>
          <w:tcPr>
            <w:tcW w:w="1701" w:type="dxa"/>
            <w:tcBorders>
              <w:bottom w:val="single" w:sz="4" w:space="0" w:color="auto"/>
            </w:tcBorders>
          </w:tcPr>
          <w:p w14:paraId="626538B1" w14:textId="2EF4E1BD" w:rsidR="004F4559" w:rsidRPr="00DD4C71" w:rsidRDefault="004F4559" w:rsidP="00903C04">
            <w:pPr>
              <w:spacing w:after="0"/>
              <w:jc w:val="center"/>
              <w:rPr>
                <w:sz w:val="19"/>
                <w:szCs w:val="19"/>
              </w:rPr>
            </w:pPr>
            <w:r w:rsidRPr="004F4559">
              <w:rPr>
                <w:sz w:val="19"/>
                <w:szCs w:val="19"/>
              </w:rPr>
              <w:t>↑12.0%</w:t>
            </w:r>
          </w:p>
        </w:tc>
      </w:tr>
    </w:tbl>
    <w:p w14:paraId="3C3A24A5" w14:textId="0697A567" w:rsidR="004F4559" w:rsidRPr="00DD4C71" w:rsidRDefault="004F4559" w:rsidP="004F4559">
      <w:pPr>
        <w:pStyle w:val="ChartandTablelabel"/>
        <w:rPr>
          <w:lang w:val="en-AU"/>
        </w:rPr>
      </w:pPr>
      <w:r w:rsidRPr="00DD4C71">
        <w:rPr>
          <w:lang w:val="en-AU"/>
        </w:rPr>
        <w:t xml:space="preserve">Table </w:t>
      </w:r>
      <w:r>
        <w:rPr>
          <w:lang w:val="en-AU"/>
        </w:rPr>
        <w:t>8</w:t>
      </w:r>
      <w:r w:rsidRPr="00DD4C71">
        <w:rPr>
          <w:lang w:val="en-AU"/>
        </w:rPr>
        <w:t xml:space="preserve">: </w:t>
      </w:r>
      <w:r w:rsidR="001A5C63">
        <w:rPr>
          <w:lang w:val="en-AU"/>
        </w:rPr>
        <w:t>Regional</w:t>
      </w:r>
      <w:r w:rsidRPr="004F4559">
        <w:rPr>
          <w:lang w:val="en-AU"/>
        </w:rPr>
        <w:t xml:space="preserve"> snapshot</w:t>
      </w:r>
    </w:p>
    <w:p w14:paraId="14D0FC13" w14:textId="77777777" w:rsidR="004F4559" w:rsidRDefault="004F4559" w:rsidP="0085368A">
      <w:pPr>
        <w:shd w:val="clear" w:color="auto" w:fill="FFFFFF" w:themeFill="background1"/>
        <w:spacing w:after="160" w:line="259" w:lineRule="auto"/>
      </w:pPr>
    </w:p>
    <w:p w14:paraId="4518EEA5" w14:textId="77777777" w:rsidR="004F4559" w:rsidRDefault="004F4559" w:rsidP="0085368A">
      <w:pPr>
        <w:shd w:val="clear" w:color="auto" w:fill="FFFFFF" w:themeFill="background1"/>
        <w:spacing w:after="160" w:line="259" w:lineRule="auto"/>
      </w:pPr>
    </w:p>
    <w:p w14:paraId="45A43290" w14:textId="77777777" w:rsidR="004F4559" w:rsidRDefault="004F4559" w:rsidP="0085368A">
      <w:pPr>
        <w:shd w:val="clear" w:color="auto" w:fill="FFFFFF" w:themeFill="background1"/>
        <w:spacing w:after="160" w:line="259" w:lineRule="auto"/>
      </w:pPr>
    </w:p>
    <w:p w14:paraId="45DDD770" w14:textId="77777777" w:rsidR="004F4559" w:rsidRDefault="004F4559" w:rsidP="0085368A">
      <w:pPr>
        <w:shd w:val="clear" w:color="auto" w:fill="FFFFFF" w:themeFill="background1"/>
        <w:spacing w:after="160" w:line="259" w:lineRule="auto"/>
      </w:pPr>
    </w:p>
    <w:p w14:paraId="666F5A7F" w14:textId="77777777" w:rsidR="004F4559" w:rsidRDefault="004F4559" w:rsidP="0085368A">
      <w:pPr>
        <w:shd w:val="clear" w:color="auto" w:fill="FFFFFF" w:themeFill="background1"/>
        <w:spacing w:after="160" w:line="259" w:lineRule="auto"/>
      </w:pPr>
    </w:p>
    <w:p w14:paraId="507A3474" w14:textId="5B5230F8" w:rsidR="004F4559" w:rsidRPr="003425BF" w:rsidRDefault="004F4559" w:rsidP="004F4559">
      <w:pPr>
        <w:pStyle w:val="Source"/>
      </w:pPr>
      <w:r w:rsidRPr="003425BF">
        <w:t>Source: Jobs and Skills Australia, Survey of Employers who Recently Advertised</w:t>
      </w:r>
    </w:p>
    <w:p w14:paraId="477AE399" w14:textId="77777777" w:rsidR="004F4559" w:rsidRDefault="004F4559" w:rsidP="0085368A">
      <w:pPr>
        <w:shd w:val="clear" w:color="auto" w:fill="FFFFFF" w:themeFill="background1"/>
        <w:spacing w:after="160" w:line="259" w:lineRule="auto"/>
      </w:pPr>
    </w:p>
    <w:p w14:paraId="595C0739" w14:textId="5811A541" w:rsidR="00377DC0" w:rsidRDefault="004502DC" w:rsidP="00377DC0">
      <w:r>
        <w:t>Across</w:t>
      </w:r>
      <w:r w:rsidR="00377DC0">
        <w:t xml:space="preserve"> both metro and regional areas ‘</w:t>
      </w:r>
      <w:r w:rsidR="00377DC0" w:rsidRPr="004F476E">
        <w:t>lacking work experience</w:t>
      </w:r>
      <w:r w:rsidR="00377DC0">
        <w:t>’</w:t>
      </w:r>
      <w:r w:rsidR="00377DC0" w:rsidRPr="004F476E">
        <w:t xml:space="preserve">, </w:t>
      </w:r>
      <w:r w:rsidR="00377DC0">
        <w:t>and ‘</w:t>
      </w:r>
      <w:r w:rsidR="00377DC0" w:rsidRPr="004F476E">
        <w:t>lacking relevant qualifications</w:t>
      </w:r>
      <w:r w:rsidR="00377DC0">
        <w:t>’</w:t>
      </w:r>
      <w:r w:rsidR="00377DC0" w:rsidRPr="004F476E">
        <w:t xml:space="preserve"> </w:t>
      </w:r>
      <w:proofErr w:type="gramStart"/>
      <w:r w:rsidR="00377DC0">
        <w:t>were</w:t>
      </w:r>
      <w:proofErr w:type="gramEnd"/>
      <w:r w:rsidR="00377DC0">
        <w:t xml:space="preserve"> the two most common reasons applicants to vacancies were found unsuitable. However, in metro areas, </w:t>
      </w:r>
      <w:r w:rsidR="00377DC0" w:rsidRPr="004F476E">
        <w:t xml:space="preserve">lacking specific skills or experience </w:t>
      </w:r>
      <w:r w:rsidR="00377DC0">
        <w:t xml:space="preserve">was third most common reason </w:t>
      </w:r>
      <w:r w:rsidR="00377DC0" w:rsidRPr="004F476E">
        <w:t xml:space="preserve">applicants </w:t>
      </w:r>
      <w:r w:rsidR="00377DC0">
        <w:t xml:space="preserve">are </w:t>
      </w:r>
      <w:r w:rsidR="00377DC0" w:rsidRPr="004F476E">
        <w:t>deemed unsuitable for employment.</w:t>
      </w:r>
      <w:r w:rsidR="00377DC0">
        <w:t xml:space="preserve"> On the other hand, in regional areas, lacking working rights was the third most common reason. </w:t>
      </w:r>
    </w:p>
    <w:p w14:paraId="414631A6" w14:textId="28F090C4" w:rsidR="00BF2061" w:rsidRDefault="00BF2061" w:rsidP="00BF2061">
      <w:r>
        <w:lastRenderedPageBreak/>
        <w:t xml:space="preserve">In </w:t>
      </w:r>
      <w:r w:rsidR="00B66CD4">
        <w:t xml:space="preserve">terms of Skill levels, in </w:t>
      </w:r>
      <w:r>
        <w:t xml:space="preserve">the current quarter and in over the past 12 months fill rates improved across all Skill Level 1 to 4 occupations (Figure </w:t>
      </w:r>
      <w:r w:rsidR="00085F6F">
        <w:t>7</w:t>
      </w:r>
      <w:r>
        <w:t>). This is supported by increases in the total number of applicants, qualified applicants, and suitable applicants per vacancy for all these skill level occupation groups. The largest improvements have been for Skill Level 3 and 4 occupations, where the fill rates for both increased by 2.1 percentage points over the quarter, although the fill rates for Skill Level 3 occupations remain very low at 51.9%. The result suggests that while there is ongoing improvement in the fill rate, skill shortage pressures remain acute for Skill Level 3</w:t>
      </w:r>
      <w:r>
        <w:rPr>
          <w:rStyle w:val="FootnoteReference"/>
        </w:rPr>
        <w:footnoteReference w:id="8"/>
      </w:r>
      <w:r>
        <w:t xml:space="preserve"> occupations. </w:t>
      </w:r>
    </w:p>
    <w:p w14:paraId="089FDD79" w14:textId="77777777" w:rsidR="00736046" w:rsidRDefault="00736046" w:rsidP="006F2D84"/>
    <w:p w14:paraId="28BA6D64" w14:textId="5FBC151C" w:rsidR="00330129" w:rsidRDefault="003B267A" w:rsidP="00330129">
      <w:pPr>
        <w:pStyle w:val="ChartandTablelabel"/>
        <w:keepNext/>
        <w:keepLines/>
        <w:spacing w:before="240" w:after="0"/>
        <w:rPr>
          <w:noProof/>
        </w:rPr>
      </w:pPr>
      <w:r w:rsidRPr="00DD4C71">
        <w:rPr>
          <w:lang w:val="en-AU"/>
        </w:rPr>
        <w:t xml:space="preserve">Figure </w:t>
      </w:r>
      <w:r w:rsidR="00085F6F">
        <w:rPr>
          <w:lang w:val="en-AU"/>
        </w:rPr>
        <w:t>7</w:t>
      </w:r>
      <w:r w:rsidRPr="00DD4C71">
        <w:rPr>
          <w:lang w:val="en-AU"/>
        </w:rPr>
        <w:t xml:space="preserve">: </w:t>
      </w:r>
      <w:r w:rsidR="006F0A18">
        <w:rPr>
          <w:lang w:val="en-AU"/>
        </w:rPr>
        <w:t>Fill rate</w:t>
      </w:r>
      <w:r w:rsidRPr="00DD4C71">
        <w:rPr>
          <w:lang w:val="en-AU"/>
        </w:rPr>
        <w:t xml:space="preserve">, </w:t>
      </w:r>
      <w:r>
        <w:rPr>
          <w:lang w:val="en-AU"/>
        </w:rPr>
        <w:t>by Skill level</w:t>
      </w:r>
      <w:r w:rsidRPr="00DD4C71">
        <w:rPr>
          <w:lang w:val="en-AU"/>
        </w:rPr>
        <w:t>, June 2022 to June 2024</w:t>
      </w:r>
      <w:r w:rsidR="006F0A18" w:rsidRPr="006F0A18">
        <w:rPr>
          <w:noProof/>
        </w:rPr>
        <w:t xml:space="preserve"> </w:t>
      </w:r>
      <w:r w:rsidR="006F0A18">
        <w:rPr>
          <w:noProof/>
        </w:rPr>
        <w:drawing>
          <wp:inline distT="0" distB="0" distL="0" distR="0" wp14:anchorId="09B23F26" wp14:editId="6257B603">
            <wp:extent cx="5220000" cy="2880000"/>
            <wp:effectExtent l="0" t="0" r="0" b="0"/>
            <wp:docPr id="1354032697" name="Chart 1" descr="A line chart showing the fill rate by four different skill levels. Fill rates for all four skill levels have been increasing gradually although it remains comparatively low for Skill level 3 occupations.">
              <a:extLst xmlns:a="http://schemas.openxmlformats.org/drawingml/2006/main">
                <a:ext uri="{FF2B5EF4-FFF2-40B4-BE49-F238E27FC236}">
                  <a16:creationId xmlns:a16="http://schemas.microsoft.com/office/drawing/2014/main" id="{CE6ADD0F-EE08-4837-9AE8-69E49E0BB181}"/>
                </a:ext>
              </a:extLst>
            </wp:docPr>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79835627" w14:textId="17DD8816" w:rsidR="00BB26CB" w:rsidRDefault="00BB26CB" w:rsidP="006D4B28">
      <w:pPr>
        <w:pStyle w:val="Source"/>
        <w:rPr>
          <w:b/>
        </w:rPr>
      </w:pPr>
      <w:r w:rsidRPr="00BB26CB">
        <w:t>Source: Jobs and Skills Australia, Survey of Employers who Recently Advertised</w:t>
      </w:r>
    </w:p>
    <w:p w14:paraId="36186148" w14:textId="77777777" w:rsidR="00736046" w:rsidRPr="00330129" w:rsidRDefault="00736046" w:rsidP="00382E63">
      <w:pPr>
        <w:rPr>
          <w:noProof/>
        </w:rPr>
      </w:pPr>
    </w:p>
    <w:p w14:paraId="5D91EEE4" w14:textId="63ECF2EE" w:rsidR="0073179E" w:rsidRPr="00DD4C71" w:rsidRDefault="0073179E" w:rsidP="0073179E">
      <w:pPr>
        <w:pStyle w:val="Heading2"/>
      </w:pPr>
      <w:bookmarkStart w:id="22" w:name="_Toc174691125"/>
      <w:r>
        <w:t>Recruitment difficulties are easing</w:t>
      </w:r>
      <w:bookmarkEnd w:id="22"/>
    </w:p>
    <w:p w14:paraId="2FF9A618" w14:textId="32F26DFB" w:rsidR="001260BA" w:rsidRPr="00DD4C71" w:rsidRDefault="001260BA" w:rsidP="001260BA">
      <w:bookmarkStart w:id="23" w:name="_Toc151365187"/>
      <w:bookmarkEnd w:id="19"/>
      <w:r w:rsidRPr="00DD4C71">
        <w:t xml:space="preserve">Results from the </w:t>
      </w:r>
      <w:r w:rsidRPr="00DD4C71">
        <w:rPr>
          <w:i/>
          <w:iCs/>
        </w:rPr>
        <w:t>Recruitment Experiences and Outlook Survey</w:t>
      </w:r>
      <w:r w:rsidRPr="00DD4C71">
        <w:t xml:space="preserve"> show that quarterly </w:t>
      </w:r>
      <w:r w:rsidRPr="00DD4C71">
        <w:rPr>
          <w:rStyle w:val="Strong"/>
          <w:b w:val="0"/>
          <w:bCs w:val="0"/>
        </w:rPr>
        <w:t>recruitment activity</w:t>
      </w:r>
      <w:r w:rsidRPr="00DD4C71">
        <w:t xml:space="preserve"> has decreased in most states (except Tasmania and South Australia) over the year to the June quarter 2024 (Figure </w:t>
      </w:r>
      <w:r w:rsidR="003B267A">
        <w:t>8</w:t>
      </w:r>
      <w:r w:rsidRPr="00DD4C71">
        <w:t xml:space="preserve">). </w:t>
      </w:r>
    </w:p>
    <w:p w14:paraId="4BAF3F16" w14:textId="77777777" w:rsidR="00330129" w:rsidRDefault="001260BA" w:rsidP="001260BA">
      <w:r w:rsidRPr="00DD4C71">
        <w:t xml:space="preserve">Victoria (42%) had the lowest recruitment rate in the June quarter 2024, while both Western Australia and Queensland had the highest (48%). South Australia (46%) was the only state to record increases in the recruitment rate over both the 12 months to the June quarter 2024 (up 2 percentage points), and since the March quarter 2024 (up 1 percentage point).  </w:t>
      </w:r>
    </w:p>
    <w:p w14:paraId="1765AA4F" w14:textId="233537ED" w:rsidR="001260BA" w:rsidRDefault="001260BA" w:rsidP="001260BA">
      <w:r w:rsidRPr="00DD4C71">
        <w:t xml:space="preserve">Meanwhile, Tasmania’s recruitment rate increased by 1 percentage point over the year to the June quarter 2024 to 44% of employers. Queensland’s recruitment rate underwent the largest decrease, declining by 8 percentage points in the 12 months to the June quarter 2024, </w:t>
      </w:r>
      <w:proofErr w:type="gramStart"/>
      <w:r w:rsidRPr="00DD4C71">
        <w:t>and also</w:t>
      </w:r>
      <w:proofErr w:type="gramEnd"/>
      <w:r w:rsidRPr="00DD4C71">
        <w:t xml:space="preserve"> over the quarter to June 2024. </w:t>
      </w:r>
    </w:p>
    <w:p w14:paraId="0FA83162" w14:textId="77777777" w:rsidR="006A55BC" w:rsidRPr="00DD4C71" w:rsidRDefault="006A55BC" w:rsidP="001260BA"/>
    <w:p w14:paraId="1E9C4AD7" w14:textId="77777777" w:rsidR="00DC37EF" w:rsidRDefault="001260BA" w:rsidP="00DC37EF">
      <w:pPr>
        <w:pStyle w:val="ChartandTablelabel"/>
        <w:keepNext/>
        <w:keepLines/>
        <w:rPr>
          <w:rFonts w:asciiTheme="minorHAnsi" w:hAnsiTheme="minorHAnsi"/>
          <w:lang w:val="en-AU"/>
        </w:rPr>
      </w:pPr>
      <w:r w:rsidRPr="00DD4C71">
        <w:rPr>
          <w:rFonts w:asciiTheme="minorHAnsi" w:hAnsiTheme="minorHAnsi"/>
          <w:lang w:val="en-AU"/>
        </w:rPr>
        <w:lastRenderedPageBreak/>
        <w:t xml:space="preserve">Figure </w:t>
      </w:r>
      <w:r w:rsidR="003B267A">
        <w:rPr>
          <w:rFonts w:asciiTheme="minorHAnsi" w:hAnsiTheme="minorHAnsi"/>
          <w:lang w:val="en-AU"/>
        </w:rPr>
        <w:t>8</w:t>
      </w:r>
      <w:r w:rsidRPr="00DD4C71">
        <w:rPr>
          <w:rFonts w:asciiTheme="minorHAnsi" w:hAnsiTheme="minorHAnsi"/>
          <w:lang w:val="en-AU"/>
        </w:rPr>
        <w:t>: Recruitment rate (proportion of employers currently recruiting or who recruited in the past month) by state, June quarter 2023 to June quarter 2024</w:t>
      </w:r>
    </w:p>
    <w:p w14:paraId="2B8DAF36" w14:textId="0DC1E56B" w:rsidR="001260BA" w:rsidRPr="00DD4C71" w:rsidRDefault="00D5751F" w:rsidP="00DC37EF">
      <w:pPr>
        <w:pStyle w:val="ChartandTablelabel"/>
        <w:keepNext/>
        <w:keepLines/>
        <w:jc w:val="center"/>
        <w:rPr>
          <w:rFonts w:asciiTheme="minorHAnsi" w:hAnsiTheme="minorHAnsi"/>
          <w:lang w:val="en-AU"/>
        </w:rPr>
      </w:pPr>
      <w:r w:rsidRPr="00D5751F">
        <w:rPr>
          <w:noProof/>
        </w:rPr>
        <w:drawing>
          <wp:inline distT="0" distB="0" distL="0" distR="0" wp14:anchorId="03138BF0" wp14:editId="42B3009D">
            <wp:extent cx="5581650" cy="2876550"/>
            <wp:effectExtent l="0" t="0" r="0" b="0"/>
            <wp:docPr id="574694820" name="Picture 1" descr="A bar chart showing the recruitment rate for 5 States - New South Wales, Victoria, Queensland, South Australia, Western Australia and Tasmania. For each state, a bar is shown for every quarter over the past year (June 2023 to June 2024). Over this period the recruitment rate decreased in New South Wales, Victoria, Queensland and Western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694820" name="Picture 1" descr="A bar chart showing the recruitment rate for 5 States - New South Wales, Victoria, Queensland, South Australia, Western Australia and Tasmania. For each state, a bar is shown for every quarter over the past year (June 2023 to June 2024). Over this period the recruitment rate decreased in New South Wales, Victoria, Queensland and Western Australia."/>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581650" cy="2876550"/>
                    </a:xfrm>
                    <a:prstGeom prst="rect">
                      <a:avLst/>
                    </a:prstGeom>
                    <a:noFill/>
                    <a:ln>
                      <a:noFill/>
                    </a:ln>
                  </pic:spPr>
                </pic:pic>
              </a:graphicData>
            </a:graphic>
          </wp:inline>
        </w:drawing>
      </w:r>
    </w:p>
    <w:p w14:paraId="22C78EF2" w14:textId="77777777" w:rsidR="001260BA" w:rsidRPr="006D4B28" w:rsidRDefault="001260BA" w:rsidP="006D4B28">
      <w:pPr>
        <w:pStyle w:val="Source"/>
      </w:pPr>
      <w:r w:rsidRPr="006D4B28">
        <w:t>Source: JSA, Recruitment Experiences and Outlook Survey, June 2024.</w:t>
      </w:r>
      <w:r w:rsidRPr="006D4B28">
        <w:br/>
        <w:t>Note: Data for Australian Capital Territory and Northern Territory are unavailable on quarterly basis, due to small sample sizes.</w:t>
      </w:r>
    </w:p>
    <w:p w14:paraId="1E4F69FE" w14:textId="77777777" w:rsidR="0080312C" w:rsidRPr="00DD4C71" w:rsidRDefault="0080312C" w:rsidP="001260BA"/>
    <w:p w14:paraId="38811CF8" w14:textId="60C08301" w:rsidR="00B40D9D" w:rsidRPr="00DD4C71" w:rsidRDefault="00B40D9D" w:rsidP="00B40D9D">
      <w:pPr>
        <w:pStyle w:val="ChartandTablelabel"/>
        <w:rPr>
          <w:rFonts w:asciiTheme="minorHAnsi" w:hAnsiTheme="minorHAnsi"/>
          <w:lang w:val="en-AU"/>
        </w:rPr>
      </w:pPr>
      <w:r w:rsidRPr="00DD4C71">
        <w:rPr>
          <w:rFonts w:asciiTheme="minorHAnsi" w:hAnsiTheme="minorHAnsi"/>
          <w:lang w:val="en-AU"/>
        </w:rPr>
        <w:t xml:space="preserve">Figure </w:t>
      </w:r>
      <w:r w:rsidR="003B267A">
        <w:rPr>
          <w:rFonts w:asciiTheme="minorHAnsi" w:hAnsiTheme="minorHAnsi"/>
          <w:lang w:val="en-AU"/>
        </w:rPr>
        <w:t>9</w:t>
      </w:r>
      <w:r w:rsidRPr="00DD4C71">
        <w:rPr>
          <w:rFonts w:asciiTheme="minorHAnsi" w:hAnsiTheme="minorHAnsi"/>
          <w:lang w:val="en-AU"/>
        </w:rPr>
        <w:t>: Recruitment difficulty rate by state, June quarter 2023 to June quarter 2024</w:t>
      </w:r>
    </w:p>
    <w:p w14:paraId="429DC307" w14:textId="13347682" w:rsidR="004E3135" w:rsidRPr="00DD4C71" w:rsidRDefault="00DF652E" w:rsidP="002D22CA">
      <w:pPr>
        <w:jc w:val="center"/>
      </w:pPr>
      <w:r w:rsidRPr="00DF652E">
        <w:rPr>
          <w:noProof/>
        </w:rPr>
        <w:drawing>
          <wp:inline distT="0" distB="0" distL="0" distR="0" wp14:anchorId="2A5A702A" wp14:editId="70357AD7">
            <wp:extent cx="5581650" cy="2876550"/>
            <wp:effectExtent l="0" t="0" r="0" b="0"/>
            <wp:docPr id="1310842002" name="Picture 2" descr="A bar chart showing the recruitment difficulty rate for 5 States - New South Wales, Victoria, Queensland, South Australia, Western Australia and Tasmania. For each state, a bar is shown for every quarter over the past year (June 2023 to June 2024). Over this period the recruitment difficulty rate decreased in all the st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842002" name="Picture 2" descr="A bar chart showing the recruitment difficulty rate for 5 States - New South Wales, Victoria, Queensland, South Australia, Western Australia and Tasmania. For each state, a bar is shown for every quarter over the past year (June 2023 to June 2024). Over this period the recruitment difficulty rate decreased in all the state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581650" cy="2876550"/>
                    </a:xfrm>
                    <a:prstGeom prst="rect">
                      <a:avLst/>
                    </a:prstGeom>
                    <a:noFill/>
                    <a:ln>
                      <a:noFill/>
                    </a:ln>
                  </pic:spPr>
                </pic:pic>
              </a:graphicData>
            </a:graphic>
          </wp:inline>
        </w:drawing>
      </w:r>
    </w:p>
    <w:p w14:paraId="0CC26FE1" w14:textId="77777777" w:rsidR="00B40D9D" w:rsidRPr="00DD4C71" w:rsidRDefault="00B40D9D" w:rsidP="006D4B28">
      <w:pPr>
        <w:pStyle w:val="Source"/>
      </w:pPr>
      <w:r w:rsidRPr="00DD4C71">
        <w:t>Source: JSA, Recruitment Experiences and Outlook Survey, June 2024.</w:t>
      </w:r>
      <w:r w:rsidRPr="00DD4C71">
        <w:br/>
        <w:t>Note: Data for the Australian Capital Territory and the Northern Territory are not available on a quarterly basis, due to small sample sizes.</w:t>
      </w:r>
    </w:p>
    <w:p w14:paraId="242DB0E5" w14:textId="7F9F7FBF" w:rsidR="00134302" w:rsidRPr="00155889" w:rsidRDefault="00B40D9D" w:rsidP="006D4B28">
      <w:pPr>
        <w:pStyle w:val="Source"/>
      </w:pPr>
      <w:r w:rsidRPr="00155889">
        <w:t>*Interpret with caution due to low sample size</w:t>
      </w:r>
      <w:r w:rsidR="000048C4" w:rsidRPr="00155889">
        <w:t>.</w:t>
      </w:r>
      <w:bookmarkStart w:id="24" w:name="_Toc151365189"/>
      <w:bookmarkEnd w:id="23"/>
    </w:p>
    <w:p w14:paraId="31D39CF8" w14:textId="77777777" w:rsidR="00134302" w:rsidRDefault="00134302" w:rsidP="00134302"/>
    <w:p w14:paraId="1D4B16EE" w14:textId="19ECF083" w:rsidR="00134302" w:rsidRDefault="00134302" w:rsidP="00134302">
      <w:r w:rsidRPr="00DD4C71">
        <w:t>Quarterly r</w:t>
      </w:r>
      <w:r w:rsidRPr="00DD4C71">
        <w:rPr>
          <w:rStyle w:val="Strong"/>
          <w:b w:val="0"/>
          <w:bCs w:val="0"/>
        </w:rPr>
        <w:t>ecruitment difficulty</w:t>
      </w:r>
      <w:r w:rsidRPr="00DD4C71">
        <w:t xml:space="preserve"> decreased in all states over the year (Figure </w:t>
      </w:r>
      <w:r>
        <w:t>9</w:t>
      </w:r>
      <w:r w:rsidRPr="00DD4C71">
        <w:t xml:space="preserve">). Tasmania (61%) recorded the highest level of recruitment difficulty for the June quarter 2024, while Queensland (48%) recorded the lowest difficulty rate. The largest decline over the year </w:t>
      </w:r>
      <w:r w:rsidRPr="00DD4C71">
        <w:lastRenderedPageBreak/>
        <w:t>occurred in Queensland, down 13 percentage points over the year, it declined by a further 8 percentage points from the March quarter 2024.</w:t>
      </w:r>
    </w:p>
    <w:p w14:paraId="64BB67A0" w14:textId="77777777" w:rsidR="00134302" w:rsidRDefault="00134302" w:rsidP="00134302">
      <w:r w:rsidRPr="00DD4C71">
        <w:t xml:space="preserve">Recruitment difficulty rates generally tend to be higher in regions that are further away from large population hubs. Figure </w:t>
      </w:r>
      <w:r>
        <w:t>10</w:t>
      </w:r>
      <w:r w:rsidRPr="00DD4C71">
        <w:t xml:space="preserve"> shows recruitment difficulty recorded in the 12 months to June 2024, for each Statistical Area Level 4 region and Greater Capital City area. The higher recruitment difficulty rates in more remote areas can sometimes be explained by tighter labour market conditions, as employers encounter greater challenges finding suitably qualified staff. This can also be further exacerbated in some areas </w:t>
      </w:r>
      <w:proofErr w:type="gramStart"/>
      <w:r w:rsidRPr="00DD4C71">
        <w:t>as a result of</w:t>
      </w:r>
      <w:proofErr w:type="gramEnd"/>
      <w:r w:rsidRPr="00DD4C71">
        <w:t xml:space="preserve"> a narrower industry composition, with a focus on mining or agriculture for example, and the consequent need for specialised skills.</w:t>
      </w:r>
    </w:p>
    <w:p w14:paraId="4C84220D" w14:textId="77777777" w:rsidR="00134302" w:rsidRPr="00134302" w:rsidRDefault="00134302" w:rsidP="0066718D"/>
    <w:p w14:paraId="6EB8B617" w14:textId="2DF59D9F" w:rsidR="0039732B" w:rsidRDefault="0039732B" w:rsidP="0039732B">
      <w:pPr>
        <w:pStyle w:val="ChartandTablelabel"/>
        <w:rPr>
          <w:rFonts w:asciiTheme="minorHAnsi" w:hAnsiTheme="minorHAnsi"/>
          <w:lang w:val="en-AU"/>
        </w:rPr>
      </w:pPr>
      <w:r w:rsidRPr="00DD4C71">
        <w:rPr>
          <w:rFonts w:asciiTheme="minorHAnsi" w:hAnsiTheme="minorHAnsi"/>
          <w:lang w:val="en-AU"/>
        </w:rPr>
        <w:t xml:space="preserve">Figure </w:t>
      </w:r>
      <w:r w:rsidR="003B267A">
        <w:rPr>
          <w:rFonts w:asciiTheme="minorHAnsi" w:hAnsiTheme="minorHAnsi"/>
          <w:lang w:val="en-AU"/>
        </w:rPr>
        <w:t>10</w:t>
      </w:r>
      <w:r w:rsidRPr="00DD4C71">
        <w:rPr>
          <w:rFonts w:asciiTheme="minorHAnsi" w:hAnsiTheme="minorHAnsi"/>
          <w:lang w:val="en-AU"/>
        </w:rPr>
        <w:t>: Recruitment difficulty rates, 12 months to June 2024 – heatmap of SA4 regions and Greater Capital City areas</w:t>
      </w:r>
    </w:p>
    <w:p w14:paraId="0346A1C7" w14:textId="1C43F966" w:rsidR="00B16C4C" w:rsidRPr="0066718D" w:rsidRDefault="00B16C4C" w:rsidP="0039732B">
      <w:pPr>
        <w:pStyle w:val="ChartandTablelabel"/>
        <w:rPr>
          <w:rFonts w:asciiTheme="minorHAnsi" w:hAnsiTheme="minorHAnsi"/>
          <w:sz w:val="22"/>
          <w:szCs w:val="24"/>
          <w:lang w:val="en-AU"/>
        </w:rPr>
      </w:pPr>
    </w:p>
    <w:p w14:paraId="35C3DC93" w14:textId="2F7010A0" w:rsidR="0039732B" w:rsidRPr="00DD4C71" w:rsidRDefault="0039732B" w:rsidP="0039732B">
      <w:pPr>
        <w:spacing w:after="0"/>
      </w:pPr>
      <w:r w:rsidRPr="00DD4C71">
        <w:rPr>
          <w:noProof/>
        </w:rPr>
        <w:drawing>
          <wp:inline distT="0" distB="0" distL="0" distR="0" wp14:anchorId="16282E8C" wp14:editId="791E6E51">
            <wp:extent cx="5418000" cy="3808800"/>
            <wp:effectExtent l="0" t="0" r="0" b="1270"/>
            <wp:docPr id="1507894779" name="Picture 1" descr="A map of Australia with different coloured areas which represent the recruitment difficulty rate. It shows that moving away from the Greater Capital Cities increases recruitment difficul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894779" name="Picture 1" descr="A map of Australia with different coloured areas which represent the recruitment difficulty rate. It shows that moving away from the Greater Capital Cities increases recruitment difficulty."/>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418000" cy="3808800"/>
                    </a:xfrm>
                    <a:prstGeom prst="rect">
                      <a:avLst/>
                    </a:prstGeom>
                    <a:noFill/>
                    <a:ln>
                      <a:noFill/>
                    </a:ln>
                  </pic:spPr>
                </pic:pic>
              </a:graphicData>
            </a:graphic>
          </wp:inline>
        </w:drawing>
      </w:r>
    </w:p>
    <w:p w14:paraId="35F1BE8E" w14:textId="593D059A" w:rsidR="0039732B" w:rsidRPr="00DD4C71" w:rsidRDefault="0039732B" w:rsidP="0039732B">
      <w:pPr>
        <w:pStyle w:val="Source"/>
        <w:spacing w:before="0"/>
      </w:pPr>
      <w:bookmarkStart w:id="25" w:name="_Hlk140053166"/>
      <w:r w:rsidRPr="00DD4C71">
        <w:t xml:space="preserve">Source: JSA, Recruitment Experiences and Outlook Survey, June 2024. </w:t>
      </w:r>
      <w:r w:rsidRPr="00DD4C71">
        <w:br/>
        <w:t>Note: Results for rest of state SA4s are indicative only, due to small sample sizes for some regions.</w:t>
      </w:r>
      <w:bookmarkEnd w:id="25"/>
    </w:p>
    <w:p w14:paraId="014E3B9D" w14:textId="77777777" w:rsidR="008E29A7" w:rsidRPr="00DD4C71" w:rsidRDefault="008E29A7" w:rsidP="00D80281"/>
    <w:p w14:paraId="67AE1803" w14:textId="77777777" w:rsidR="00F71E2C" w:rsidRPr="00DD4C71" w:rsidRDefault="00F71E2C">
      <w:pPr>
        <w:spacing w:after="160" w:line="259" w:lineRule="auto"/>
        <w:rPr>
          <w:rFonts w:asciiTheme="minorHAnsi" w:hAnsiTheme="minorHAnsi"/>
        </w:rPr>
      </w:pPr>
      <w:bookmarkStart w:id="26" w:name="_Toc151365197"/>
      <w:bookmarkStart w:id="27" w:name="_Toc152324314"/>
      <w:bookmarkStart w:id="28" w:name="_Toc151365198"/>
      <w:bookmarkStart w:id="29" w:name="_Toc148899378"/>
      <w:bookmarkEnd w:id="24"/>
      <w:r w:rsidRPr="00DD4C71">
        <w:rPr>
          <w:rFonts w:asciiTheme="minorHAnsi" w:hAnsiTheme="minorHAnsi"/>
        </w:rPr>
        <w:br w:type="page"/>
      </w:r>
    </w:p>
    <w:bookmarkStart w:id="30" w:name="_Toc151365204"/>
    <w:bookmarkStart w:id="31" w:name="_Toc152324321"/>
    <w:bookmarkStart w:id="32" w:name="_Toc166140515"/>
    <w:bookmarkStart w:id="33" w:name="_Toc174691126"/>
    <w:p w14:paraId="763C356D" w14:textId="394F9B82" w:rsidR="00F71E2C" w:rsidRPr="00DD4C71" w:rsidRDefault="00F71E2C" w:rsidP="00F71E2C">
      <w:pPr>
        <w:pStyle w:val="Heading2"/>
      </w:pPr>
      <w:r w:rsidRPr="00DD4C71">
        <w:rPr>
          <w:noProof/>
          <w:color w:val="2B579A"/>
          <w:shd w:val="clear" w:color="auto" w:fill="E6E6E6"/>
          <w14:ligatures w14:val="standard"/>
          <w14:numForm w14:val="lining"/>
          <w14:numSpacing w14:val="proportional"/>
        </w:rPr>
        <w:lastRenderedPageBreak/>
        <mc:AlternateContent>
          <mc:Choice Requires="wpg">
            <w:drawing>
              <wp:anchor distT="0" distB="0" distL="114300" distR="114300" simplePos="0" relativeHeight="251674112" behindDoc="1" locked="0" layoutInCell="1" allowOverlap="1" wp14:anchorId="71058373" wp14:editId="0C19A2D6">
                <wp:simplePos x="0" y="0"/>
                <wp:positionH relativeFrom="margin">
                  <wp:posOffset>-323850</wp:posOffset>
                </wp:positionH>
                <wp:positionV relativeFrom="page">
                  <wp:posOffset>628650</wp:posOffset>
                </wp:positionV>
                <wp:extent cx="6388589" cy="9220200"/>
                <wp:effectExtent l="0" t="0" r="0" b="0"/>
                <wp:wrapNone/>
                <wp:docPr id="407028653" name="Group 40702865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388589" cy="9220200"/>
                          <a:chOff x="0" y="-2"/>
                          <a:chExt cx="5577937" cy="3722402"/>
                        </a:xfrm>
                      </wpg:grpSpPr>
                      <wps:wsp>
                        <wps:cNvPr id="1373675626" name="Rectangle 1373675626">
                          <a:extLst>
                            <a:ext uri="{C183D7F6-B498-43B3-948B-1728B52AA6E4}">
                              <adec:decorative xmlns:adec="http://schemas.microsoft.com/office/drawing/2017/decorative" val="1"/>
                            </a:ext>
                          </a:extLst>
                        </wps:cNvPr>
                        <wps:cNvSpPr/>
                        <wps:spPr>
                          <a:xfrm>
                            <a:off x="0" y="-2"/>
                            <a:ext cx="5577937" cy="3722402"/>
                          </a:xfrm>
                          <a:prstGeom prst="rect">
                            <a:avLst/>
                          </a:prstGeom>
                          <a:solidFill>
                            <a:schemeClr val="bg1">
                              <a:lumMod val="95000"/>
                            </a:schemeClr>
                          </a:solidFill>
                          <a:ln>
                            <a:noFill/>
                          </a:ln>
                          <a:effectLst/>
                        </wps:spPr>
                        <wps:style>
                          <a:lnRef idx="2">
                            <a:schemeClr val="accent1">
                              <a:shade val="50000"/>
                            </a:schemeClr>
                          </a:lnRef>
                          <a:fillRef idx="1">
                            <a:schemeClr val="accent1"/>
                          </a:fillRef>
                          <a:effectRef idx="0">
                            <a:scrgbClr r="0" g="0" b="0"/>
                          </a:effectRef>
                          <a:fontRef idx="minor">
                            <a:schemeClr val="lt1"/>
                          </a:fontRef>
                        </wps:style>
                        <wps:txbx>
                          <w:txbxContent>
                            <w:p w14:paraId="1CDC21EE" w14:textId="66F24548" w:rsidR="00F71E2C" w:rsidRPr="00B93C08" w:rsidRDefault="00F71E2C" w:rsidP="00F71E2C">
                              <w:pPr>
                                <w:rPr>
                                  <w14:numForm w14:val="lining"/>
                                  <w14:numSpacing w14:val="proportional"/>
                                </w:rPr>
                              </w:pPr>
                            </w:p>
                          </w:txbxContent>
                        </wps:txbx>
                        <wps:bodyPr spcFirstLastPara="0" wrap="square" lIns="288000" tIns="108000" rIns="144000" bIns="108000" anchor="t">
                          <a:noAutofit/>
                        </wps:bodyPr>
                      </wps:wsp>
                      <wps:wsp>
                        <wps:cNvPr id="1916986810" name="Rectangle 1916986810"/>
                        <wps:cNvSpPr/>
                        <wps:spPr>
                          <a:xfrm>
                            <a:off x="0" y="0"/>
                            <a:ext cx="133350" cy="372240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1058373" id="Group 407028653" o:spid="_x0000_s1027" alt="&quot;&quot;" style="position:absolute;margin-left:-25.5pt;margin-top:49.5pt;width:503.05pt;height:726pt;z-index:-251642368;mso-position-horizontal-relative:margin;mso-position-vertical-relative:page" coordorigin="" coordsize="55779,37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">
                <v:rect id="Rectangle 1373675626" o:spid="_x0000_s1028" alt="&quot;&quot;" style="position:absolute;width:55779;height:37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" fillcolor="#f2f2f2 [3052]" stroked="f" strokeweight="1pt">
                  <v:textbox inset="8mm,3mm,4mm,3mm">
                    <w:txbxContent>
                      <w:p w14:paraId="1CDC21EE" w14:textId="66F24548" w:rsidR="00F71E2C" w:rsidRPr="00B93C08" w:rsidRDefault="00F71E2C" w:rsidP="00F71E2C">
                        <w:pPr>
                          <w:rPr>
                            <w14:numForm w14:val="lining"/>
                            <w14:numSpacing w14:val="proportional"/>
                          </w:rPr>
                        </w:pPr>
                      </w:p>
                    </w:txbxContent>
                  </v:textbox>
                </v:rect>
                <v:rect id="Rectangle 1916986810" o:spid="_x0000_s1029" style="position:absolute;width:1333;height:372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" fillcolor="#d2de5a [3214]" stroked="f" strokeweight="1pt"/>
                <w10:wrap anchorx="margin" anchory="page"/>
              </v:group>
            </w:pict>
          </mc:Fallback>
        </mc:AlternateContent>
      </w:r>
      <w:r w:rsidRPr="00DD4C71">
        <w:t xml:space="preserve">In focus: </w:t>
      </w:r>
      <w:bookmarkEnd w:id="30"/>
      <w:bookmarkEnd w:id="31"/>
      <w:bookmarkEnd w:id="32"/>
      <w:r w:rsidRPr="00DD4C71">
        <w:t>Examining fill rates and hourly earnings of occupations</w:t>
      </w:r>
      <w:bookmarkEnd w:id="33"/>
    </w:p>
    <w:p w14:paraId="3B9A529E" w14:textId="5A45E608" w:rsidR="00F71E2C" w:rsidRPr="00DD4C71" w:rsidRDefault="00F71E2C" w:rsidP="00F71E2C">
      <w:r w:rsidRPr="00DD4C71">
        <w:t>In this piece, we explore the relationship between hourly earnings and fill rates of occupations. Doing so, we unpack some insights on traits that are similar and different across the various occupation groups</w:t>
      </w:r>
    </w:p>
    <w:p w14:paraId="27CEBB3E" w14:textId="6E8A3FE1" w:rsidR="00227575" w:rsidRDefault="006D20E7" w:rsidP="006D20E7">
      <w:pPr>
        <w:rPr>
          <w:rFonts w:cs="Arial"/>
        </w:rPr>
      </w:pPr>
      <w:bookmarkStart w:id="34" w:name="_Ref173249958"/>
      <w:bookmarkStart w:id="35" w:name="_Ref173226377"/>
      <w:r w:rsidRPr="00DD4C71">
        <w:rPr>
          <w:rFonts w:cs="Arial"/>
        </w:rPr>
        <w:t>As the data is standardised, above average values of fill rates and hourly earnings are represented by positive values along the horizontal and vertical axis, respectively. Similarly, below average values of fill rates and hourly earnings are represented by negative values along the horizontal and vertical axis, respectively.</w:t>
      </w:r>
    </w:p>
    <w:p w14:paraId="27E03EAD" w14:textId="77777777" w:rsidR="00227575" w:rsidRDefault="00227575" w:rsidP="006C18BD">
      <w:pPr>
        <w:spacing w:after="0"/>
        <w:rPr>
          <w:rFonts w:cs="Arial"/>
        </w:rPr>
      </w:pPr>
    </w:p>
    <w:p w14:paraId="562A881F" w14:textId="0F210179" w:rsidR="00227575" w:rsidRPr="00227575" w:rsidRDefault="00227575" w:rsidP="006D20E7">
      <w:pPr>
        <w:rPr>
          <w:rFonts w:cs="Arial"/>
          <w:sz w:val="18"/>
          <w:szCs w:val="18"/>
        </w:rPr>
      </w:pPr>
      <w:r w:rsidRPr="00227575">
        <w:rPr>
          <w:sz w:val="18"/>
          <w:szCs w:val="18"/>
        </w:rPr>
        <w:t>Figure 11</w:t>
      </w:r>
      <w:r w:rsidRPr="00227575">
        <w:rPr>
          <w:rFonts w:cs="Arial"/>
          <w:sz w:val="18"/>
          <w:szCs w:val="18"/>
        </w:rPr>
        <w:t>: Standardised hourly earnings and fill rates at 4-digit ANZSCO, by major occupation group, 2021-2</w:t>
      </w:r>
      <w:r>
        <w:rPr>
          <w:rFonts w:cs="Arial"/>
          <w:sz w:val="18"/>
          <w:szCs w:val="18"/>
        </w:rPr>
        <w:t>3</w:t>
      </w:r>
    </w:p>
    <w:p w14:paraId="17CC54B0" w14:textId="4C80B21D" w:rsidR="00227575" w:rsidRDefault="00227575" w:rsidP="006D20E7">
      <w:pPr>
        <w:rPr>
          <w:rFonts w:cs="Arial"/>
        </w:rPr>
      </w:pPr>
      <w:r w:rsidRPr="00DD4C71">
        <w:rPr>
          <w:noProof/>
        </w:rPr>
        <w:drawing>
          <wp:inline distT="0" distB="0" distL="0" distR="0" wp14:anchorId="003DD496" wp14:editId="101FC5A0">
            <wp:extent cx="5731510" cy="2868930"/>
            <wp:effectExtent l="0" t="0" r="2540" b="7620"/>
            <wp:docPr id="2066359245" name="Picture 1" descr="A scatter plot with hourly earnings on the vertical axis and fill rates on the horizontal axis (both standardised). It shows some occupations such as Professionals and Managers tend to have above average fill rates and hourly earnings, while some occupations such as Technicians and Trades Workers tend to have below average hourly earnings and fill r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359245" name="Picture 1" descr="A scatter plot with hourly earnings on the vertical axis and fill rates on the horizontal axis (both standardised). It shows some occupations such as Professionals and Managers tend to have above average fill rates and hourly earnings, while some occupations such as Technicians and Trades Workers tend to have below average hourly earnings and fill rates."/>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731510" cy="2868930"/>
                    </a:xfrm>
                    <a:prstGeom prst="rect">
                      <a:avLst/>
                    </a:prstGeom>
                    <a:noFill/>
                    <a:ln>
                      <a:noFill/>
                    </a:ln>
                  </pic:spPr>
                </pic:pic>
              </a:graphicData>
            </a:graphic>
          </wp:inline>
        </w:drawing>
      </w:r>
    </w:p>
    <w:p w14:paraId="3664A5C6" w14:textId="77777777" w:rsidR="00227575" w:rsidRPr="00DD4C71" w:rsidRDefault="00227575" w:rsidP="006D4B28">
      <w:pPr>
        <w:pStyle w:val="Source"/>
      </w:pPr>
      <w:r w:rsidRPr="00DD4C71">
        <w:t xml:space="preserve">Source: Jobs and Skills Australia, Survey of Employers who Recently Advertised (SERA), 2021-23 financial year; Australian Bureau of Statistics, Characteristics of Employment, August 2023, </w:t>
      </w:r>
      <w:proofErr w:type="spellStart"/>
      <w:r w:rsidRPr="00DD4C71">
        <w:t>TableBuilder</w:t>
      </w:r>
      <w:proofErr w:type="spellEnd"/>
      <w:r w:rsidRPr="00DD4C71">
        <w:t>.</w:t>
      </w:r>
    </w:p>
    <w:p w14:paraId="48AB7784" w14:textId="77777777" w:rsidR="00227575" w:rsidRDefault="00227575" w:rsidP="006C18BD">
      <w:pPr>
        <w:spacing w:after="0"/>
        <w:rPr>
          <w:rFonts w:cs="Arial"/>
        </w:rPr>
      </w:pPr>
    </w:p>
    <w:p w14:paraId="2900324A" w14:textId="7514E601" w:rsidR="006D20E7" w:rsidRPr="00DD4C71" w:rsidRDefault="006D20E7" w:rsidP="006D20E7">
      <w:pPr>
        <w:rPr>
          <w:rFonts w:cs="Arial"/>
        </w:rPr>
      </w:pPr>
      <w:r w:rsidRPr="00DD4C71">
        <w:rPr>
          <w:rFonts w:cs="Arial"/>
        </w:rPr>
        <w:t xml:space="preserve">When the data is grouped in the above manner, some notable similarities and differences between some major occupation groups are apparent: </w:t>
      </w:r>
    </w:p>
    <w:p w14:paraId="167EB235" w14:textId="1F51B443" w:rsidR="006C18BD" w:rsidRDefault="006C18BD" w:rsidP="006D20E7">
      <w:pPr>
        <w:pStyle w:val="ListParagraph"/>
        <w:numPr>
          <w:ilvl w:val="0"/>
          <w:numId w:val="35"/>
        </w:numPr>
        <w:rPr>
          <w:rFonts w:cs="Arial"/>
        </w:rPr>
      </w:pPr>
      <w:r>
        <w:rPr>
          <w:rFonts w:cs="Arial"/>
        </w:rPr>
        <w:t xml:space="preserve">The top right quadrant </w:t>
      </w:r>
      <w:r w:rsidRPr="00F31CFD">
        <w:rPr>
          <w:rFonts w:cs="Arial"/>
        </w:rPr>
        <w:t xml:space="preserve">is dominated by occupations within the Managers and Professionals major groups. </w:t>
      </w:r>
      <w:r w:rsidR="004B34C8">
        <w:rPr>
          <w:rFonts w:cs="Arial"/>
        </w:rPr>
        <w:t xml:space="preserve">This includes </w:t>
      </w:r>
      <w:r w:rsidRPr="00F31CFD">
        <w:rPr>
          <w:rFonts w:cs="Arial"/>
        </w:rPr>
        <w:t>Finance Managers, General Managers, ICT Managers, Policy and Planning Managers and Production Managers.</w:t>
      </w:r>
    </w:p>
    <w:p w14:paraId="62C3B862" w14:textId="20DBD57E" w:rsidR="00F31CFD" w:rsidRPr="006C18BD" w:rsidRDefault="006C18BD" w:rsidP="001E02C6">
      <w:pPr>
        <w:pStyle w:val="ListParagraph"/>
        <w:numPr>
          <w:ilvl w:val="0"/>
          <w:numId w:val="35"/>
        </w:numPr>
        <w:rPr>
          <w:rFonts w:cs="Arial"/>
        </w:rPr>
      </w:pPr>
      <w:r w:rsidRPr="006C18BD">
        <w:rPr>
          <w:rFonts w:cs="Arial"/>
        </w:rPr>
        <w:t xml:space="preserve">In the top left </w:t>
      </w:r>
      <w:r w:rsidR="005A148D" w:rsidRPr="006C18BD">
        <w:rPr>
          <w:rFonts w:cs="Arial"/>
        </w:rPr>
        <w:t>quadrant,</w:t>
      </w:r>
      <w:r w:rsidRPr="006C18BD">
        <w:rPr>
          <w:rFonts w:cs="Arial"/>
        </w:rPr>
        <w:t xml:space="preserve"> t</w:t>
      </w:r>
      <w:r w:rsidR="00F31CFD" w:rsidRPr="006C18BD">
        <w:rPr>
          <w:rFonts w:cs="Arial"/>
        </w:rPr>
        <w:t>here is a cluster of Professionals occupations with below average fill rates but quite high hourly earnings. This characteristic belongs to Health Professional sub-majors such as Midwives, Medical Imagining Professionals, and Medical Resident Officers. These are high skilled occupations with long lead times for training and require a lot of experience.</w:t>
      </w:r>
    </w:p>
    <w:p w14:paraId="592F422C" w14:textId="2F3B6FF0" w:rsidR="00C61B6A" w:rsidRPr="00611670" w:rsidRDefault="00262FF8" w:rsidP="00186110">
      <w:pPr>
        <w:pStyle w:val="ListParagraph"/>
        <w:numPr>
          <w:ilvl w:val="0"/>
          <w:numId w:val="35"/>
        </w:numPr>
      </w:pPr>
      <w:r>
        <w:rPr>
          <w:rFonts w:cs="Arial"/>
        </w:rPr>
        <w:t>The bottom left quadrant, with low fill rates and low earnings</w:t>
      </w:r>
      <w:r w:rsidR="00C61B6A" w:rsidRPr="006C18BD">
        <w:rPr>
          <w:rFonts w:cs="Arial"/>
        </w:rPr>
        <w:t>, is dominated by occupations within Technicians and Trades Workers. Plumbers, Bricklayers and Stonemasons, Plasters, Painters, and Cabinet Makers, lie on the extremes of this quadrant.</w:t>
      </w:r>
      <w:r w:rsidR="00A84360">
        <w:rPr>
          <w:rFonts w:cs="Arial"/>
        </w:rPr>
        <w:t xml:space="preserve"> </w:t>
      </w:r>
    </w:p>
    <w:p w14:paraId="27B348DB" w14:textId="77777777" w:rsidR="00611670" w:rsidRDefault="00611670" w:rsidP="00611670">
      <w:pPr>
        <w:pStyle w:val="ListParagraph"/>
        <w:numPr>
          <w:ilvl w:val="0"/>
          <w:numId w:val="35"/>
        </w:numPr>
      </w:pPr>
      <w:r>
        <w:t>The bottom right quadrant is characterised by o</w:t>
      </w:r>
      <w:r w:rsidRPr="00DD4C71">
        <w:t>ccupations with high fill rates but low earnings</w:t>
      </w:r>
      <w:r>
        <w:t>. O</w:t>
      </w:r>
      <w:r w:rsidRPr="00DD4C71">
        <w:t xml:space="preserve">ccupations within Clerical and Administrative Workers, and Community and Personal Service Workers </w:t>
      </w:r>
      <w:r>
        <w:t xml:space="preserve">occupational groups </w:t>
      </w:r>
      <w:r w:rsidRPr="00DD4C71">
        <w:t xml:space="preserve">appear the most frequently. </w:t>
      </w:r>
    </w:p>
    <w:p w14:paraId="7D83BFB5" w14:textId="77777777" w:rsidR="00611670" w:rsidRDefault="00611670" w:rsidP="00611670">
      <w:pPr>
        <w:pStyle w:val="ListParagraph"/>
        <w:ind w:left="360"/>
      </w:pPr>
    </w:p>
    <w:p w14:paraId="5FF63556" w14:textId="547DDC63" w:rsidR="008564DD" w:rsidRPr="002D355E" w:rsidRDefault="008564DD" w:rsidP="00320647">
      <w:pPr>
        <w:pStyle w:val="Heading1"/>
      </w:pPr>
      <w:bookmarkStart w:id="36" w:name="_Toc151365205"/>
      <w:bookmarkStart w:id="37" w:name="_Toc174691127"/>
      <w:bookmarkEnd w:id="26"/>
      <w:bookmarkEnd w:id="27"/>
      <w:bookmarkEnd w:id="28"/>
      <w:bookmarkEnd w:id="29"/>
      <w:bookmarkEnd w:id="34"/>
      <w:bookmarkEnd w:id="35"/>
      <w:r w:rsidRPr="002D355E">
        <w:lastRenderedPageBreak/>
        <w:t>Jobs and Skills Australia resources</w:t>
      </w:r>
      <w:bookmarkStart w:id="38" w:name="_Hlk150771271"/>
      <w:bookmarkEnd w:id="36"/>
      <w:bookmarkEnd w:id="37"/>
    </w:p>
    <w:p w14:paraId="036902CE" w14:textId="09AC911E" w:rsidR="008564DD" w:rsidRPr="002D355E" w:rsidRDefault="008564DD" w:rsidP="00320647">
      <w:r w:rsidRPr="002D355E">
        <w:t xml:space="preserve">Key data, resources and reports can be found on the </w:t>
      </w:r>
      <w:r w:rsidR="00397229" w:rsidRPr="002D355E">
        <w:t xml:space="preserve">Jobs and Skills Australia </w:t>
      </w:r>
      <w:r w:rsidRPr="002D355E">
        <w:t xml:space="preserve">website: </w:t>
      </w:r>
      <w:hyperlink r:id="rId34" w:history="1">
        <w:r w:rsidRPr="002D355E">
          <w:rPr>
            <w:rStyle w:val="Hyperlink"/>
          </w:rPr>
          <w:t>https://www.jobsandskills.gov.au/</w:t>
        </w:r>
      </w:hyperlink>
    </w:p>
    <w:p w14:paraId="6E9D5527" w14:textId="77777777" w:rsidR="008564DD" w:rsidRPr="002D355E" w:rsidRDefault="008564DD" w:rsidP="00320647"/>
    <w:tbl>
      <w:tblPr>
        <w:tblStyle w:val="JSATable1"/>
        <w:tblW w:w="9006" w:type="dxa"/>
        <w:tblLayout w:type="fixed"/>
        <w:tblLook w:val="0020" w:firstRow="1" w:lastRow="0" w:firstColumn="0" w:lastColumn="0" w:noHBand="0" w:noVBand="0"/>
      </w:tblPr>
      <w:tblGrid>
        <w:gridCol w:w="5529"/>
        <w:gridCol w:w="3477"/>
      </w:tblGrid>
      <w:tr w:rsidR="008564DD" w:rsidRPr="002D355E" w14:paraId="0DFB3118" w14:textId="77777777">
        <w:trPr>
          <w:cnfStyle w:val="100000000000" w:firstRow="1" w:lastRow="0" w:firstColumn="0" w:lastColumn="0" w:oddVBand="0" w:evenVBand="0" w:oddHBand="0" w:evenHBand="0" w:firstRowFirstColumn="0" w:firstRowLastColumn="0" w:lastRowFirstColumn="0" w:lastRowLastColumn="0"/>
          <w:trHeight w:val="400"/>
        </w:trPr>
        <w:tc>
          <w:tcPr>
            <w:tcW w:w="5529" w:type="dxa"/>
            <w:shd w:val="clear" w:color="auto" w:fill="012749"/>
            <w:vAlign w:val="center"/>
          </w:tcPr>
          <w:p w14:paraId="24D89B7A" w14:textId="77777777" w:rsidR="008564DD" w:rsidRPr="002D355E" w:rsidRDefault="008564DD" w:rsidP="00320647">
            <w:pPr>
              <w:spacing w:before="100"/>
              <w:rPr>
                <w:b/>
                <w:bCs/>
                <w:sz w:val="20"/>
                <w:szCs w:val="20"/>
              </w:rPr>
            </w:pPr>
            <w:r w:rsidRPr="002D355E">
              <w:rPr>
                <w:b/>
                <w:bCs/>
                <w:sz w:val="20"/>
                <w:szCs w:val="20"/>
              </w:rPr>
              <w:t>Resource</w:t>
            </w:r>
          </w:p>
        </w:tc>
        <w:tc>
          <w:tcPr>
            <w:tcW w:w="3477" w:type="dxa"/>
            <w:shd w:val="clear" w:color="auto" w:fill="012749"/>
            <w:vAlign w:val="center"/>
          </w:tcPr>
          <w:p w14:paraId="24D156C9" w14:textId="77777777" w:rsidR="008564DD" w:rsidRPr="002D355E" w:rsidRDefault="008564DD" w:rsidP="00320647">
            <w:pPr>
              <w:spacing w:before="100"/>
              <w:rPr>
                <w:b/>
                <w:bCs/>
                <w:sz w:val="20"/>
                <w:szCs w:val="20"/>
              </w:rPr>
            </w:pPr>
            <w:r w:rsidRPr="002D355E">
              <w:rPr>
                <w:b/>
                <w:bCs/>
                <w:sz w:val="20"/>
                <w:szCs w:val="20"/>
              </w:rPr>
              <w:t>Publication notes</w:t>
            </w:r>
          </w:p>
        </w:tc>
      </w:tr>
      <w:tr w:rsidR="008564DD" w:rsidRPr="002D355E" w14:paraId="089DD4E6" w14:textId="77777777">
        <w:trPr>
          <w:trHeight w:val="400"/>
        </w:trPr>
        <w:tc>
          <w:tcPr>
            <w:tcW w:w="5529" w:type="dxa"/>
            <w:vAlign w:val="center"/>
          </w:tcPr>
          <w:p w14:paraId="7897118C" w14:textId="77777777" w:rsidR="008564DD" w:rsidRPr="002D355E" w:rsidRDefault="00C2668F" w:rsidP="00320647">
            <w:pPr>
              <w:rPr>
                <w:sz w:val="20"/>
                <w:szCs w:val="20"/>
              </w:rPr>
            </w:pPr>
            <w:hyperlink r:id="rId35" w:history="1">
              <w:r w:rsidR="008564DD" w:rsidRPr="002D355E">
                <w:rPr>
                  <w:rStyle w:val="Hyperlink"/>
                  <w:sz w:val="20"/>
                  <w:szCs w:val="20"/>
                </w:rPr>
                <w:t>Internet Vacancy Index</w:t>
              </w:r>
            </w:hyperlink>
            <w:r w:rsidR="008564DD" w:rsidRPr="002D355E">
              <w:rPr>
                <w:sz w:val="20"/>
                <w:szCs w:val="20"/>
              </w:rPr>
              <w:t xml:space="preserve"> </w:t>
            </w:r>
          </w:p>
          <w:p w14:paraId="56893207" w14:textId="77777777" w:rsidR="008564DD" w:rsidRPr="002D355E" w:rsidRDefault="008564DD" w:rsidP="00320647">
            <w:pPr>
              <w:rPr>
                <w:sz w:val="20"/>
                <w:szCs w:val="20"/>
              </w:rPr>
            </w:pPr>
            <w:r w:rsidRPr="002D355E">
              <w:rPr>
                <w:sz w:val="20"/>
                <w:szCs w:val="20"/>
              </w:rPr>
              <w:t>The Internet Vacancy Index (IVI) is a monthly count of online job advertisements compiled by Jobs and Skills Australia.</w:t>
            </w:r>
          </w:p>
        </w:tc>
        <w:tc>
          <w:tcPr>
            <w:tcW w:w="3477" w:type="dxa"/>
            <w:vAlign w:val="center"/>
          </w:tcPr>
          <w:p w14:paraId="68510E48" w14:textId="77777777" w:rsidR="008564DD" w:rsidRPr="002D355E" w:rsidRDefault="008564DD" w:rsidP="00320647">
            <w:pPr>
              <w:rPr>
                <w:sz w:val="20"/>
                <w:szCs w:val="20"/>
              </w:rPr>
            </w:pPr>
            <w:r w:rsidRPr="002D355E">
              <w:rPr>
                <w:sz w:val="20"/>
                <w:szCs w:val="20"/>
              </w:rPr>
              <w:t>The Vacancy Report is published on the third Wednesday of the month.</w:t>
            </w:r>
          </w:p>
        </w:tc>
      </w:tr>
      <w:tr w:rsidR="008564DD" w:rsidRPr="002D355E" w14:paraId="11DCC66E" w14:textId="77777777">
        <w:trPr>
          <w:cnfStyle w:val="000000010000" w:firstRow="0" w:lastRow="0" w:firstColumn="0" w:lastColumn="0" w:oddVBand="0" w:evenVBand="0" w:oddHBand="0" w:evenHBand="1" w:firstRowFirstColumn="0" w:firstRowLastColumn="0" w:lastRowFirstColumn="0" w:lastRowLastColumn="0"/>
          <w:trHeight w:val="400"/>
        </w:trPr>
        <w:tc>
          <w:tcPr>
            <w:tcW w:w="5529" w:type="dxa"/>
            <w:vAlign w:val="center"/>
          </w:tcPr>
          <w:p w14:paraId="29FD2EE2" w14:textId="77777777" w:rsidR="008564DD" w:rsidRPr="002D355E" w:rsidRDefault="00C2668F" w:rsidP="00320647">
            <w:pPr>
              <w:rPr>
                <w:sz w:val="20"/>
                <w:szCs w:val="20"/>
              </w:rPr>
            </w:pPr>
            <w:hyperlink r:id="rId36" w:history="1">
              <w:r w:rsidR="008564DD" w:rsidRPr="002D355E">
                <w:rPr>
                  <w:rStyle w:val="Hyperlink"/>
                  <w:sz w:val="20"/>
                  <w:szCs w:val="20"/>
                </w:rPr>
                <w:t>Recruitment Experiences and Outlook Survey</w:t>
              </w:r>
            </w:hyperlink>
          </w:p>
          <w:p w14:paraId="70FC57D6" w14:textId="77777777" w:rsidR="008564DD" w:rsidRPr="002D355E" w:rsidRDefault="008564DD" w:rsidP="00320647">
            <w:pPr>
              <w:rPr>
                <w:sz w:val="20"/>
                <w:szCs w:val="20"/>
              </w:rPr>
            </w:pPr>
            <w:r w:rsidRPr="002D355E">
              <w:rPr>
                <w:sz w:val="20"/>
                <w:szCs w:val="20"/>
              </w:rPr>
              <w:t>Survey of at least 1000 employers each month to find out about their experience when recruiting staff.</w:t>
            </w:r>
          </w:p>
        </w:tc>
        <w:tc>
          <w:tcPr>
            <w:tcW w:w="3477" w:type="dxa"/>
            <w:vAlign w:val="center"/>
          </w:tcPr>
          <w:p w14:paraId="1BC28E60" w14:textId="77777777" w:rsidR="008564DD" w:rsidRPr="002D355E" w:rsidRDefault="008564DD" w:rsidP="00320647">
            <w:pPr>
              <w:rPr>
                <w:sz w:val="20"/>
                <w:szCs w:val="20"/>
              </w:rPr>
            </w:pPr>
            <w:r w:rsidRPr="002D355E">
              <w:rPr>
                <w:sz w:val="20"/>
                <w:szCs w:val="20"/>
              </w:rPr>
              <w:t>The Recruitment Insights Report is published on the third Tuesday of the month, while regular special topic Spotlight reports are also published monthly.</w:t>
            </w:r>
          </w:p>
        </w:tc>
      </w:tr>
      <w:tr w:rsidR="008564DD" w:rsidRPr="002D355E" w14:paraId="29B9FE96" w14:textId="77777777">
        <w:trPr>
          <w:trHeight w:val="400"/>
        </w:trPr>
        <w:tc>
          <w:tcPr>
            <w:tcW w:w="5529" w:type="dxa"/>
            <w:vAlign w:val="center"/>
          </w:tcPr>
          <w:p w14:paraId="5DB51D5C" w14:textId="77777777" w:rsidR="008564DD" w:rsidRPr="002D355E" w:rsidRDefault="00C2668F" w:rsidP="00320647">
            <w:pPr>
              <w:rPr>
                <w:sz w:val="20"/>
                <w:szCs w:val="20"/>
              </w:rPr>
            </w:pPr>
            <w:hyperlink r:id="rId37" w:history="1">
              <w:r w:rsidR="008564DD" w:rsidRPr="002D355E">
                <w:rPr>
                  <w:rStyle w:val="Hyperlink"/>
                  <w:sz w:val="20"/>
                  <w:szCs w:val="20"/>
                </w:rPr>
                <w:t>Skill Shortages Analysis</w:t>
              </w:r>
            </w:hyperlink>
          </w:p>
          <w:p w14:paraId="0834437E" w14:textId="77777777" w:rsidR="008564DD" w:rsidRPr="002D355E" w:rsidRDefault="008564DD" w:rsidP="00320647">
            <w:pPr>
              <w:rPr>
                <w:sz w:val="20"/>
                <w:szCs w:val="20"/>
              </w:rPr>
            </w:pPr>
            <w:r w:rsidRPr="002D355E">
              <w:rPr>
                <w:sz w:val="20"/>
                <w:szCs w:val="20"/>
              </w:rPr>
              <w:t>Skills shortage analysis including the annual Skills Priority List (SPL) and reports on Skills Shortages.</w:t>
            </w:r>
          </w:p>
        </w:tc>
        <w:tc>
          <w:tcPr>
            <w:tcW w:w="3477" w:type="dxa"/>
            <w:vAlign w:val="center"/>
          </w:tcPr>
          <w:p w14:paraId="580DEFEB" w14:textId="77777777" w:rsidR="008564DD" w:rsidRPr="002D355E" w:rsidRDefault="008564DD" w:rsidP="00320647">
            <w:pPr>
              <w:rPr>
                <w:sz w:val="20"/>
                <w:szCs w:val="20"/>
              </w:rPr>
            </w:pPr>
            <w:r w:rsidRPr="002D355E">
              <w:rPr>
                <w:sz w:val="20"/>
                <w:szCs w:val="20"/>
              </w:rPr>
              <w:t>The SPL is released annually (around September), while the Skills Shortage Quarterly provides quarterly insights.</w:t>
            </w:r>
          </w:p>
        </w:tc>
      </w:tr>
      <w:tr w:rsidR="008564DD" w:rsidRPr="002D355E" w14:paraId="4AD17AAB" w14:textId="77777777">
        <w:trPr>
          <w:cnfStyle w:val="000000010000" w:firstRow="0" w:lastRow="0" w:firstColumn="0" w:lastColumn="0" w:oddVBand="0" w:evenVBand="0" w:oddHBand="0" w:evenHBand="1" w:firstRowFirstColumn="0" w:firstRowLastColumn="0" w:lastRowFirstColumn="0" w:lastRowLastColumn="0"/>
          <w:trHeight w:val="415"/>
        </w:trPr>
        <w:tc>
          <w:tcPr>
            <w:tcW w:w="5529" w:type="dxa"/>
            <w:vAlign w:val="center"/>
          </w:tcPr>
          <w:p w14:paraId="5F688FC4" w14:textId="77777777" w:rsidR="008564DD" w:rsidRPr="002D355E" w:rsidRDefault="008564DD" w:rsidP="00320647">
            <w:pPr>
              <w:rPr>
                <w:rStyle w:val="Hyperlink"/>
                <w:sz w:val="20"/>
                <w:szCs w:val="20"/>
              </w:rPr>
            </w:pPr>
            <w:r w:rsidRPr="002D355E">
              <w:rPr>
                <w:sz w:val="20"/>
                <w:szCs w:val="20"/>
              </w:rPr>
              <w:fldChar w:fldCharType="begin"/>
            </w:r>
            <w:r w:rsidRPr="002D355E">
              <w:rPr>
                <w:sz w:val="20"/>
                <w:szCs w:val="20"/>
              </w:rPr>
              <w:instrText>HYPERLINK "https://www.jobsandskills.gov.au/data/small-area-labour-markets"</w:instrText>
            </w:r>
            <w:r w:rsidRPr="002D355E">
              <w:rPr>
                <w:sz w:val="20"/>
                <w:szCs w:val="20"/>
              </w:rPr>
            </w:r>
            <w:r w:rsidRPr="002D355E">
              <w:rPr>
                <w:sz w:val="20"/>
                <w:szCs w:val="20"/>
              </w:rPr>
              <w:fldChar w:fldCharType="separate"/>
            </w:r>
            <w:r w:rsidRPr="002D355E">
              <w:rPr>
                <w:rStyle w:val="Hyperlink"/>
                <w:sz w:val="20"/>
                <w:szCs w:val="20"/>
              </w:rPr>
              <w:t>Small Area Labour Markets (SALM)</w:t>
            </w:r>
          </w:p>
          <w:p w14:paraId="496032C9" w14:textId="0E10A304" w:rsidR="008564DD" w:rsidRPr="002D355E" w:rsidRDefault="008564DD" w:rsidP="00320647">
            <w:pPr>
              <w:rPr>
                <w:sz w:val="20"/>
                <w:szCs w:val="20"/>
              </w:rPr>
            </w:pPr>
            <w:r w:rsidRPr="002D355E">
              <w:rPr>
                <w:sz w:val="20"/>
                <w:szCs w:val="20"/>
              </w:rPr>
              <w:fldChar w:fldCharType="end"/>
            </w:r>
            <w:r w:rsidRPr="002D355E">
              <w:rPr>
                <w:sz w:val="20"/>
                <w:szCs w:val="20"/>
              </w:rPr>
              <w:t>Estimates of unemployment and the unemployment rate at the Statistical Area Level 2 (SA2) and Local Government Area (LGA) level</w:t>
            </w:r>
            <w:r w:rsidR="00BF1248" w:rsidRPr="002D355E">
              <w:rPr>
                <w:sz w:val="20"/>
                <w:szCs w:val="20"/>
              </w:rPr>
              <w:t>.</w:t>
            </w:r>
          </w:p>
        </w:tc>
        <w:tc>
          <w:tcPr>
            <w:tcW w:w="3477" w:type="dxa"/>
            <w:vAlign w:val="center"/>
          </w:tcPr>
          <w:p w14:paraId="0A892808" w14:textId="77777777" w:rsidR="008564DD" w:rsidRPr="002D355E" w:rsidRDefault="008564DD" w:rsidP="00320647">
            <w:pPr>
              <w:rPr>
                <w:sz w:val="20"/>
                <w:szCs w:val="20"/>
              </w:rPr>
            </w:pPr>
            <w:r w:rsidRPr="002D355E">
              <w:rPr>
                <w:sz w:val="20"/>
                <w:szCs w:val="20"/>
              </w:rPr>
              <w:t>SALM data are released quarterly.</w:t>
            </w:r>
          </w:p>
        </w:tc>
      </w:tr>
      <w:tr w:rsidR="005A31CD" w:rsidRPr="002D355E" w14:paraId="6502D338" w14:textId="77777777">
        <w:trPr>
          <w:trHeight w:val="400"/>
        </w:trPr>
        <w:tc>
          <w:tcPr>
            <w:tcW w:w="5529" w:type="dxa"/>
            <w:vAlign w:val="center"/>
          </w:tcPr>
          <w:p w14:paraId="45220276" w14:textId="77777777" w:rsidR="005A31CD" w:rsidRPr="002D355E" w:rsidRDefault="00C2668F" w:rsidP="005A31CD">
            <w:pPr>
              <w:rPr>
                <w:sz w:val="20"/>
                <w:szCs w:val="20"/>
              </w:rPr>
            </w:pPr>
            <w:hyperlink r:id="rId38" w:history="1">
              <w:r w:rsidR="005A31CD" w:rsidRPr="002D355E">
                <w:rPr>
                  <w:rStyle w:val="Hyperlink"/>
                  <w:sz w:val="20"/>
                  <w:szCs w:val="20"/>
                </w:rPr>
                <w:t>Jobs and Skills Atlas</w:t>
              </w:r>
            </w:hyperlink>
          </w:p>
          <w:p w14:paraId="1CFC67E4" w14:textId="44C54D1F" w:rsidR="005A31CD" w:rsidRPr="002D355E" w:rsidRDefault="005A31CD" w:rsidP="005A31CD">
            <w:pPr>
              <w:rPr>
                <w:sz w:val="20"/>
                <w:szCs w:val="20"/>
              </w:rPr>
            </w:pPr>
            <w:r w:rsidRPr="002D355E">
              <w:rPr>
                <w:sz w:val="20"/>
                <w:szCs w:val="20"/>
              </w:rPr>
              <w:t>Provides an overview of the labour market at national, state and regional level by occupations, skills and industries.</w:t>
            </w:r>
          </w:p>
        </w:tc>
        <w:tc>
          <w:tcPr>
            <w:tcW w:w="3477" w:type="dxa"/>
            <w:vAlign w:val="center"/>
          </w:tcPr>
          <w:p w14:paraId="1A2A54C5" w14:textId="602C7973" w:rsidR="005A31CD" w:rsidRPr="002D355E" w:rsidRDefault="005A31CD" w:rsidP="005A31CD">
            <w:pPr>
              <w:rPr>
                <w:sz w:val="20"/>
                <w:szCs w:val="20"/>
              </w:rPr>
            </w:pPr>
            <w:r w:rsidRPr="002D355E">
              <w:rPr>
                <w:sz w:val="20"/>
                <w:szCs w:val="20"/>
              </w:rPr>
              <w:t>Atlas will be updated with the data for the previous month, by the last Friday of every month.</w:t>
            </w:r>
          </w:p>
        </w:tc>
      </w:tr>
      <w:tr w:rsidR="005A31CD" w:rsidRPr="002D355E" w14:paraId="0A7916E8" w14:textId="77777777">
        <w:trPr>
          <w:cnfStyle w:val="000000010000" w:firstRow="0" w:lastRow="0" w:firstColumn="0" w:lastColumn="0" w:oddVBand="0" w:evenVBand="0" w:oddHBand="0" w:evenHBand="1" w:firstRowFirstColumn="0" w:firstRowLastColumn="0" w:lastRowFirstColumn="0" w:lastRowLastColumn="0"/>
          <w:trHeight w:val="400"/>
        </w:trPr>
        <w:tc>
          <w:tcPr>
            <w:tcW w:w="5529" w:type="dxa"/>
            <w:vAlign w:val="center"/>
          </w:tcPr>
          <w:p w14:paraId="253C0CCB" w14:textId="77777777" w:rsidR="005A31CD" w:rsidRPr="002D355E" w:rsidRDefault="00C2668F" w:rsidP="005A31CD">
            <w:pPr>
              <w:rPr>
                <w:sz w:val="20"/>
                <w:szCs w:val="20"/>
              </w:rPr>
            </w:pPr>
            <w:hyperlink r:id="rId39" w:history="1">
              <w:r w:rsidR="005A31CD" w:rsidRPr="002D355E">
                <w:rPr>
                  <w:rStyle w:val="Hyperlink"/>
                  <w:sz w:val="20"/>
                  <w:szCs w:val="20"/>
                </w:rPr>
                <w:t>Employment Region Dashboards and Profile</w:t>
              </w:r>
            </w:hyperlink>
          </w:p>
          <w:p w14:paraId="6E2B8925" w14:textId="0BC37D53" w:rsidR="005A31CD" w:rsidRPr="002D355E" w:rsidRDefault="005A31CD" w:rsidP="005A31CD">
            <w:pPr>
              <w:rPr>
                <w:sz w:val="20"/>
                <w:szCs w:val="20"/>
              </w:rPr>
            </w:pPr>
            <w:r w:rsidRPr="002D355E">
              <w:rPr>
                <w:sz w:val="20"/>
                <w:szCs w:val="20"/>
              </w:rPr>
              <w:t>Monthly Labour Market Dashboards, Recruitment Trends and Employer Needs Profiles, and Industry Profiles.</w:t>
            </w:r>
          </w:p>
        </w:tc>
        <w:tc>
          <w:tcPr>
            <w:tcW w:w="3477" w:type="dxa"/>
            <w:vAlign w:val="center"/>
          </w:tcPr>
          <w:p w14:paraId="173940D6" w14:textId="13122982" w:rsidR="005A31CD" w:rsidRPr="002D355E" w:rsidRDefault="005A31CD" w:rsidP="005A31CD">
            <w:pPr>
              <w:rPr>
                <w:sz w:val="20"/>
                <w:szCs w:val="20"/>
              </w:rPr>
            </w:pPr>
          </w:p>
        </w:tc>
      </w:tr>
      <w:tr w:rsidR="005A31CD" w:rsidRPr="002D355E" w14:paraId="7D81A47F" w14:textId="77777777">
        <w:trPr>
          <w:trHeight w:val="400"/>
        </w:trPr>
        <w:tc>
          <w:tcPr>
            <w:tcW w:w="5529" w:type="dxa"/>
            <w:vAlign w:val="center"/>
          </w:tcPr>
          <w:p w14:paraId="65AB87C1" w14:textId="77777777" w:rsidR="005A31CD" w:rsidRPr="002D355E" w:rsidRDefault="00C2668F" w:rsidP="005A31CD">
            <w:pPr>
              <w:rPr>
                <w:sz w:val="20"/>
                <w:szCs w:val="20"/>
              </w:rPr>
            </w:pPr>
            <w:hyperlink r:id="rId40" w:history="1">
              <w:r w:rsidR="005A31CD" w:rsidRPr="002D355E">
                <w:rPr>
                  <w:rStyle w:val="Hyperlink"/>
                  <w:sz w:val="20"/>
                  <w:szCs w:val="20"/>
                </w:rPr>
                <w:t>Nowcast of Employment Region and Occupation (NERO)</w:t>
              </w:r>
            </w:hyperlink>
          </w:p>
          <w:p w14:paraId="0D659C0B" w14:textId="0083F692" w:rsidR="005A31CD" w:rsidRPr="002D355E" w:rsidRDefault="005A31CD" w:rsidP="005A31CD">
            <w:pPr>
              <w:rPr>
                <w:sz w:val="20"/>
                <w:szCs w:val="20"/>
              </w:rPr>
            </w:pPr>
            <w:r w:rsidRPr="002D355E">
              <w:rPr>
                <w:sz w:val="20"/>
                <w:szCs w:val="20"/>
              </w:rPr>
              <w:t>Experimental dataset providing information on employment in 355 occupations across 88 regions in Australia.</w:t>
            </w:r>
          </w:p>
        </w:tc>
        <w:tc>
          <w:tcPr>
            <w:tcW w:w="3477" w:type="dxa"/>
            <w:vAlign w:val="center"/>
          </w:tcPr>
          <w:p w14:paraId="0E20058D" w14:textId="6196F164" w:rsidR="005A31CD" w:rsidRPr="002D355E" w:rsidRDefault="005A31CD" w:rsidP="005A31CD">
            <w:pPr>
              <w:rPr>
                <w:sz w:val="20"/>
                <w:szCs w:val="20"/>
              </w:rPr>
            </w:pPr>
            <w:r w:rsidRPr="002D355E">
              <w:rPr>
                <w:sz w:val="20"/>
                <w:szCs w:val="20"/>
              </w:rPr>
              <w:t>NERO data will be updated monthly.</w:t>
            </w:r>
          </w:p>
        </w:tc>
      </w:tr>
      <w:tr w:rsidR="005A31CD" w:rsidRPr="00B93C08" w14:paraId="0B39D896" w14:textId="77777777" w:rsidTr="00C96860">
        <w:trPr>
          <w:cnfStyle w:val="000000010000" w:firstRow="0" w:lastRow="0" w:firstColumn="0" w:lastColumn="0" w:oddVBand="0" w:evenVBand="0" w:oddHBand="0" w:evenHBand="1" w:firstRowFirstColumn="0" w:firstRowLastColumn="0" w:lastRowFirstColumn="0" w:lastRowLastColumn="0"/>
          <w:trHeight w:val="400"/>
        </w:trPr>
        <w:tc>
          <w:tcPr>
            <w:tcW w:w="5529" w:type="dxa"/>
            <w:tcBorders>
              <w:bottom w:val="nil"/>
            </w:tcBorders>
            <w:vAlign w:val="center"/>
          </w:tcPr>
          <w:p w14:paraId="76B76590" w14:textId="77777777" w:rsidR="005A31CD" w:rsidRPr="002D355E" w:rsidRDefault="005A31CD" w:rsidP="005A31CD">
            <w:pPr>
              <w:rPr>
                <w:color w:val="013D73" w:themeColor="accent3" w:themeTint="E6"/>
                <w:sz w:val="20"/>
                <w:szCs w:val="20"/>
                <w:u w:val="single"/>
              </w:rPr>
            </w:pPr>
            <w:r w:rsidRPr="002D355E">
              <w:rPr>
                <w:color w:val="013D73" w:themeColor="accent3" w:themeTint="E6"/>
                <w:sz w:val="20"/>
                <w:szCs w:val="20"/>
                <w:u w:val="single"/>
              </w:rPr>
              <w:t>International Labour Market Update</w:t>
            </w:r>
          </w:p>
          <w:p w14:paraId="531B2F51" w14:textId="74C0419E" w:rsidR="005A31CD" w:rsidRPr="002D355E" w:rsidRDefault="005A31CD" w:rsidP="005A31CD">
            <w:pPr>
              <w:rPr>
                <w:sz w:val="20"/>
                <w:szCs w:val="20"/>
              </w:rPr>
            </w:pPr>
            <w:r w:rsidRPr="002D355E">
              <w:rPr>
                <w:sz w:val="20"/>
                <w:szCs w:val="20"/>
              </w:rPr>
              <w:t>Provides key labour market data for Australia and selected overseas countries and country groups.</w:t>
            </w:r>
          </w:p>
        </w:tc>
        <w:tc>
          <w:tcPr>
            <w:tcW w:w="3477" w:type="dxa"/>
            <w:tcBorders>
              <w:bottom w:val="nil"/>
            </w:tcBorders>
            <w:vAlign w:val="center"/>
          </w:tcPr>
          <w:p w14:paraId="54F30CAB" w14:textId="01D6FD00" w:rsidR="005A31CD" w:rsidRPr="00B93C08" w:rsidRDefault="005A31CD" w:rsidP="005A31CD">
            <w:pPr>
              <w:rPr>
                <w:sz w:val="20"/>
                <w:szCs w:val="20"/>
              </w:rPr>
            </w:pPr>
            <w:r w:rsidRPr="002D355E">
              <w:rPr>
                <w:sz w:val="20"/>
                <w:szCs w:val="20"/>
              </w:rPr>
              <w:t xml:space="preserve">The </w:t>
            </w:r>
            <w:hyperlink r:id="rId41" w:history="1">
              <w:r w:rsidR="00FE3D1D" w:rsidRPr="002D355E">
                <w:rPr>
                  <w:rStyle w:val="Hyperlink"/>
                  <w:sz w:val="20"/>
                  <w:szCs w:val="20"/>
                </w:rPr>
                <w:t>May 2024 report</w:t>
              </w:r>
            </w:hyperlink>
            <w:r w:rsidRPr="002D355E">
              <w:rPr>
                <w:sz w:val="20"/>
                <w:szCs w:val="20"/>
              </w:rPr>
              <w:t xml:space="preserve"> is currently available.</w:t>
            </w:r>
          </w:p>
        </w:tc>
      </w:tr>
      <w:tr w:rsidR="008564DD" w:rsidRPr="00B93C08" w14:paraId="415F6873" w14:textId="77777777" w:rsidTr="00C96860">
        <w:trPr>
          <w:trHeight w:val="400"/>
        </w:trPr>
        <w:tc>
          <w:tcPr>
            <w:tcW w:w="5529" w:type="dxa"/>
            <w:tcBorders>
              <w:bottom w:val="nil"/>
            </w:tcBorders>
            <w:vAlign w:val="center"/>
          </w:tcPr>
          <w:p w14:paraId="5D5EA332" w14:textId="03B3F1DB" w:rsidR="008564DD" w:rsidRPr="00B93C08" w:rsidRDefault="008564DD" w:rsidP="00320647">
            <w:pPr>
              <w:rPr>
                <w:sz w:val="20"/>
                <w:szCs w:val="20"/>
              </w:rPr>
            </w:pPr>
          </w:p>
        </w:tc>
        <w:tc>
          <w:tcPr>
            <w:tcW w:w="3477" w:type="dxa"/>
            <w:tcBorders>
              <w:bottom w:val="nil"/>
            </w:tcBorders>
            <w:vAlign w:val="center"/>
          </w:tcPr>
          <w:p w14:paraId="12A79081" w14:textId="4B0BFDB4" w:rsidR="008564DD" w:rsidRPr="00B93C08" w:rsidRDefault="008564DD" w:rsidP="00320647">
            <w:pPr>
              <w:rPr>
                <w:sz w:val="20"/>
                <w:szCs w:val="20"/>
              </w:rPr>
            </w:pPr>
          </w:p>
        </w:tc>
      </w:tr>
    </w:tbl>
    <w:p w14:paraId="2832C9E3" w14:textId="62678F58" w:rsidR="00B11937" w:rsidRPr="00B11937" w:rsidRDefault="00B11937" w:rsidP="008F2021">
      <w:pPr>
        <w:spacing w:after="160" w:line="259" w:lineRule="auto"/>
      </w:pPr>
      <w:bookmarkStart w:id="39" w:name="_Appendix"/>
      <w:bookmarkStart w:id="40" w:name="_Appendix_A"/>
      <w:bookmarkEnd w:id="39"/>
      <w:bookmarkEnd w:id="40"/>
      <w:bookmarkEnd w:id="38"/>
    </w:p>
    <w:sectPr w:rsidR="00B11937" w:rsidRPr="00B11937" w:rsidSect="00385EA9">
      <w:pgSz w:w="11906" w:h="16838"/>
      <w:pgMar w:top="1276" w:right="1440" w:bottom="1134" w:left="1440" w:header="0" w:footer="539" w:gutter="0"/>
      <w:pgNumType w:start="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ADB08E" w14:textId="77777777" w:rsidR="00223184" w:rsidRPr="00B93C08" w:rsidRDefault="00223184" w:rsidP="008C0056">
      <w:r w:rsidRPr="00B93C08">
        <w:separator/>
      </w:r>
    </w:p>
  </w:endnote>
  <w:endnote w:type="continuationSeparator" w:id="0">
    <w:p w14:paraId="24631D36" w14:textId="77777777" w:rsidR="00223184" w:rsidRPr="00B93C08" w:rsidRDefault="00223184" w:rsidP="008C0056">
      <w:r w:rsidRPr="00B93C08">
        <w:continuationSeparator/>
      </w:r>
    </w:p>
  </w:endnote>
  <w:endnote w:type="continuationNotice" w:id="1">
    <w:p w14:paraId="6C4DC81C" w14:textId="77777777" w:rsidR="00223184" w:rsidRPr="00B93C08" w:rsidRDefault="00223184" w:rsidP="008C00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ova">
    <w:charset w:val="00"/>
    <w:family w:val="swiss"/>
    <w:pitch w:val="variable"/>
    <w:sig w:usb0="0000028F" w:usb1="00000002"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42DCE7" w14:textId="63104F27" w:rsidR="00EF07E1" w:rsidRPr="00B93C08" w:rsidRDefault="00EF07E1">
    <w:pPr>
      <w:pStyle w:val="Footer"/>
      <w:jc w:val="right"/>
    </w:pPr>
    <w:r w:rsidRPr="00B93C08">
      <w:t>Jobs and Skills Australia – Labour Market Update</w:t>
    </w:r>
    <w:r w:rsidRPr="00B93C08">
      <w:tab/>
    </w:r>
    <w:sdt>
      <w:sdtPr>
        <w:id w:val="-651369144"/>
        <w:docPartObj>
          <w:docPartGallery w:val="Page Numbers (Bottom of Page)"/>
          <w:docPartUnique/>
        </w:docPartObj>
      </w:sdtPr>
      <w:sdtEndPr/>
      <w:sdtContent>
        <w:r w:rsidRPr="00B93C08">
          <w:fldChar w:fldCharType="begin"/>
        </w:r>
        <w:r w:rsidRPr="00B93C08">
          <w:instrText xml:space="preserve"> PAGE   \* MERGEFORMAT </w:instrText>
        </w:r>
        <w:r w:rsidRPr="00B93C08">
          <w:fldChar w:fldCharType="separate"/>
        </w:r>
        <w:r w:rsidRPr="00B93C08">
          <w:t>2</w:t>
        </w:r>
        <w:r w:rsidRPr="00B93C08">
          <w:fldChar w:fldCharType="end"/>
        </w:r>
      </w:sdtContent>
    </w:sdt>
  </w:p>
  <w:p w14:paraId="1DE9E510" w14:textId="0EE98292" w:rsidR="003708C1" w:rsidRPr="00B93C08" w:rsidRDefault="003708C1" w:rsidP="009915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576AB269" w:rsidRPr="00B93C08" w14:paraId="20DF6BD7" w14:textId="77777777" w:rsidTr="576AB269">
      <w:trPr>
        <w:trHeight w:val="300"/>
      </w:trPr>
      <w:tc>
        <w:tcPr>
          <w:tcW w:w="3005" w:type="dxa"/>
        </w:tcPr>
        <w:p w14:paraId="023A381E" w14:textId="2E603919" w:rsidR="576AB269" w:rsidRPr="00B93C08" w:rsidRDefault="576AB269" w:rsidP="576AB269">
          <w:pPr>
            <w:pStyle w:val="Header"/>
            <w:ind w:left="-115"/>
          </w:pPr>
        </w:p>
      </w:tc>
      <w:tc>
        <w:tcPr>
          <w:tcW w:w="3005" w:type="dxa"/>
        </w:tcPr>
        <w:p w14:paraId="4AB0E096" w14:textId="1E1D98F6" w:rsidR="576AB269" w:rsidRPr="00B93C08" w:rsidRDefault="576AB269" w:rsidP="576AB269">
          <w:pPr>
            <w:pStyle w:val="Header"/>
            <w:jc w:val="center"/>
          </w:pPr>
        </w:p>
      </w:tc>
      <w:tc>
        <w:tcPr>
          <w:tcW w:w="3005" w:type="dxa"/>
        </w:tcPr>
        <w:p w14:paraId="2548FA19" w14:textId="4BA48CB4" w:rsidR="576AB269" w:rsidRPr="00B93C08" w:rsidRDefault="576AB269" w:rsidP="576AB269">
          <w:pPr>
            <w:pStyle w:val="Header"/>
            <w:ind w:right="-115"/>
            <w:jc w:val="right"/>
          </w:pPr>
        </w:p>
      </w:tc>
    </w:tr>
  </w:tbl>
  <w:p w14:paraId="486D0428" w14:textId="4AFBFF1C" w:rsidR="002042EF" w:rsidRPr="00B93C08" w:rsidRDefault="002042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33E4E2" w14:textId="120486A4" w:rsidR="006A35A8" w:rsidRPr="00B93C08" w:rsidRDefault="006A35A8" w:rsidP="00700171">
    <w:pPr>
      <w:pStyle w:val="Footer"/>
      <w:jc w:val="right"/>
    </w:pPr>
    <w:r w:rsidRPr="00B93C08">
      <w:t xml:space="preserve">Jobs and Skills Australia – Labour Market Update </w:t>
    </w:r>
    <w:r w:rsidRPr="00B93C08">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DE6669" w14:textId="74F5D205" w:rsidR="00144A81" w:rsidRPr="00B93C08" w:rsidRDefault="009F6602">
    <w:pPr>
      <w:pStyle w:val="Footer"/>
      <w:jc w:val="right"/>
    </w:pPr>
    <w:r w:rsidRPr="00B93C08">
      <w:t xml:space="preserve">Jobs and Skills Australia – Labour Market Update   </w:t>
    </w:r>
    <w:r w:rsidRPr="00B93C08">
      <w:tab/>
    </w:r>
    <w:sdt>
      <w:sdtPr>
        <w:id w:val="799421543"/>
        <w:docPartObj>
          <w:docPartGallery w:val="Page Numbers (Bottom of Page)"/>
          <w:docPartUnique/>
        </w:docPartObj>
      </w:sdtPr>
      <w:sdtEndPr/>
      <w:sdtContent>
        <w:r w:rsidR="00144A81" w:rsidRPr="00B93C08">
          <w:fldChar w:fldCharType="begin"/>
        </w:r>
        <w:r w:rsidR="00144A81" w:rsidRPr="00B93C08">
          <w:instrText xml:space="preserve"> PAGE   \* MERGEFORMAT </w:instrText>
        </w:r>
        <w:r w:rsidR="00144A81" w:rsidRPr="00B93C08">
          <w:fldChar w:fldCharType="separate"/>
        </w:r>
        <w:r w:rsidR="00144A81" w:rsidRPr="00B93C08">
          <w:t>2</w:t>
        </w:r>
        <w:r w:rsidR="00144A81" w:rsidRPr="00B93C08">
          <w:fldChar w:fldCharType="end"/>
        </w:r>
      </w:sdtContent>
    </w:sdt>
  </w:p>
  <w:p w14:paraId="111650F1" w14:textId="173791BB" w:rsidR="576AB269" w:rsidRPr="00B93C08" w:rsidRDefault="576AB269" w:rsidP="00700171">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51D7B1" w14:textId="77777777" w:rsidR="00223184" w:rsidRPr="00B93C08" w:rsidRDefault="00223184" w:rsidP="008C0056"/>
  </w:footnote>
  <w:footnote w:type="continuationSeparator" w:id="0">
    <w:p w14:paraId="27631151" w14:textId="77777777" w:rsidR="00223184" w:rsidRPr="00B93C08" w:rsidRDefault="00223184" w:rsidP="008C0056">
      <w:r w:rsidRPr="00B93C08">
        <w:continuationSeparator/>
      </w:r>
    </w:p>
  </w:footnote>
  <w:footnote w:type="continuationNotice" w:id="1">
    <w:p w14:paraId="68254357" w14:textId="77777777" w:rsidR="00223184" w:rsidRPr="00B93C08" w:rsidRDefault="00223184" w:rsidP="008C0056"/>
  </w:footnote>
  <w:footnote w:id="2">
    <w:p w14:paraId="0B0D99FF" w14:textId="7FEB2C5C" w:rsidR="000704FB" w:rsidRDefault="000704FB">
      <w:pPr>
        <w:pStyle w:val="FootnoteText"/>
      </w:pPr>
      <w:r>
        <w:rPr>
          <w:rStyle w:val="FootnoteReference"/>
        </w:rPr>
        <w:footnoteRef/>
      </w:r>
      <w:r>
        <w:t xml:space="preserve"> </w:t>
      </w:r>
      <w:r w:rsidRPr="00DD4C71">
        <w:rPr>
          <w:rFonts w:eastAsiaTheme="majorEastAsia" w:cs="Arial"/>
          <w:sz w:val="18"/>
          <w:szCs w:val="18"/>
        </w:rPr>
        <w:t>The industry, occupation and skill level employment data in the analysis below are sourced from ABS, Labour Force, Australia, Detailed, May 2024 and trended by Jobs and Skills Australia, while total employment data have been trended by the ABS.</w:t>
      </w:r>
    </w:p>
  </w:footnote>
  <w:footnote w:id="3">
    <w:p w14:paraId="4A6B195B" w14:textId="77777777" w:rsidR="007502C1" w:rsidRPr="00B93C08" w:rsidRDefault="007502C1" w:rsidP="007502C1">
      <w:pPr>
        <w:pStyle w:val="FootnoteText"/>
        <w:rPr>
          <w:sz w:val="18"/>
          <w:szCs w:val="18"/>
        </w:rPr>
      </w:pPr>
      <w:r w:rsidRPr="00B93C08">
        <w:rPr>
          <w:rStyle w:val="FootnoteReference"/>
          <w:sz w:val="18"/>
          <w:szCs w:val="18"/>
        </w:rPr>
        <w:footnoteRef/>
      </w:r>
      <w:r w:rsidRPr="00B93C08">
        <w:rPr>
          <w:sz w:val="18"/>
          <w:szCs w:val="18"/>
        </w:rPr>
        <w:t xml:space="preserve"> </w:t>
      </w:r>
      <w:r w:rsidRPr="00B93C08">
        <w:rPr>
          <w:rFonts w:cs="Arial"/>
          <w:sz w:val="18"/>
          <w:szCs w:val="18"/>
        </w:rPr>
        <w:t>Occupation group data are trended by Jobs and Skills Australia. Total employment data are trended by the ABS. Jobs and Skills Australia and ABS use trending methodologies, and occupation group data do not sum to total employment figures.</w:t>
      </w:r>
    </w:p>
  </w:footnote>
  <w:footnote w:id="4">
    <w:p w14:paraId="2CB46F05" w14:textId="77777777" w:rsidR="00775843" w:rsidRPr="00B93C08" w:rsidRDefault="00775843" w:rsidP="00775843">
      <w:pPr>
        <w:pStyle w:val="FootnoteText"/>
        <w:rPr>
          <w:sz w:val="18"/>
          <w:szCs w:val="18"/>
        </w:rPr>
      </w:pPr>
      <w:r w:rsidRPr="00B93C08">
        <w:rPr>
          <w:rStyle w:val="FootnoteReference"/>
          <w:sz w:val="18"/>
          <w:szCs w:val="18"/>
        </w:rPr>
        <w:footnoteRef/>
      </w:r>
      <w:r w:rsidRPr="00B93C08">
        <w:rPr>
          <w:sz w:val="18"/>
          <w:szCs w:val="18"/>
        </w:rPr>
        <w:t xml:space="preserve"> </w:t>
      </w:r>
      <w:r w:rsidRPr="00B93C08">
        <w:rPr>
          <w:rFonts w:cs="Arial"/>
          <w:sz w:val="18"/>
          <w:szCs w:val="18"/>
        </w:rPr>
        <w:t>Skill Level data are trended by Jobs and Skills Australia. Total employment data are trended by the ABS. Jobs and Skills Australia and ABS use different trending methodologies, and Skill Level data do not sum to total employment figures.</w:t>
      </w:r>
    </w:p>
  </w:footnote>
  <w:footnote w:id="5">
    <w:p w14:paraId="3493638F" w14:textId="77777777" w:rsidR="007739A6" w:rsidRPr="00B93C08" w:rsidRDefault="007739A6" w:rsidP="007739A6">
      <w:pPr>
        <w:pStyle w:val="FootnoteText"/>
        <w:rPr>
          <w:sz w:val="18"/>
          <w:szCs w:val="18"/>
        </w:rPr>
      </w:pPr>
      <w:r w:rsidRPr="00B93C08">
        <w:rPr>
          <w:rStyle w:val="FootnoteReference"/>
          <w:sz w:val="18"/>
          <w:szCs w:val="18"/>
        </w:rPr>
        <w:footnoteRef/>
      </w:r>
      <w:r w:rsidRPr="00B93C08">
        <w:rPr>
          <w:sz w:val="18"/>
          <w:szCs w:val="18"/>
        </w:rPr>
        <w:t xml:space="preserve"> </w:t>
      </w:r>
      <w:r>
        <w:rPr>
          <w:sz w:val="16"/>
          <w:szCs w:val="16"/>
        </w:rPr>
        <w:t>Th</w:t>
      </w:r>
      <w:r w:rsidRPr="00FB0FB1">
        <w:rPr>
          <w:sz w:val="16"/>
          <w:szCs w:val="16"/>
        </w:rPr>
        <w:t xml:space="preserve">e fill rate and other metrics </w:t>
      </w:r>
      <w:r>
        <w:rPr>
          <w:sz w:val="16"/>
          <w:szCs w:val="16"/>
        </w:rPr>
        <w:t xml:space="preserve">in the table are based on </w:t>
      </w:r>
      <w:r w:rsidRPr="00FB0FB1">
        <w:rPr>
          <w:sz w:val="16"/>
          <w:szCs w:val="16"/>
        </w:rPr>
        <w:t>using 12 months of data leading to the latest quarter. Using a rolling annual period</w:t>
      </w:r>
      <w:r>
        <w:rPr>
          <w:sz w:val="16"/>
          <w:szCs w:val="16"/>
        </w:rPr>
        <w:t>,</w:t>
      </w:r>
      <w:r w:rsidRPr="00FB0FB1">
        <w:rPr>
          <w:sz w:val="16"/>
          <w:szCs w:val="16"/>
        </w:rPr>
        <w:t xml:space="preserve"> as opposed to the latest quarter itself</w:t>
      </w:r>
      <w:r>
        <w:rPr>
          <w:sz w:val="16"/>
          <w:szCs w:val="16"/>
        </w:rPr>
        <w:t>,</w:t>
      </w:r>
      <w:r w:rsidRPr="00FB0FB1">
        <w:rPr>
          <w:sz w:val="16"/>
          <w:szCs w:val="16"/>
        </w:rPr>
        <w:t xml:space="preserve"> removes the impact of data volatility attributable to SERA sampling, whereby concentrations of sampling with respect to different occupational major groups can occur at different times of </w:t>
      </w:r>
      <w:r>
        <w:rPr>
          <w:sz w:val="16"/>
          <w:szCs w:val="16"/>
        </w:rPr>
        <w:t>a</w:t>
      </w:r>
      <w:r w:rsidRPr="00FB0FB1">
        <w:rPr>
          <w:sz w:val="16"/>
          <w:szCs w:val="16"/>
        </w:rPr>
        <w:t xml:space="preserve"> year.</w:t>
      </w:r>
    </w:p>
  </w:footnote>
  <w:footnote w:id="6">
    <w:p w14:paraId="1723B67F" w14:textId="77777777" w:rsidR="0085368A" w:rsidRDefault="0085368A" w:rsidP="0085368A">
      <w:pPr>
        <w:pStyle w:val="FootnoteText"/>
      </w:pPr>
      <w:r>
        <w:rPr>
          <w:rStyle w:val="FootnoteReference"/>
        </w:rPr>
        <w:footnoteRef/>
      </w:r>
      <w:r>
        <w:t xml:space="preserve"> </w:t>
      </w:r>
      <w:r>
        <w:rPr>
          <w:sz w:val="16"/>
          <w:szCs w:val="16"/>
        </w:rPr>
        <w:t xml:space="preserve">The </w:t>
      </w:r>
      <w:r w:rsidRPr="00236A7E">
        <w:rPr>
          <w:sz w:val="16"/>
          <w:szCs w:val="16"/>
        </w:rPr>
        <w:t xml:space="preserve">suitability gap </w:t>
      </w:r>
      <w:r>
        <w:rPr>
          <w:sz w:val="16"/>
          <w:szCs w:val="16"/>
        </w:rPr>
        <w:t xml:space="preserve">is </w:t>
      </w:r>
      <w:r w:rsidRPr="00236A7E">
        <w:rPr>
          <w:sz w:val="16"/>
          <w:szCs w:val="16"/>
        </w:rPr>
        <w:t xml:space="preserve">the difference between the number of qualified applicants </w:t>
      </w:r>
      <w:r>
        <w:rPr>
          <w:sz w:val="16"/>
          <w:szCs w:val="16"/>
        </w:rPr>
        <w:t xml:space="preserve">per vacancy </w:t>
      </w:r>
      <w:r w:rsidRPr="00236A7E">
        <w:rPr>
          <w:sz w:val="16"/>
          <w:szCs w:val="16"/>
        </w:rPr>
        <w:t>and suitable applicants</w:t>
      </w:r>
      <w:r>
        <w:rPr>
          <w:sz w:val="16"/>
          <w:szCs w:val="16"/>
        </w:rPr>
        <w:t xml:space="preserve"> per vacancy,</w:t>
      </w:r>
      <w:r w:rsidRPr="00236A7E">
        <w:rPr>
          <w:sz w:val="16"/>
          <w:szCs w:val="16"/>
        </w:rPr>
        <w:t xml:space="preserve"> as a </w:t>
      </w:r>
      <w:r>
        <w:rPr>
          <w:sz w:val="16"/>
          <w:szCs w:val="16"/>
        </w:rPr>
        <w:t xml:space="preserve">percentage </w:t>
      </w:r>
      <w:r w:rsidRPr="00236A7E">
        <w:rPr>
          <w:sz w:val="16"/>
          <w:szCs w:val="16"/>
        </w:rPr>
        <w:t xml:space="preserve">of the number of qualified applicants per vacancy. </w:t>
      </w:r>
    </w:p>
  </w:footnote>
  <w:footnote w:id="7">
    <w:p w14:paraId="501CEBAB" w14:textId="77777777" w:rsidR="0085368A" w:rsidRDefault="0085368A" w:rsidP="0085368A">
      <w:pPr>
        <w:pStyle w:val="FootnoteText"/>
      </w:pPr>
      <w:r>
        <w:rPr>
          <w:rStyle w:val="FootnoteReference"/>
        </w:rPr>
        <w:footnoteRef/>
      </w:r>
      <w:r>
        <w:t xml:space="preserve"> </w:t>
      </w:r>
      <w:r w:rsidRPr="00031B05">
        <w:rPr>
          <w:sz w:val="16"/>
          <w:szCs w:val="16"/>
        </w:rPr>
        <w:t xml:space="preserve">The metric has several interpretations. </w:t>
      </w:r>
      <w:r>
        <w:rPr>
          <w:sz w:val="16"/>
          <w:szCs w:val="16"/>
        </w:rPr>
        <w:t>A</w:t>
      </w:r>
      <w:r w:rsidRPr="00031B05">
        <w:rPr>
          <w:sz w:val="16"/>
          <w:szCs w:val="16"/>
        </w:rPr>
        <w:t xml:space="preserve"> wide or widening gap may indicate</w:t>
      </w:r>
      <w:r>
        <w:rPr>
          <w:sz w:val="16"/>
          <w:szCs w:val="16"/>
        </w:rPr>
        <w:t xml:space="preserve"> </w:t>
      </w:r>
      <w:r w:rsidRPr="00031B05">
        <w:rPr>
          <w:sz w:val="16"/>
          <w:szCs w:val="16"/>
        </w:rPr>
        <w:t>that qualifications of applicants may not be equipping them with all skills and experiences needed, including the need for greater work experience and/or other soft or hard skills.</w:t>
      </w:r>
      <w:r>
        <w:rPr>
          <w:sz w:val="16"/>
          <w:szCs w:val="16"/>
        </w:rPr>
        <w:t xml:space="preserve"> It could also suggest </w:t>
      </w:r>
      <w:r w:rsidRPr="00031B05">
        <w:rPr>
          <w:sz w:val="16"/>
          <w:szCs w:val="16"/>
        </w:rPr>
        <w:t>slack in the labour market, allowing employers greater scrutiny of candidates that apply for vacant roles.</w:t>
      </w:r>
    </w:p>
  </w:footnote>
  <w:footnote w:id="8">
    <w:p w14:paraId="277B5137" w14:textId="2F7BE06E" w:rsidR="00BF2061" w:rsidRDefault="00BF2061" w:rsidP="00BF2061">
      <w:r w:rsidRPr="00BF2061">
        <w:rPr>
          <w:rStyle w:val="FootnoteReference"/>
          <w:color w:val="000000"/>
          <w:sz w:val="16"/>
          <w:szCs w:val="16"/>
        </w:rPr>
        <w:footnoteRef/>
      </w:r>
      <w:r>
        <w:t xml:space="preserve"> </w:t>
      </w:r>
      <w:r w:rsidRPr="00BF2061">
        <w:rPr>
          <w:color w:val="000000"/>
          <w:sz w:val="16"/>
          <w:szCs w:val="16"/>
        </w:rPr>
        <w:t>Skill Level 3 occupations are generally those with Vocational Education and Training as the primary pathway to the labour market. These occupations typically require a Certificate III/IV.</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576AB269" w:rsidRPr="00B93C08" w14:paraId="5A712252" w14:textId="77777777" w:rsidTr="576AB269">
      <w:trPr>
        <w:trHeight w:val="300"/>
      </w:trPr>
      <w:tc>
        <w:tcPr>
          <w:tcW w:w="3005" w:type="dxa"/>
        </w:tcPr>
        <w:p w14:paraId="4D4D91D2" w14:textId="6A42D6FB" w:rsidR="576AB269" w:rsidRPr="00B93C08" w:rsidRDefault="576AB269" w:rsidP="576AB269">
          <w:pPr>
            <w:pStyle w:val="Header"/>
            <w:ind w:left="-115"/>
          </w:pPr>
        </w:p>
      </w:tc>
      <w:tc>
        <w:tcPr>
          <w:tcW w:w="3005" w:type="dxa"/>
        </w:tcPr>
        <w:p w14:paraId="51609BDA" w14:textId="0A0C651B" w:rsidR="576AB269" w:rsidRPr="00B93C08" w:rsidRDefault="576AB269" w:rsidP="576AB269">
          <w:pPr>
            <w:pStyle w:val="Header"/>
            <w:jc w:val="center"/>
          </w:pPr>
        </w:p>
      </w:tc>
      <w:tc>
        <w:tcPr>
          <w:tcW w:w="3005" w:type="dxa"/>
        </w:tcPr>
        <w:p w14:paraId="1E653625" w14:textId="30193F51" w:rsidR="576AB269" w:rsidRPr="00B93C08" w:rsidRDefault="576AB269" w:rsidP="576AB269">
          <w:pPr>
            <w:pStyle w:val="Header"/>
            <w:ind w:right="-115"/>
            <w:jc w:val="right"/>
          </w:pPr>
        </w:p>
      </w:tc>
    </w:tr>
  </w:tbl>
  <w:p w14:paraId="3730D40E" w14:textId="1FC5D652" w:rsidR="576AB269" w:rsidRPr="00B93C08" w:rsidRDefault="576AB269" w:rsidP="576AB2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576AB269" w:rsidRPr="00B93C08" w14:paraId="06EBD6A4" w14:textId="77777777" w:rsidTr="576AB269">
      <w:trPr>
        <w:trHeight w:val="300"/>
      </w:trPr>
      <w:tc>
        <w:tcPr>
          <w:tcW w:w="3005" w:type="dxa"/>
        </w:tcPr>
        <w:p w14:paraId="6FA94443" w14:textId="074FC6DD" w:rsidR="576AB269" w:rsidRPr="00B93C08" w:rsidRDefault="576AB269" w:rsidP="576AB269">
          <w:pPr>
            <w:pStyle w:val="Header"/>
            <w:ind w:left="-115"/>
          </w:pPr>
        </w:p>
      </w:tc>
      <w:tc>
        <w:tcPr>
          <w:tcW w:w="3005" w:type="dxa"/>
        </w:tcPr>
        <w:p w14:paraId="30F5AC60" w14:textId="2B5DCB08" w:rsidR="576AB269" w:rsidRPr="00B93C08" w:rsidRDefault="576AB269" w:rsidP="576AB269">
          <w:pPr>
            <w:pStyle w:val="Header"/>
            <w:jc w:val="center"/>
          </w:pPr>
        </w:p>
      </w:tc>
      <w:tc>
        <w:tcPr>
          <w:tcW w:w="3005" w:type="dxa"/>
        </w:tcPr>
        <w:p w14:paraId="2EAF1768" w14:textId="027CFF36" w:rsidR="576AB269" w:rsidRPr="00B93C08" w:rsidRDefault="576AB269" w:rsidP="576AB269">
          <w:pPr>
            <w:pStyle w:val="Header"/>
            <w:ind w:right="-115"/>
            <w:jc w:val="right"/>
          </w:pPr>
        </w:p>
      </w:tc>
    </w:tr>
  </w:tbl>
  <w:p w14:paraId="0532DD90" w14:textId="67F12944" w:rsidR="576AB269" w:rsidRPr="00B93C08" w:rsidRDefault="576AB269" w:rsidP="576AB2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26FDD3" w14:textId="77777777" w:rsidR="006A35A8" w:rsidRPr="00B93C08" w:rsidRDefault="006A35A8" w:rsidP="0070017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006A35A8" w:rsidRPr="00B93C08" w14:paraId="0374925C" w14:textId="77777777" w:rsidTr="576AB269">
      <w:trPr>
        <w:trHeight w:val="300"/>
      </w:trPr>
      <w:tc>
        <w:tcPr>
          <w:tcW w:w="3005" w:type="dxa"/>
        </w:tcPr>
        <w:p w14:paraId="5955B751" w14:textId="77777777" w:rsidR="006A35A8" w:rsidRPr="00B93C08" w:rsidRDefault="006A35A8" w:rsidP="576AB269">
          <w:pPr>
            <w:pStyle w:val="Header"/>
            <w:ind w:left="-115"/>
          </w:pPr>
        </w:p>
      </w:tc>
      <w:tc>
        <w:tcPr>
          <w:tcW w:w="3005" w:type="dxa"/>
        </w:tcPr>
        <w:p w14:paraId="486672B8" w14:textId="77777777" w:rsidR="006A35A8" w:rsidRPr="00B93C08" w:rsidRDefault="006A35A8" w:rsidP="576AB269">
          <w:pPr>
            <w:pStyle w:val="Header"/>
            <w:jc w:val="center"/>
          </w:pPr>
        </w:p>
      </w:tc>
      <w:tc>
        <w:tcPr>
          <w:tcW w:w="3005" w:type="dxa"/>
        </w:tcPr>
        <w:p w14:paraId="1D4BE3F3" w14:textId="77777777" w:rsidR="006A35A8" w:rsidRPr="00B93C08" w:rsidRDefault="006A35A8" w:rsidP="576AB269">
          <w:pPr>
            <w:pStyle w:val="Header"/>
            <w:ind w:right="-115"/>
            <w:jc w:val="right"/>
          </w:pPr>
        </w:p>
      </w:tc>
    </w:tr>
  </w:tbl>
  <w:p w14:paraId="2A1F85ED" w14:textId="77777777" w:rsidR="006A35A8" w:rsidRPr="00B93C08" w:rsidRDefault="006A35A8" w:rsidP="00AA2FE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853316" w14:textId="7EFB1D91" w:rsidR="576AB269" w:rsidRPr="00B93C08" w:rsidRDefault="576AB269" w:rsidP="0070017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576AB269" w:rsidRPr="00B93C08" w14:paraId="5C2BE72E" w14:textId="77777777" w:rsidTr="576AB269">
      <w:trPr>
        <w:trHeight w:val="300"/>
      </w:trPr>
      <w:tc>
        <w:tcPr>
          <w:tcW w:w="3005" w:type="dxa"/>
        </w:tcPr>
        <w:p w14:paraId="5860EF61" w14:textId="59D9ABBB" w:rsidR="576AB269" w:rsidRPr="00B93C08" w:rsidRDefault="576AB269" w:rsidP="576AB269">
          <w:pPr>
            <w:pStyle w:val="Header"/>
            <w:ind w:left="-115"/>
          </w:pPr>
        </w:p>
      </w:tc>
      <w:tc>
        <w:tcPr>
          <w:tcW w:w="3005" w:type="dxa"/>
        </w:tcPr>
        <w:p w14:paraId="51FE75E4" w14:textId="5B3E34E1" w:rsidR="576AB269" w:rsidRPr="00B93C08" w:rsidRDefault="576AB269" w:rsidP="576AB269">
          <w:pPr>
            <w:pStyle w:val="Header"/>
            <w:jc w:val="center"/>
          </w:pPr>
        </w:p>
      </w:tc>
      <w:tc>
        <w:tcPr>
          <w:tcW w:w="3005" w:type="dxa"/>
        </w:tcPr>
        <w:p w14:paraId="3298DFA3" w14:textId="0F46A30B" w:rsidR="576AB269" w:rsidRPr="00B93C08" w:rsidRDefault="576AB269" w:rsidP="576AB269">
          <w:pPr>
            <w:pStyle w:val="Header"/>
            <w:ind w:right="-115"/>
            <w:jc w:val="right"/>
          </w:pPr>
        </w:p>
      </w:tc>
    </w:tr>
  </w:tbl>
  <w:p w14:paraId="6EDC3CA4" w14:textId="3BF3ECCB" w:rsidR="576AB269" w:rsidRPr="00B93C08" w:rsidRDefault="576AB269" w:rsidP="00AA2F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A0ABCA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246EA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4E4592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652D8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C2A15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3DF2DE40"/>
    <w:lvl w:ilvl="0">
      <w:start w:val="1"/>
      <w:numFmt w:val="decimal"/>
      <w:lvlText w:val="%1."/>
      <w:lvlJc w:val="left"/>
      <w:pPr>
        <w:tabs>
          <w:tab w:val="num" w:pos="360"/>
        </w:tabs>
        <w:ind w:left="360" w:hanging="360"/>
      </w:pPr>
    </w:lvl>
  </w:abstractNum>
  <w:abstractNum w:abstractNumId="6" w15:restartNumberingAfterBreak="0">
    <w:nsid w:val="05E853D5"/>
    <w:multiLevelType w:val="hybridMultilevel"/>
    <w:tmpl w:val="2D1605AC"/>
    <w:lvl w:ilvl="0" w:tplc="05A013E8">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97C163D"/>
    <w:multiLevelType w:val="hybridMultilevel"/>
    <w:tmpl w:val="594C2E34"/>
    <w:lvl w:ilvl="0" w:tplc="0C090001">
      <w:start w:val="1"/>
      <w:numFmt w:val="bullet"/>
      <w:lvlText w:val=""/>
      <w:lvlJc w:val="left"/>
      <w:pPr>
        <w:ind w:left="720" w:hanging="360"/>
      </w:pPr>
      <w:rPr>
        <w:rFonts w:ascii="Symbol" w:hAnsi="Symbol" w:hint="default"/>
      </w:rPr>
    </w:lvl>
    <w:lvl w:ilvl="1" w:tplc="70D2A66E">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B4471B6"/>
    <w:multiLevelType w:val="multilevel"/>
    <w:tmpl w:val="F692C438"/>
    <w:lvl w:ilvl="0">
      <w:start w:val="1"/>
      <w:numFmt w:val="none"/>
      <w:suff w:val="space"/>
      <w:lvlText w:val="Source:"/>
      <w:lvlJc w:val="left"/>
      <w:pPr>
        <w:ind w:left="6181" w:hanging="51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lvlText w:val=""/>
      <w:lvlJc w:val="left"/>
      <w:pPr>
        <w:ind w:left="579" w:hanging="360"/>
      </w:pPr>
      <w:rPr>
        <w:rFonts w:hint="default"/>
      </w:rPr>
    </w:lvl>
    <w:lvl w:ilvl="2">
      <w:start w:val="1"/>
      <w:numFmt w:val="none"/>
      <w:lvlText w:val=""/>
      <w:lvlJc w:val="left"/>
      <w:pPr>
        <w:ind w:left="939" w:hanging="360"/>
      </w:pPr>
      <w:rPr>
        <w:rFonts w:hint="default"/>
      </w:rPr>
    </w:lvl>
    <w:lvl w:ilvl="3">
      <w:start w:val="1"/>
      <w:numFmt w:val="none"/>
      <w:lvlText w:val=""/>
      <w:lvlJc w:val="left"/>
      <w:pPr>
        <w:ind w:left="1299" w:hanging="360"/>
      </w:pPr>
      <w:rPr>
        <w:rFonts w:hint="default"/>
      </w:rPr>
    </w:lvl>
    <w:lvl w:ilvl="4">
      <w:start w:val="1"/>
      <w:numFmt w:val="none"/>
      <w:lvlText w:val=""/>
      <w:lvlJc w:val="left"/>
      <w:pPr>
        <w:ind w:left="1659" w:hanging="360"/>
      </w:pPr>
      <w:rPr>
        <w:rFonts w:hint="default"/>
      </w:rPr>
    </w:lvl>
    <w:lvl w:ilvl="5">
      <w:start w:val="1"/>
      <w:numFmt w:val="none"/>
      <w:lvlText w:val=""/>
      <w:lvlJc w:val="left"/>
      <w:pPr>
        <w:ind w:left="2019" w:hanging="360"/>
      </w:pPr>
      <w:rPr>
        <w:rFonts w:hint="default"/>
      </w:rPr>
    </w:lvl>
    <w:lvl w:ilvl="6">
      <w:start w:val="1"/>
      <w:numFmt w:val="none"/>
      <w:lvlText w:val=""/>
      <w:lvlJc w:val="left"/>
      <w:pPr>
        <w:ind w:left="2379" w:hanging="360"/>
      </w:pPr>
      <w:rPr>
        <w:rFonts w:hint="default"/>
      </w:rPr>
    </w:lvl>
    <w:lvl w:ilvl="7">
      <w:start w:val="1"/>
      <w:numFmt w:val="none"/>
      <w:lvlText w:val=""/>
      <w:lvlJc w:val="left"/>
      <w:pPr>
        <w:ind w:left="2739" w:hanging="360"/>
      </w:pPr>
      <w:rPr>
        <w:rFonts w:hint="default"/>
      </w:rPr>
    </w:lvl>
    <w:lvl w:ilvl="8">
      <w:start w:val="1"/>
      <w:numFmt w:val="none"/>
      <w:lvlText w:val=""/>
      <w:lvlJc w:val="left"/>
      <w:pPr>
        <w:ind w:left="3099" w:hanging="360"/>
      </w:pPr>
      <w:rPr>
        <w:rFonts w:hint="default"/>
      </w:rPr>
    </w:lvl>
  </w:abstractNum>
  <w:abstractNum w:abstractNumId="9" w15:restartNumberingAfterBreak="0">
    <w:nsid w:val="15F80B16"/>
    <w:multiLevelType w:val="hybridMultilevel"/>
    <w:tmpl w:val="F85EB1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BA96197"/>
    <w:multiLevelType w:val="hybridMultilevel"/>
    <w:tmpl w:val="3096726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D585F53"/>
    <w:multiLevelType w:val="multilevel"/>
    <w:tmpl w:val="A3E88540"/>
    <w:name w:val="ListBullets"/>
    <w:lvl w:ilvl="0">
      <w:start w:val="1"/>
      <w:numFmt w:val="bullet"/>
      <w:pStyle w:val="ListBullet"/>
      <w:lvlText w:val="•"/>
      <w:lvlJc w:val="left"/>
      <w:pPr>
        <w:ind w:left="340" w:hanging="340"/>
      </w:pPr>
      <w:rPr>
        <w:rFonts w:ascii="Calibri" w:hAnsi="Calibri" w:hint="default"/>
        <w:color w:val="auto"/>
      </w:rPr>
    </w:lvl>
    <w:lvl w:ilvl="1">
      <w:start w:val="1"/>
      <w:numFmt w:val="bullet"/>
      <w:pStyle w:val="ListBullet2"/>
      <w:lvlText w:val="–"/>
      <w:lvlJc w:val="left"/>
      <w:pPr>
        <w:ind w:left="680" w:hanging="340"/>
      </w:pPr>
      <w:rPr>
        <w:rFonts w:ascii="Arial" w:hAnsi="Arial" w:hint="default"/>
        <w:color w:val="auto"/>
      </w:rPr>
    </w:lvl>
    <w:lvl w:ilvl="2">
      <w:start w:val="1"/>
      <w:numFmt w:val="bullet"/>
      <w:pStyle w:val="ListBullet3"/>
      <w:lvlText w:val="○"/>
      <w:lvlJc w:val="left"/>
      <w:pPr>
        <w:ind w:left="1020" w:hanging="340"/>
      </w:pPr>
      <w:rPr>
        <w:rFonts w:ascii="Times New Roman" w:hAnsi="Times New Roman" w:cs="Times New Roman" w:hint="default"/>
        <w:color w:val="auto"/>
      </w:rPr>
    </w:lvl>
    <w:lvl w:ilvl="3">
      <w:start w:val="1"/>
      <w:numFmt w:val="bullet"/>
      <w:pStyle w:val="ListBullet4"/>
      <w:lvlText w:val="•"/>
      <w:lvlJc w:val="left"/>
      <w:pPr>
        <w:ind w:left="1360" w:hanging="340"/>
      </w:pPr>
      <w:rPr>
        <w:rFonts w:ascii="Arial" w:hAnsi="Arial" w:hint="default"/>
        <w:color w:val="auto"/>
      </w:rPr>
    </w:lvl>
    <w:lvl w:ilvl="4">
      <w:start w:val="1"/>
      <w:numFmt w:val="none"/>
      <w:lvlText w:val=""/>
      <w:lvlJc w:val="left"/>
      <w:pPr>
        <w:tabs>
          <w:tab w:val="num" w:pos="1712"/>
        </w:tabs>
        <w:ind w:left="1700" w:hanging="340"/>
      </w:pPr>
      <w:rPr>
        <w:rFonts w:hint="default"/>
      </w:rPr>
    </w:lvl>
    <w:lvl w:ilvl="5">
      <w:start w:val="1"/>
      <w:numFmt w:val="none"/>
      <w:lvlText w:val=""/>
      <w:lvlJc w:val="left"/>
      <w:pPr>
        <w:tabs>
          <w:tab w:val="num" w:pos="2069"/>
        </w:tabs>
        <w:ind w:left="2040" w:hanging="340"/>
      </w:pPr>
      <w:rPr>
        <w:rFonts w:hint="default"/>
      </w:rPr>
    </w:lvl>
    <w:lvl w:ilvl="6">
      <w:start w:val="1"/>
      <w:numFmt w:val="none"/>
      <w:lvlText w:val=""/>
      <w:lvlJc w:val="left"/>
      <w:pPr>
        <w:tabs>
          <w:tab w:val="num" w:pos="2426"/>
        </w:tabs>
        <w:ind w:left="2380" w:hanging="340"/>
      </w:pPr>
      <w:rPr>
        <w:rFonts w:hint="default"/>
      </w:rPr>
    </w:lvl>
    <w:lvl w:ilvl="7">
      <w:start w:val="1"/>
      <w:numFmt w:val="none"/>
      <w:lvlText w:val=""/>
      <w:lvlJc w:val="left"/>
      <w:pPr>
        <w:tabs>
          <w:tab w:val="num" w:pos="2783"/>
        </w:tabs>
        <w:ind w:left="2720" w:hanging="340"/>
      </w:pPr>
      <w:rPr>
        <w:rFonts w:hint="default"/>
      </w:rPr>
    </w:lvl>
    <w:lvl w:ilvl="8">
      <w:start w:val="1"/>
      <w:numFmt w:val="none"/>
      <w:lvlText w:val=""/>
      <w:lvlJc w:val="left"/>
      <w:pPr>
        <w:tabs>
          <w:tab w:val="num" w:pos="3140"/>
        </w:tabs>
        <w:ind w:left="3060" w:hanging="340"/>
      </w:pPr>
      <w:rPr>
        <w:rFonts w:hint="default"/>
      </w:rPr>
    </w:lvl>
  </w:abstractNum>
  <w:abstractNum w:abstractNumId="12" w15:restartNumberingAfterBreak="0">
    <w:nsid w:val="1DB15375"/>
    <w:multiLevelType w:val="hybridMultilevel"/>
    <w:tmpl w:val="D59425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EC47CB5"/>
    <w:multiLevelType w:val="hybridMultilevel"/>
    <w:tmpl w:val="192CF2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1FE53D4C"/>
    <w:multiLevelType w:val="hybridMultilevel"/>
    <w:tmpl w:val="87B22480"/>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7D85117"/>
    <w:multiLevelType w:val="hybridMultilevel"/>
    <w:tmpl w:val="3D4AC2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A2D4D92"/>
    <w:multiLevelType w:val="hybridMultilevel"/>
    <w:tmpl w:val="4C54A9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3D405AD"/>
    <w:multiLevelType w:val="hybridMultilevel"/>
    <w:tmpl w:val="EC6ECF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4667452"/>
    <w:multiLevelType w:val="multilevel"/>
    <w:tmpl w:val="873ED2C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9" w15:restartNumberingAfterBreak="0">
    <w:nsid w:val="36FE67D6"/>
    <w:multiLevelType w:val="hybridMultilevel"/>
    <w:tmpl w:val="8398055E"/>
    <w:name w:val="ListBullets2"/>
    <w:lvl w:ilvl="0" w:tplc="0ED8DFAE">
      <w:start w:val="1"/>
      <w:numFmt w:val="bullet"/>
      <w:lvlText w:val="–"/>
      <w:lvlJc w:val="left"/>
      <w:pPr>
        <w:ind w:left="1060" w:hanging="360"/>
      </w:pPr>
      <w:rPr>
        <w:rFonts w:ascii="Arial Nova" w:hAnsi="Arial Nova"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20" w15:restartNumberingAfterBreak="0">
    <w:nsid w:val="376F56A1"/>
    <w:multiLevelType w:val="multilevel"/>
    <w:tmpl w:val="285CDA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D60483A"/>
    <w:multiLevelType w:val="hybridMultilevel"/>
    <w:tmpl w:val="4AB44D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1517D03"/>
    <w:multiLevelType w:val="hybridMultilevel"/>
    <w:tmpl w:val="43961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AF71802"/>
    <w:multiLevelType w:val="hybridMultilevel"/>
    <w:tmpl w:val="66EA9E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4CD4332C"/>
    <w:multiLevelType w:val="hybridMultilevel"/>
    <w:tmpl w:val="9C285B00"/>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4656947"/>
    <w:multiLevelType w:val="hybridMultilevel"/>
    <w:tmpl w:val="1E2E13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9D51323"/>
    <w:multiLevelType w:val="hybridMultilevel"/>
    <w:tmpl w:val="368638B2"/>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0DA5BBA"/>
    <w:multiLevelType w:val="hybridMultilevel"/>
    <w:tmpl w:val="58EEFA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0DC3035"/>
    <w:multiLevelType w:val="hybridMultilevel"/>
    <w:tmpl w:val="3B8A8F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58D1832"/>
    <w:multiLevelType w:val="hybridMultilevel"/>
    <w:tmpl w:val="85AED898"/>
    <w:lvl w:ilvl="0" w:tplc="F1ACFF8E">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F1D6ED4"/>
    <w:multiLevelType w:val="hybridMultilevel"/>
    <w:tmpl w:val="7C80DD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F3C1AA9"/>
    <w:multiLevelType w:val="hybridMultilevel"/>
    <w:tmpl w:val="E22AFE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FEB691B"/>
    <w:multiLevelType w:val="multilevel"/>
    <w:tmpl w:val="2362D8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1A80D02"/>
    <w:multiLevelType w:val="hybridMultilevel"/>
    <w:tmpl w:val="158ABB4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8AC2224"/>
    <w:multiLevelType w:val="hybridMultilevel"/>
    <w:tmpl w:val="1436D3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B2B0659"/>
    <w:multiLevelType w:val="multilevel"/>
    <w:tmpl w:val="5CDE43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337269666">
    <w:abstractNumId w:val="35"/>
  </w:num>
  <w:num w:numId="2" w16cid:durableId="1668050683">
    <w:abstractNumId w:val="20"/>
  </w:num>
  <w:num w:numId="3" w16cid:durableId="1683042470">
    <w:abstractNumId w:val="7"/>
  </w:num>
  <w:num w:numId="4" w16cid:durableId="133523604">
    <w:abstractNumId w:val="32"/>
  </w:num>
  <w:num w:numId="5" w16cid:durableId="1994024302">
    <w:abstractNumId w:val="33"/>
  </w:num>
  <w:num w:numId="6" w16cid:durableId="1358852113">
    <w:abstractNumId w:val="18"/>
  </w:num>
  <w:num w:numId="7" w16cid:durableId="2047246184">
    <w:abstractNumId w:val="11"/>
  </w:num>
  <w:num w:numId="8" w16cid:durableId="1985233239">
    <w:abstractNumId w:val="4"/>
  </w:num>
  <w:num w:numId="9" w16cid:durableId="2105372984">
    <w:abstractNumId w:val="5"/>
  </w:num>
  <w:num w:numId="10" w16cid:durableId="935869809">
    <w:abstractNumId w:val="3"/>
  </w:num>
  <w:num w:numId="11" w16cid:durableId="1109662273">
    <w:abstractNumId w:val="2"/>
  </w:num>
  <w:num w:numId="12" w16cid:durableId="2049716342">
    <w:abstractNumId w:val="1"/>
  </w:num>
  <w:num w:numId="13" w16cid:durableId="1578317811">
    <w:abstractNumId w:val="0"/>
  </w:num>
  <w:num w:numId="14" w16cid:durableId="1127550344">
    <w:abstractNumId w:val="15"/>
  </w:num>
  <w:num w:numId="15" w16cid:durableId="406730085">
    <w:abstractNumId w:val="10"/>
  </w:num>
  <w:num w:numId="16" w16cid:durableId="685862663">
    <w:abstractNumId w:val="8"/>
  </w:num>
  <w:num w:numId="17" w16cid:durableId="1151747917">
    <w:abstractNumId w:val="29"/>
  </w:num>
  <w:num w:numId="18" w16cid:durableId="494801638">
    <w:abstractNumId w:val="6"/>
  </w:num>
  <w:num w:numId="19" w16cid:durableId="82335018">
    <w:abstractNumId w:val="28"/>
  </w:num>
  <w:num w:numId="20" w16cid:durableId="953828657">
    <w:abstractNumId w:val="30"/>
  </w:num>
  <w:num w:numId="21" w16cid:durableId="493378795">
    <w:abstractNumId w:val="24"/>
  </w:num>
  <w:num w:numId="22" w16cid:durableId="843546532">
    <w:abstractNumId w:val="34"/>
  </w:num>
  <w:num w:numId="23" w16cid:durableId="469253812">
    <w:abstractNumId w:val="25"/>
  </w:num>
  <w:num w:numId="24" w16cid:durableId="1546521493">
    <w:abstractNumId w:val="27"/>
  </w:num>
  <w:num w:numId="25" w16cid:durableId="1429614832">
    <w:abstractNumId w:val="16"/>
  </w:num>
  <w:num w:numId="26" w16cid:durableId="1711489178">
    <w:abstractNumId w:val="12"/>
  </w:num>
  <w:num w:numId="27" w16cid:durableId="1292439955">
    <w:abstractNumId w:val="31"/>
  </w:num>
  <w:num w:numId="28" w16cid:durableId="1456095594">
    <w:abstractNumId w:val="19"/>
  </w:num>
  <w:num w:numId="29" w16cid:durableId="288627563">
    <w:abstractNumId w:val="23"/>
  </w:num>
  <w:num w:numId="30" w16cid:durableId="2139909993">
    <w:abstractNumId w:val="14"/>
  </w:num>
  <w:num w:numId="31" w16cid:durableId="1445273578">
    <w:abstractNumId w:val="22"/>
  </w:num>
  <w:num w:numId="32" w16cid:durableId="1426419323">
    <w:abstractNumId w:val="21"/>
  </w:num>
  <w:num w:numId="33" w16cid:durableId="93324595">
    <w:abstractNumId w:val="9"/>
  </w:num>
  <w:num w:numId="34" w16cid:durableId="1543397242">
    <w:abstractNumId w:val="26"/>
  </w:num>
  <w:num w:numId="35" w16cid:durableId="81344409">
    <w:abstractNumId w:val="13"/>
  </w:num>
  <w:num w:numId="36" w16cid:durableId="161829679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218"/>
    <w:rsid w:val="000001FD"/>
    <w:rsid w:val="00001192"/>
    <w:rsid w:val="00001F7B"/>
    <w:rsid w:val="000023F8"/>
    <w:rsid w:val="00002C2C"/>
    <w:rsid w:val="00002FDA"/>
    <w:rsid w:val="0000367C"/>
    <w:rsid w:val="0000368A"/>
    <w:rsid w:val="00003E8E"/>
    <w:rsid w:val="00004321"/>
    <w:rsid w:val="000048C4"/>
    <w:rsid w:val="00004BB9"/>
    <w:rsid w:val="000053E0"/>
    <w:rsid w:val="00006254"/>
    <w:rsid w:val="000067B6"/>
    <w:rsid w:val="00007C0C"/>
    <w:rsid w:val="00011CE7"/>
    <w:rsid w:val="00014BD0"/>
    <w:rsid w:val="0001634B"/>
    <w:rsid w:val="00016FF5"/>
    <w:rsid w:val="00017D3D"/>
    <w:rsid w:val="000213C2"/>
    <w:rsid w:val="0002203C"/>
    <w:rsid w:val="000239C5"/>
    <w:rsid w:val="00023EB1"/>
    <w:rsid w:val="00024E7B"/>
    <w:rsid w:val="0002530D"/>
    <w:rsid w:val="00025763"/>
    <w:rsid w:val="0002590E"/>
    <w:rsid w:val="00025BD0"/>
    <w:rsid w:val="000261A3"/>
    <w:rsid w:val="00027225"/>
    <w:rsid w:val="0002771F"/>
    <w:rsid w:val="0002774C"/>
    <w:rsid w:val="00027AD9"/>
    <w:rsid w:val="00027E86"/>
    <w:rsid w:val="000302F9"/>
    <w:rsid w:val="000302FE"/>
    <w:rsid w:val="00030805"/>
    <w:rsid w:val="000321B9"/>
    <w:rsid w:val="000328E3"/>
    <w:rsid w:val="0003316F"/>
    <w:rsid w:val="00035962"/>
    <w:rsid w:val="00035EEC"/>
    <w:rsid w:val="00036883"/>
    <w:rsid w:val="00037978"/>
    <w:rsid w:val="00037EB9"/>
    <w:rsid w:val="000404CE"/>
    <w:rsid w:val="0004076D"/>
    <w:rsid w:val="0004100D"/>
    <w:rsid w:val="00041073"/>
    <w:rsid w:val="0004149A"/>
    <w:rsid w:val="0004185E"/>
    <w:rsid w:val="00042611"/>
    <w:rsid w:val="00043B55"/>
    <w:rsid w:val="00045718"/>
    <w:rsid w:val="00045A55"/>
    <w:rsid w:val="00046180"/>
    <w:rsid w:val="000474FB"/>
    <w:rsid w:val="0004777A"/>
    <w:rsid w:val="0005038E"/>
    <w:rsid w:val="0005063F"/>
    <w:rsid w:val="0005073A"/>
    <w:rsid w:val="00051004"/>
    <w:rsid w:val="00051CBE"/>
    <w:rsid w:val="00052913"/>
    <w:rsid w:val="0005295F"/>
    <w:rsid w:val="00052B25"/>
    <w:rsid w:val="00052BFD"/>
    <w:rsid w:val="000533DF"/>
    <w:rsid w:val="000546EF"/>
    <w:rsid w:val="0005518A"/>
    <w:rsid w:val="00055B68"/>
    <w:rsid w:val="000572BD"/>
    <w:rsid w:val="000574ED"/>
    <w:rsid w:val="0005788D"/>
    <w:rsid w:val="00057C7D"/>
    <w:rsid w:val="000605BA"/>
    <w:rsid w:val="00060B9E"/>
    <w:rsid w:val="000617F3"/>
    <w:rsid w:val="00061D89"/>
    <w:rsid w:val="00062D05"/>
    <w:rsid w:val="00064A0C"/>
    <w:rsid w:val="00064C3E"/>
    <w:rsid w:val="00064F80"/>
    <w:rsid w:val="00065240"/>
    <w:rsid w:val="000653C1"/>
    <w:rsid w:val="000660E1"/>
    <w:rsid w:val="0006644E"/>
    <w:rsid w:val="00066D10"/>
    <w:rsid w:val="00066EA4"/>
    <w:rsid w:val="00067984"/>
    <w:rsid w:val="000703F9"/>
    <w:rsid w:val="000704FB"/>
    <w:rsid w:val="00070F74"/>
    <w:rsid w:val="00071649"/>
    <w:rsid w:val="000717CA"/>
    <w:rsid w:val="00072484"/>
    <w:rsid w:val="00072997"/>
    <w:rsid w:val="0007364B"/>
    <w:rsid w:val="000739B1"/>
    <w:rsid w:val="00074E67"/>
    <w:rsid w:val="00075878"/>
    <w:rsid w:val="00077BD0"/>
    <w:rsid w:val="00081C7F"/>
    <w:rsid w:val="00081F8F"/>
    <w:rsid w:val="0008205A"/>
    <w:rsid w:val="00083162"/>
    <w:rsid w:val="00083694"/>
    <w:rsid w:val="00083E4C"/>
    <w:rsid w:val="00083ECB"/>
    <w:rsid w:val="00085C41"/>
    <w:rsid w:val="00085F6F"/>
    <w:rsid w:val="000906FB"/>
    <w:rsid w:val="00090727"/>
    <w:rsid w:val="00090729"/>
    <w:rsid w:val="00090DED"/>
    <w:rsid w:val="000912F6"/>
    <w:rsid w:val="00091396"/>
    <w:rsid w:val="0009143D"/>
    <w:rsid w:val="000927AC"/>
    <w:rsid w:val="00093B48"/>
    <w:rsid w:val="00095E11"/>
    <w:rsid w:val="000961CC"/>
    <w:rsid w:val="0009752F"/>
    <w:rsid w:val="000A0F1E"/>
    <w:rsid w:val="000A11D4"/>
    <w:rsid w:val="000A145A"/>
    <w:rsid w:val="000A3EED"/>
    <w:rsid w:val="000A46CB"/>
    <w:rsid w:val="000A567A"/>
    <w:rsid w:val="000A5864"/>
    <w:rsid w:val="000A5EB9"/>
    <w:rsid w:val="000A6047"/>
    <w:rsid w:val="000A6A22"/>
    <w:rsid w:val="000A6A3E"/>
    <w:rsid w:val="000A6D86"/>
    <w:rsid w:val="000A725B"/>
    <w:rsid w:val="000A782B"/>
    <w:rsid w:val="000A7989"/>
    <w:rsid w:val="000A7F1E"/>
    <w:rsid w:val="000B0980"/>
    <w:rsid w:val="000B09B5"/>
    <w:rsid w:val="000B1305"/>
    <w:rsid w:val="000B1B1A"/>
    <w:rsid w:val="000B1FAA"/>
    <w:rsid w:val="000B21F0"/>
    <w:rsid w:val="000B2A2B"/>
    <w:rsid w:val="000B2E68"/>
    <w:rsid w:val="000B336E"/>
    <w:rsid w:val="000B37C3"/>
    <w:rsid w:val="000B3B88"/>
    <w:rsid w:val="000B4EFD"/>
    <w:rsid w:val="000B4F7D"/>
    <w:rsid w:val="000B5634"/>
    <w:rsid w:val="000B624A"/>
    <w:rsid w:val="000B6324"/>
    <w:rsid w:val="000B7BB5"/>
    <w:rsid w:val="000C0BA2"/>
    <w:rsid w:val="000C2444"/>
    <w:rsid w:val="000C3933"/>
    <w:rsid w:val="000C3A97"/>
    <w:rsid w:val="000C48C1"/>
    <w:rsid w:val="000C5A8D"/>
    <w:rsid w:val="000C5AB4"/>
    <w:rsid w:val="000C7B76"/>
    <w:rsid w:val="000C7E9B"/>
    <w:rsid w:val="000D140C"/>
    <w:rsid w:val="000D1801"/>
    <w:rsid w:val="000D29D1"/>
    <w:rsid w:val="000D3A0F"/>
    <w:rsid w:val="000D3F99"/>
    <w:rsid w:val="000D4135"/>
    <w:rsid w:val="000D442D"/>
    <w:rsid w:val="000D4A99"/>
    <w:rsid w:val="000D536D"/>
    <w:rsid w:val="000D5FCE"/>
    <w:rsid w:val="000D6253"/>
    <w:rsid w:val="000D664C"/>
    <w:rsid w:val="000D6745"/>
    <w:rsid w:val="000E0343"/>
    <w:rsid w:val="000E0782"/>
    <w:rsid w:val="000E20E1"/>
    <w:rsid w:val="000E22CC"/>
    <w:rsid w:val="000E38BA"/>
    <w:rsid w:val="000E4512"/>
    <w:rsid w:val="000E58F3"/>
    <w:rsid w:val="000E61D5"/>
    <w:rsid w:val="000E67FE"/>
    <w:rsid w:val="000E7042"/>
    <w:rsid w:val="000E7349"/>
    <w:rsid w:val="000E7561"/>
    <w:rsid w:val="000F0017"/>
    <w:rsid w:val="000F064C"/>
    <w:rsid w:val="000F1B9D"/>
    <w:rsid w:val="000F2BBD"/>
    <w:rsid w:val="000F2DD4"/>
    <w:rsid w:val="000F561C"/>
    <w:rsid w:val="000F70BC"/>
    <w:rsid w:val="000F79D4"/>
    <w:rsid w:val="000F7F28"/>
    <w:rsid w:val="00100E73"/>
    <w:rsid w:val="00100F08"/>
    <w:rsid w:val="001010A8"/>
    <w:rsid w:val="001011C8"/>
    <w:rsid w:val="00101673"/>
    <w:rsid w:val="00101902"/>
    <w:rsid w:val="00101A39"/>
    <w:rsid w:val="00101FBF"/>
    <w:rsid w:val="0010434D"/>
    <w:rsid w:val="00105B51"/>
    <w:rsid w:val="00106421"/>
    <w:rsid w:val="001067C6"/>
    <w:rsid w:val="00107A6D"/>
    <w:rsid w:val="00107D60"/>
    <w:rsid w:val="00110423"/>
    <w:rsid w:val="0011167B"/>
    <w:rsid w:val="00111BA2"/>
    <w:rsid w:val="001134ED"/>
    <w:rsid w:val="001136C3"/>
    <w:rsid w:val="00114379"/>
    <w:rsid w:val="001201D3"/>
    <w:rsid w:val="00120AF5"/>
    <w:rsid w:val="00120E7B"/>
    <w:rsid w:val="00122072"/>
    <w:rsid w:val="001238BE"/>
    <w:rsid w:val="00123DFA"/>
    <w:rsid w:val="00124AF5"/>
    <w:rsid w:val="00124D9E"/>
    <w:rsid w:val="00124FB6"/>
    <w:rsid w:val="0012569F"/>
    <w:rsid w:val="00125B16"/>
    <w:rsid w:val="00125C36"/>
    <w:rsid w:val="001260BA"/>
    <w:rsid w:val="001271DD"/>
    <w:rsid w:val="00127BEB"/>
    <w:rsid w:val="001305F9"/>
    <w:rsid w:val="001306D6"/>
    <w:rsid w:val="00131196"/>
    <w:rsid w:val="0013138A"/>
    <w:rsid w:val="0013173F"/>
    <w:rsid w:val="00131E99"/>
    <w:rsid w:val="001324A9"/>
    <w:rsid w:val="001329B4"/>
    <w:rsid w:val="0013428E"/>
    <w:rsid w:val="00134302"/>
    <w:rsid w:val="001344B4"/>
    <w:rsid w:val="00134E37"/>
    <w:rsid w:val="001358D6"/>
    <w:rsid w:val="00135D47"/>
    <w:rsid w:val="001374CA"/>
    <w:rsid w:val="00137A23"/>
    <w:rsid w:val="00137C0D"/>
    <w:rsid w:val="0014064C"/>
    <w:rsid w:val="001428BE"/>
    <w:rsid w:val="00142B55"/>
    <w:rsid w:val="00142EAC"/>
    <w:rsid w:val="00143208"/>
    <w:rsid w:val="001432B7"/>
    <w:rsid w:val="00144A81"/>
    <w:rsid w:val="00144B78"/>
    <w:rsid w:val="00144BDF"/>
    <w:rsid w:val="001454FD"/>
    <w:rsid w:val="00145A2A"/>
    <w:rsid w:val="0014764E"/>
    <w:rsid w:val="00147D7F"/>
    <w:rsid w:val="001512BC"/>
    <w:rsid w:val="001514AD"/>
    <w:rsid w:val="001516BF"/>
    <w:rsid w:val="0015291E"/>
    <w:rsid w:val="00152B4B"/>
    <w:rsid w:val="001534EA"/>
    <w:rsid w:val="00155889"/>
    <w:rsid w:val="001572C7"/>
    <w:rsid w:val="00160105"/>
    <w:rsid w:val="0016199F"/>
    <w:rsid w:val="00161B71"/>
    <w:rsid w:val="00161FAC"/>
    <w:rsid w:val="0016277F"/>
    <w:rsid w:val="0016376F"/>
    <w:rsid w:val="00164614"/>
    <w:rsid w:val="001652F2"/>
    <w:rsid w:val="00165F87"/>
    <w:rsid w:val="00170249"/>
    <w:rsid w:val="00171811"/>
    <w:rsid w:val="00171BFE"/>
    <w:rsid w:val="00172CA7"/>
    <w:rsid w:val="00172D77"/>
    <w:rsid w:val="00172DC0"/>
    <w:rsid w:val="001739CB"/>
    <w:rsid w:val="0017574A"/>
    <w:rsid w:val="0017586F"/>
    <w:rsid w:val="00175C80"/>
    <w:rsid w:val="00177C46"/>
    <w:rsid w:val="001805A7"/>
    <w:rsid w:val="00182244"/>
    <w:rsid w:val="0018397D"/>
    <w:rsid w:val="0018426A"/>
    <w:rsid w:val="00184C54"/>
    <w:rsid w:val="00184EF5"/>
    <w:rsid w:val="00185F75"/>
    <w:rsid w:val="001867EC"/>
    <w:rsid w:val="00186BF8"/>
    <w:rsid w:val="00186DC1"/>
    <w:rsid w:val="00186DFB"/>
    <w:rsid w:val="001909D3"/>
    <w:rsid w:val="00190AD7"/>
    <w:rsid w:val="001914FD"/>
    <w:rsid w:val="001918BF"/>
    <w:rsid w:val="00191BE4"/>
    <w:rsid w:val="00192BED"/>
    <w:rsid w:val="00193439"/>
    <w:rsid w:val="00193487"/>
    <w:rsid w:val="001950A3"/>
    <w:rsid w:val="001954EC"/>
    <w:rsid w:val="00196E5E"/>
    <w:rsid w:val="00196FEA"/>
    <w:rsid w:val="00197B6B"/>
    <w:rsid w:val="001A22A8"/>
    <w:rsid w:val="001A28F8"/>
    <w:rsid w:val="001A36C8"/>
    <w:rsid w:val="001A38A7"/>
    <w:rsid w:val="001A3E45"/>
    <w:rsid w:val="001A5003"/>
    <w:rsid w:val="001A5C63"/>
    <w:rsid w:val="001A63CD"/>
    <w:rsid w:val="001A7548"/>
    <w:rsid w:val="001B081F"/>
    <w:rsid w:val="001B0E02"/>
    <w:rsid w:val="001B0E3E"/>
    <w:rsid w:val="001B1F8B"/>
    <w:rsid w:val="001B2009"/>
    <w:rsid w:val="001B4199"/>
    <w:rsid w:val="001B7035"/>
    <w:rsid w:val="001B725F"/>
    <w:rsid w:val="001B7F1C"/>
    <w:rsid w:val="001C0CB2"/>
    <w:rsid w:val="001C0D18"/>
    <w:rsid w:val="001C258B"/>
    <w:rsid w:val="001C2CA9"/>
    <w:rsid w:val="001C2CAC"/>
    <w:rsid w:val="001C2E60"/>
    <w:rsid w:val="001C2FA8"/>
    <w:rsid w:val="001C381D"/>
    <w:rsid w:val="001C5DC2"/>
    <w:rsid w:val="001C6BA8"/>
    <w:rsid w:val="001C6D03"/>
    <w:rsid w:val="001C6F9B"/>
    <w:rsid w:val="001C763A"/>
    <w:rsid w:val="001D0898"/>
    <w:rsid w:val="001D0943"/>
    <w:rsid w:val="001D16B8"/>
    <w:rsid w:val="001D1FB6"/>
    <w:rsid w:val="001D3129"/>
    <w:rsid w:val="001D3D1B"/>
    <w:rsid w:val="001D54C3"/>
    <w:rsid w:val="001D6859"/>
    <w:rsid w:val="001E38FC"/>
    <w:rsid w:val="001E3FE2"/>
    <w:rsid w:val="001E4423"/>
    <w:rsid w:val="001E58C4"/>
    <w:rsid w:val="001E5DD5"/>
    <w:rsid w:val="001E5ED9"/>
    <w:rsid w:val="001E6EAD"/>
    <w:rsid w:val="001E7AB4"/>
    <w:rsid w:val="001F09FA"/>
    <w:rsid w:val="001F0FD8"/>
    <w:rsid w:val="001F164E"/>
    <w:rsid w:val="001F1CC6"/>
    <w:rsid w:val="001F23B8"/>
    <w:rsid w:val="001F2868"/>
    <w:rsid w:val="001F31BB"/>
    <w:rsid w:val="001F343E"/>
    <w:rsid w:val="001F36D6"/>
    <w:rsid w:val="001F3FE0"/>
    <w:rsid w:val="001F4E83"/>
    <w:rsid w:val="001F59D3"/>
    <w:rsid w:val="001F6330"/>
    <w:rsid w:val="001F66DE"/>
    <w:rsid w:val="001F6F55"/>
    <w:rsid w:val="001F7093"/>
    <w:rsid w:val="001F7129"/>
    <w:rsid w:val="00200091"/>
    <w:rsid w:val="00201984"/>
    <w:rsid w:val="0020380E"/>
    <w:rsid w:val="002042EF"/>
    <w:rsid w:val="002048B8"/>
    <w:rsid w:val="00204A8F"/>
    <w:rsid w:val="0020549A"/>
    <w:rsid w:val="00205C78"/>
    <w:rsid w:val="00205E0A"/>
    <w:rsid w:val="00206249"/>
    <w:rsid w:val="00210285"/>
    <w:rsid w:val="00211170"/>
    <w:rsid w:val="00212537"/>
    <w:rsid w:val="0021359D"/>
    <w:rsid w:val="00213D03"/>
    <w:rsid w:val="0021469B"/>
    <w:rsid w:val="002148C8"/>
    <w:rsid w:val="00214B5E"/>
    <w:rsid w:val="00214C24"/>
    <w:rsid w:val="00215CF2"/>
    <w:rsid w:val="00216DAE"/>
    <w:rsid w:val="00221AF9"/>
    <w:rsid w:val="00221B31"/>
    <w:rsid w:val="002229E4"/>
    <w:rsid w:val="00223184"/>
    <w:rsid w:val="002235C2"/>
    <w:rsid w:val="00223EF6"/>
    <w:rsid w:val="00225237"/>
    <w:rsid w:val="00225E8E"/>
    <w:rsid w:val="00227450"/>
    <w:rsid w:val="00227575"/>
    <w:rsid w:val="002276A6"/>
    <w:rsid w:val="00227CFF"/>
    <w:rsid w:val="002303FF"/>
    <w:rsid w:val="002316D0"/>
    <w:rsid w:val="0023178F"/>
    <w:rsid w:val="002324EF"/>
    <w:rsid w:val="002336BB"/>
    <w:rsid w:val="00233A75"/>
    <w:rsid w:val="00234070"/>
    <w:rsid w:val="002345F0"/>
    <w:rsid w:val="00234638"/>
    <w:rsid w:val="002357C4"/>
    <w:rsid w:val="0023611D"/>
    <w:rsid w:val="002372B6"/>
    <w:rsid w:val="00237847"/>
    <w:rsid w:val="00237A04"/>
    <w:rsid w:val="00240855"/>
    <w:rsid w:val="00242593"/>
    <w:rsid w:val="002432A9"/>
    <w:rsid w:val="0024392D"/>
    <w:rsid w:val="00243D4E"/>
    <w:rsid w:val="002442F6"/>
    <w:rsid w:val="002444B6"/>
    <w:rsid w:val="00244550"/>
    <w:rsid w:val="00244CBF"/>
    <w:rsid w:val="00245B1F"/>
    <w:rsid w:val="0024602A"/>
    <w:rsid w:val="002460CF"/>
    <w:rsid w:val="002475E0"/>
    <w:rsid w:val="00247770"/>
    <w:rsid w:val="002479F3"/>
    <w:rsid w:val="0025056F"/>
    <w:rsid w:val="00253774"/>
    <w:rsid w:val="00253EE4"/>
    <w:rsid w:val="002572E5"/>
    <w:rsid w:val="002578EC"/>
    <w:rsid w:val="00257BC9"/>
    <w:rsid w:val="00260207"/>
    <w:rsid w:val="00260D01"/>
    <w:rsid w:val="0026109E"/>
    <w:rsid w:val="00261697"/>
    <w:rsid w:val="002618DF"/>
    <w:rsid w:val="00261D00"/>
    <w:rsid w:val="00261DC8"/>
    <w:rsid w:val="00262FF8"/>
    <w:rsid w:val="0026339A"/>
    <w:rsid w:val="002633D9"/>
    <w:rsid w:val="002642DC"/>
    <w:rsid w:val="002647D4"/>
    <w:rsid w:val="00264AF2"/>
    <w:rsid w:val="0026530D"/>
    <w:rsid w:val="00265C55"/>
    <w:rsid w:val="00266F4D"/>
    <w:rsid w:val="00272316"/>
    <w:rsid w:val="00273992"/>
    <w:rsid w:val="00273F7D"/>
    <w:rsid w:val="002743A1"/>
    <w:rsid w:val="00274D00"/>
    <w:rsid w:val="00275413"/>
    <w:rsid w:val="00275746"/>
    <w:rsid w:val="00275B7D"/>
    <w:rsid w:val="00275E2B"/>
    <w:rsid w:val="0027745E"/>
    <w:rsid w:val="00280224"/>
    <w:rsid w:val="00280AC6"/>
    <w:rsid w:val="00281AED"/>
    <w:rsid w:val="002820BA"/>
    <w:rsid w:val="002824C3"/>
    <w:rsid w:val="00283872"/>
    <w:rsid w:val="00283A4B"/>
    <w:rsid w:val="0028519D"/>
    <w:rsid w:val="0028574B"/>
    <w:rsid w:val="002859FE"/>
    <w:rsid w:val="00286850"/>
    <w:rsid w:val="00286F99"/>
    <w:rsid w:val="00287583"/>
    <w:rsid w:val="00287FFA"/>
    <w:rsid w:val="002911D5"/>
    <w:rsid w:val="002927DB"/>
    <w:rsid w:val="002928B9"/>
    <w:rsid w:val="002950ED"/>
    <w:rsid w:val="0029519F"/>
    <w:rsid w:val="00295B5F"/>
    <w:rsid w:val="00296166"/>
    <w:rsid w:val="0029732E"/>
    <w:rsid w:val="002A02A9"/>
    <w:rsid w:val="002A0D9B"/>
    <w:rsid w:val="002A1392"/>
    <w:rsid w:val="002A29EB"/>
    <w:rsid w:val="002A3293"/>
    <w:rsid w:val="002A383A"/>
    <w:rsid w:val="002A3906"/>
    <w:rsid w:val="002A3EED"/>
    <w:rsid w:val="002A4B17"/>
    <w:rsid w:val="002A5D69"/>
    <w:rsid w:val="002A6396"/>
    <w:rsid w:val="002A66BD"/>
    <w:rsid w:val="002A70F3"/>
    <w:rsid w:val="002A7A53"/>
    <w:rsid w:val="002B1266"/>
    <w:rsid w:val="002B23FA"/>
    <w:rsid w:val="002B43A5"/>
    <w:rsid w:val="002B4A69"/>
    <w:rsid w:val="002B56AD"/>
    <w:rsid w:val="002B6075"/>
    <w:rsid w:val="002B64D2"/>
    <w:rsid w:val="002B6E60"/>
    <w:rsid w:val="002B7021"/>
    <w:rsid w:val="002B7450"/>
    <w:rsid w:val="002B7F7A"/>
    <w:rsid w:val="002C0F9C"/>
    <w:rsid w:val="002C1BB0"/>
    <w:rsid w:val="002C1DC2"/>
    <w:rsid w:val="002C300E"/>
    <w:rsid w:val="002C30E8"/>
    <w:rsid w:val="002C35F6"/>
    <w:rsid w:val="002C3D9A"/>
    <w:rsid w:val="002C3DF7"/>
    <w:rsid w:val="002C3F2F"/>
    <w:rsid w:val="002C4AE2"/>
    <w:rsid w:val="002C6458"/>
    <w:rsid w:val="002C6AE6"/>
    <w:rsid w:val="002C7E5A"/>
    <w:rsid w:val="002D1054"/>
    <w:rsid w:val="002D22CA"/>
    <w:rsid w:val="002D355E"/>
    <w:rsid w:val="002D424F"/>
    <w:rsid w:val="002D509B"/>
    <w:rsid w:val="002D5C6A"/>
    <w:rsid w:val="002D68E2"/>
    <w:rsid w:val="002D7C93"/>
    <w:rsid w:val="002E0725"/>
    <w:rsid w:val="002E07AE"/>
    <w:rsid w:val="002E0E18"/>
    <w:rsid w:val="002E122F"/>
    <w:rsid w:val="002E2897"/>
    <w:rsid w:val="002E29A5"/>
    <w:rsid w:val="002E2A25"/>
    <w:rsid w:val="002E3615"/>
    <w:rsid w:val="002E3991"/>
    <w:rsid w:val="002E41E4"/>
    <w:rsid w:val="002E4B4B"/>
    <w:rsid w:val="002E53C3"/>
    <w:rsid w:val="002E5B03"/>
    <w:rsid w:val="002E6598"/>
    <w:rsid w:val="002E6E2F"/>
    <w:rsid w:val="002E7418"/>
    <w:rsid w:val="002E75F5"/>
    <w:rsid w:val="002F1081"/>
    <w:rsid w:val="002F28A9"/>
    <w:rsid w:val="002F2CA7"/>
    <w:rsid w:val="002F3057"/>
    <w:rsid w:val="002F3274"/>
    <w:rsid w:val="002F3B4C"/>
    <w:rsid w:val="002F3EB5"/>
    <w:rsid w:val="002F408F"/>
    <w:rsid w:val="002F47C4"/>
    <w:rsid w:val="002F4D64"/>
    <w:rsid w:val="002F5690"/>
    <w:rsid w:val="002F5F31"/>
    <w:rsid w:val="002F60F2"/>
    <w:rsid w:val="002F69D9"/>
    <w:rsid w:val="002F6E23"/>
    <w:rsid w:val="00300482"/>
    <w:rsid w:val="00302C37"/>
    <w:rsid w:val="0030336C"/>
    <w:rsid w:val="00303B31"/>
    <w:rsid w:val="00305A5B"/>
    <w:rsid w:val="003060CC"/>
    <w:rsid w:val="00306575"/>
    <w:rsid w:val="00306C0E"/>
    <w:rsid w:val="00306E9C"/>
    <w:rsid w:val="00307FAF"/>
    <w:rsid w:val="0031092F"/>
    <w:rsid w:val="00310C4F"/>
    <w:rsid w:val="00310CA1"/>
    <w:rsid w:val="00311A00"/>
    <w:rsid w:val="00311F7F"/>
    <w:rsid w:val="003122CC"/>
    <w:rsid w:val="00312614"/>
    <w:rsid w:val="0031264A"/>
    <w:rsid w:val="00312B27"/>
    <w:rsid w:val="00313B29"/>
    <w:rsid w:val="00314E27"/>
    <w:rsid w:val="00317895"/>
    <w:rsid w:val="00320354"/>
    <w:rsid w:val="00320647"/>
    <w:rsid w:val="00321335"/>
    <w:rsid w:val="003216FF"/>
    <w:rsid w:val="003219FD"/>
    <w:rsid w:val="003223F7"/>
    <w:rsid w:val="0032250A"/>
    <w:rsid w:val="003227A5"/>
    <w:rsid w:val="00323858"/>
    <w:rsid w:val="00323B9A"/>
    <w:rsid w:val="00323DDD"/>
    <w:rsid w:val="00324FD1"/>
    <w:rsid w:val="00325260"/>
    <w:rsid w:val="003260B8"/>
    <w:rsid w:val="00327936"/>
    <w:rsid w:val="00327AB4"/>
    <w:rsid w:val="00330129"/>
    <w:rsid w:val="00330881"/>
    <w:rsid w:val="00330C37"/>
    <w:rsid w:val="00331B2F"/>
    <w:rsid w:val="00331B9A"/>
    <w:rsid w:val="00331BBE"/>
    <w:rsid w:val="00331EA8"/>
    <w:rsid w:val="00332098"/>
    <w:rsid w:val="00332FCD"/>
    <w:rsid w:val="003331F8"/>
    <w:rsid w:val="0033349F"/>
    <w:rsid w:val="0033489F"/>
    <w:rsid w:val="003359E3"/>
    <w:rsid w:val="00336590"/>
    <w:rsid w:val="00336FC6"/>
    <w:rsid w:val="0033752C"/>
    <w:rsid w:val="00341DB5"/>
    <w:rsid w:val="00342BCE"/>
    <w:rsid w:val="0034466A"/>
    <w:rsid w:val="00345412"/>
    <w:rsid w:val="00345B38"/>
    <w:rsid w:val="0034679A"/>
    <w:rsid w:val="00347CB0"/>
    <w:rsid w:val="00350AF2"/>
    <w:rsid w:val="0035131B"/>
    <w:rsid w:val="00351CDA"/>
    <w:rsid w:val="00352077"/>
    <w:rsid w:val="00353093"/>
    <w:rsid w:val="00353D2C"/>
    <w:rsid w:val="003547D2"/>
    <w:rsid w:val="00354A4B"/>
    <w:rsid w:val="00355692"/>
    <w:rsid w:val="00355E59"/>
    <w:rsid w:val="00356FFB"/>
    <w:rsid w:val="0035714A"/>
    <w:rsid w:val="00357240"/>
    <w:rsid w:val="00357CFD"/>
    <w:rsid w:val="00360994"/>
    <w:rsid w:val="00361569"/>
    <w:rsid w:val="00361842"/>
    <w:rsid w:val="00362338"/>
    <w:rsid w:val="00362697"/>
    <w:rsid w:val="00362A2C"/>
    <w:rsid w:val="00363500"/>
    <w:rsid w:val="0036458D"/>
    <w:rsid w:val="003653C1"/>
    <w:rsid w:val="003665A4"/>
    <w:rsid w:val="00366776"/>
    <w:rsid w:val="0036688F"/>
    <w:rsid w:val="00366923"/>
    <w:rsid w:val="00366A9D"/>
    <w:rsid w:val="00367196"/>
    <w:rsid w:val="00367718"/>
    <w:rsid w:val="00367895"/>
    <w:rsid w:val="003708C1"/>
    <w:rsid w:val="00370FD6"/>
    <w:rsid w:val="003713BB"/>
    <w:rsid w:val="00372845"/>
    <w:rsid w:val="00372EC0"/>
    <w:rsid w:val="00374E1D"/>
    <w:rsid w:val="00375501"/>
    <w:rsid w:val="00376171"/>
    <w:rsid w:val="00377DC0"/>
    <w:rsid w:val="00380884"/>
    <w:rsid w:val="00380EA3"/>
    <w:rsid w:val="003815A2"/>
    <w:rsid w:val="00382236"/>
    <w:rsid w:val="00382AB0"/>
    <w:rsid w:val="00382E63"/>
    <w:rsid w:val="00385788"/>
    <w:rsid w:val="00385ABF"/>
    <w:rsid w:val="00385EA9"/>
    <w:rsid w:val="00385F4D"/>
    <w:rsid w:val="0039018F"/>
    <w:rsid w:val="00390421"/>
    <w:rsid w:val="00390626"/>
    <w:rsid w:val="0039087B"/>
    <w:rsid w:val="00390F0F"/>
    <w:rsid w:val="0039115D"/>
    <w:rsid w:val="00391CF4"/>
    <w:rsid w:val="003926FD"/>
    <w:rsid w:val="00392C71"/>
    <w:rsid w:val="00392ED2"/>
    <w:rsid w:val="00394424"/>
    <w:rsid w:val="00394B95"/>
    <w:rsid w:val="00394F4F"/>
    <w:rsid w:val="003956E3"/>
    <w:rsid w:val="00397229"/>
    <w:rsid w:val="00397261"/>
    <w:rsid w:val="0039732B"/>
    <w:rsid w:val="00397900"/>
    <w:rsid w:val="00397AB5"/>
    <w:rsid w:val="003A0C76"/>
    <w:rsid w:val="003A2337"/>
    <w:rsid w:val="003A2824"/>
    <w:rsid w:val="003A300F"/>
    <w:rsid w:val="003A44CA"/>
    <w:rsid w:val="003A4E44"/>
    <w:rsid w:val="003A6C49"/>
    <w:rsid w:val="003A70A2"/>
    <w:rsid w:val="003B08D1"/>
    <w:rsid w:val="003B248E"/>
    <w:rsid w:val="003B267A"/>
    <w:rsid w:val="003B283A"/>
    <w:rsid w:val="003B32CF"/>
    <w:rsid w:val="003B33D7"/>
    <w:rsid w:val="003B3656"/>
    <w:rsid w:val="003B365A"/>
    <w:rsid w:val="003B3822"/>
    <w:rsid w:val="003B474F"/>
    <w:rsid w:val="003B4858"/>
    <w:rsid w:val="003B5178"/>
    <w:rsid w:val="003B59C3"/>
    <w:rsid w:val="003B7921"/>
    <w:rsid w:val="003C065F"/>
    <w:rsid w:val="003C0817"/>
    <w:rsid w:val="003C1AFC"/>
    <w:rsid w:val="003C308E"/>
    <w:rsid w:val="003C48A1"/>
    <w:rsid w:val="003C4FAE"/>
    <w:rsid w:val="003C5804"/>
    <w:rsid w:val="003C5879"/>
    <w:rsid w:val="003D14BF"/>
    <w:rsid w:val="003D1CCF"/>
    <w:rsid w:val="003D2E0B"/>
    <w:rsid w:val="003D48E5"/>
    <w:rsid w:val="003D606D"/>
    <w:rsid w:val="003D60F2"/>
    <w:rsid w:val="003D6BCC"/>
    <w:rsid w:val="003D6E7E"/>
    <w:rsid w:val="003D6EE6"/>
    <w:rsid w:val="003D710D"/>
    <w:rsid w:val="003E0796"/>
    <w:rsid w:val="003E0B46"/>
    <w:rsid w:val="003E0B70"/>
    <w:rsid w:val="003E3395"/>
    <w:rsid w:val="003E36D4"/>
    <w:rsid w:val="003E3A01"/>
    <w:rsid w:val="003E4C2A"/>
    <w:rsid w:val="003E5919"/>
    <w:rsid w:val="003E5F1E"/>
    <w:rsid w:val="003E68BB"/>
    <w:rsid w:val="003E694D"/>
    <w:rsid w:val="003F01A1"/>
    <w:rsid w:val="003F3220"/>
    <w:rsid w:val="003F3E9D"/>
    <w:rsid w:val="003F47B5"/>
    <w:rsid w:val="003F5BCF"/>
    <w:rsid w:val="003F5C34"/>
    <w:rsid w:val="003F61E3"/>
    <w:rsid w:val="00400CA9"/>
    <w:rsid w:val="00400EBC"/>
    <w:rsid w:val="004011AA"/>
    <w:rsid w:val="00402EB4"/>
    <w:rsid w:val="00403469"/>
    <w:rsid w:val="00404A17"/>
    <w:rsid w:val="004053EF"/>
    <w:rsid w:val="00407282"/>
    <w:rsid w:val="00407BAF"/>
    <w:rsid w:val="0041009B"/>
    <w:rsid w:val="004107B4"/>
    <w:rsid w:val="0041180B"/>
    <w:rsid w:val="004126E6"/>
    <w:rsid w:val="00412BCD"/>
    <w:rsid w:val="00412E44"/>
    <w:rsid w:val="0041305C"/>
    <w:rsid w:val="00413451"/>
    <w:rsid w:val="00414A4A"/>
    <w:rsid w:val="00416B3B"/>
    <w:rsid w:val="00417624"/>
    <w:rsid w:val="00417E5A"/>
    <w:rsid w:val="0042089A"/>
    <w:rsid w:val="004209A7"/>
    <w:rsid w:val="00420F08"/>
    <w:rsid w:val="00422AD4"/>
    <w:rsid w:val="00422D3A"/>
    <w:rsid w:val="00423F48"/>
    <w:rsid w:val="0042410C"/>
    <w:rsid w:val="00425087"/>
    <w:rsid w:val="00425089"/>
    <w:rsid w:val="0042635E"/>
    <w:rsid w:val="00427C56"/>
    <w:rsid w:val="00430942"/>
    <w:rsid w:val="00430951"/>
    <w:rsid w:val="00431BE4"/>
    <w:rsid w:val="00431BFC"/>
    <w:rsid w:val="00432763"/>
    <w:rsid w:val="00432824"/>
    <w:rsid w:val="0043285E"/>
    <w:rsid w:val="00432984"/>
    <w:rsid w:val="004335DE"/>
    <w:rsid w:val="00433BF2"/>
    <w:rsid w:val="00433C6A"/>
    <w:rsid w:val="00434F4C"/>
    <w:rsid w:val="004351DC"/>
    <w:rsid w:val="00435338"/>
    <w:rsid w:val="004360E4"/>
    <w:rsid w:val="004366C6"/>
    <w:rsid w:val="0044055A"/>
    <w:rsid w:val="00440C82"/>
    <w:rsid w:val="00442B57"/>
    <w:rsid w:val="00442D79"/>
    <w:rsid w:val="0044310C"/>
    <w:rsid w:val="00443381"/>
    <w:rsid w:val="004440ED"/>
    <w:rsid w:val="004450C1"/>
    <w:rsid w:val="00445390"/>
    <w:rsid w:val="00445F75"/>
    <w:rsid w:val="00446B12"/>
    <w:rsid w:val="0044708F"/>
    <w:rsid w:val="004470D7"/>
    <w:rsid w:val="004475D5"/>
    <w:rsid w:val="00447745"/>
    <w:rsid w:val="00447D33"/>
    <w:rsid w:val="004502DC"/>
    <w:rsid w:val="004502ED"/>
    <w:rsid w:val="00452BC6"/>
    <w:rsid w:val="00453D1F"/>
    <w:rsid w:val="0045591F"/>
    <w:rsid w:val="00455AE1"/>
    <w:rsid w:val="004566DE"/>
    <w:rsid w:val="00456871"/>
    <w:rsid w:val="0046001A"/>
    <w:rsid w:val="00464C1F"/>
    <w:rsid w:val="00465225"/>
    <w:rsid w:val="00465736"/>
    <w:rsid w:val="0046633F"/>
    <w:rsid w:val="0046743A"/>
    <w:rsid w:val="00470274"/>
    <w:rsid w:val="004707C8"/>
    <w:rsid w:val="00470F6F"/>
    <w:rsid w:val="00471697"/>
    <w:rsid w:val="00471D8C"/>
    <w:rsid w:val="00471E3B"/>
    <w:rsid w:val="00472C7E"/>
    <w:rsid w:val="00473179"/>
    <w:rsid w:val="00475502"/>
    <w:rsid w:val="00475AEE"/>
    <w:rsid w:val="00476F8E"/>
    <w:rsid w:val="004773D3"/>
    <w:rsid w:val="00477701"/>
    <w:rsid w:val="00477D16"/>
    <w:rsid w:val="00480553"/>
    <w:rsid w:val="00480836"/>
    <w:rsid w:val="0048142D"/>
    <w:rsid w:val="00481795"/>
    <w:rsid w:val="004818EE"/>
    <w:rsid w:val="0048202C"/>
    <w:rsid w:val="00484CBF"/>
    <w:rsid w:val="00486A1A"/>
    <w:rsid w:val="00486B43"/>
    <w:rsid w:val="004875A3"/>
    <w:rsid w:val="00491388"/>
    <w:rsid w:val="00493300"/>
    <w:rsid w:val="0049366D"/>
    <w:rsid w:val="00493D4B"/>
    <w:rsid w:val="004959E6"/>
    <w:rsid w:val="0049673A"/>
    <w:rsid w:val="00497134"/>
    <w:rsid w:val="004973FD"/>
    <w:rsid w:val="00497625"/>
    <w:rsid w:val="004A01D1"/>
    <w:rsid w:val="004A3921"/>
    <w:rsid w:val="004A3F06"/>
    <w:rsid w:val="004A5D9E"/>
    <w:rsid w:val="004A5F0F"/>
    <w:rsid w:val="004A64C8"/>
    <w:rsid w:val="004A6D9D"/>
    <w:rsid w:val="004A758C"/>
    <w:rsid w:val="004A77E7"/>
    <w:rsid w:val="004B105D"/>
    <w:rsid w:val="004B1170"/>
    <w:rsid w:val="004B1850"/>
    <w:rsid w:val="004B1DAA"/>
    <w:rsid w:val="004B2130"/>
    <w:rsid w:val="004B34C8"/>
    <w:rsid w:val="004B3B13"/>
    <w:rsid w:val="004B4790"/>
    <w:rsid w:val="004B49E8"/>
    <w:rsid w:val="004B4AA9"/>
    <w:rsid w:val="004B4AEB"/>
    <w:rsid w:val="004B53CC"/>
    <w:rsid w:val="004B53F6"/>
    <w:rsid w:val="004B5B1D"/>
    <w:rsid w:val="004B79E1"/>
    <w:rsid w:val="004B7F12"/>
    <w:rsid w:val="004C0C42"/>
    <w:rsid w:val="004C23D3"/>
    <w:rsid w:val="004C2AF6"/>
    <w:rsid w:val="004C2C38"/>
    <w:rsid w:val="004C2E39"/>
    <w:rsid w:val="004C3858"/>
    <w:rsid w:val="004C3B5D"/>
    <w:rsid w:val="004C43A6"/>
    <w:rsid w:val="004C4A6C"/>
    <w:rsid w:val="004C542A"/>
    <w:rsid w:val="004C6D8D"/>
    <w:rsid w:val="004C6F22"/>
    <w:rsid w:val="004C705B"/>
    <w:rsid w:val="004C76C2"/>
    <w:rsid w:val="004C7A30"/>
    <w:rsid w:val="004C7C96"/>
    <w:rsid w:val="004D0B8A"/>
    <w:rsid w:val="004D0BB1"/>
    <w:rsid w:val="004D0F14"/>
    <w:rsid w:val="004D11CB"/>
    <w:rsid w:val="004D22A5"/>
    <w:rsid w:val="004D2C10"/>
    <w:rsid w:val="004D2E6A"/>
    <w:rsid w:val="004D2FF1"/>
    <w:rsid w:val="004D3224"/>
    <w:rsid w:val="004D3A08"/>
    <w:rsid w:val="004D5999"/>
    <w:rsid w:val="004D71DA"/>
    <w:rsid w:val="004D734E"/>
    <w:rsid w:val="004D767B"/>
    <w:rsid w:val="004E014B"/>
    <w:rsid w:val="004E02C8"/>
    <w:rsid w:val="004E076D"/>
    <w:rsid w:val="004E0B1B"/>
    <w:rsid w:val="004E0B8B"/>
    <w:rsid w:val="004E1552"/>
    <w:rsid w:val="004E1BD3"/>
    <w:rsid w:val="004E200C"/>
    <w:rsid w:val="004E2C7F"/>
    <w:rsid w:val="004E2D7A"/>
    <w:rsid w:val="004E2DA2"/>
    <w:rsid w:val="004E3135"/>
    <w:rsid w:val="004E319C"/>
    <w:rsid w:val="004E3B79"/>
    <w:rsid w:val="004E494A"/>
    <w:rsid w:val="004E7A57"/>
    <w:rsid w:val="004F1343"/>
    <w:rsid w:val="004F1838"/>
    <w:rsid w:val="004F1A17"/>
    <w:rsid w:val="004F1B34"/>
    <w:rsid w:val="004F2369"/>
    <w:rsid w:val="004F2ACB"/>
    <w:rsid w:val="004F35A7"/>
    <w:rsid w:val="004F3F87"/>
    <w:rsid w:val="004F4559"/>
    <w:rsid w:val="004F4D8A"/>
    <w:rsid w:val="004F6674"/>
    <w:rsid w:val="004F76E0"/>
    <w:rsid w:val="004F7752"/>
    <w:rsid w:val="004F7C51"/>
    <w:rsid w:val="005000A4"/>
    <w:rsid w:val="00501044"/>
    <w:rsid w:val="005019A4"/>
    <w:rsid w:val="00501BFC"/>
    <w:rsid w:val="00502409"/>
    <w:rsid w:val="005037F6"/>
    <w:rsid w:val="00503A4C"/>
    <w:rsid w:val="00503BF5"/>
    <w:rsid w:val="005040A4"/>
    <w:rsid w:val="00506058"/>
    <w:rsid w:val="00506CD7"/>
    <w:rsid w:val="00506D4F"/>
    <w:rsid w:val="00507500"/>
    <w:rsid w:val="00507FA8"/>
    <w:rsid w:val="00510703"/>
    <w:rsid w:val="0051093E"/>
    <w:rsid w:val="005109B7"/>
    <w:rsid w:val="005115FE"/>
    <w:rsid w:val="00511D50"/>
    <w:rsid w:val="005121B8"/>
    <w:rsid w:val="00512D1C"/>
    <w:rsid w:val="00513C51"/>
    <w:rsid w:val="00513C8F"/>
    <w:rsid w:val="0051422F"/>
    <w:rsid w:val="0051507F"/>
    <w:rsid w:val="00516D33"/>
    <w:rsid w:val="00517E9E"/>
    <w:rsid w:val="00521951"/>
    <w:rsid w:val="00521D50"/>
    <w:rsid w:val="00521D8F"/>
    <w:rsid w:val="00521EC2"/>
    <w:rsid w:val="005231E1"/>
    <w:rsid w:val="00524E75"/>
    <w:rsid w:val="005272E3"/>
    <w:rsid w:val="00527EA7"/>
    <w:rsid w:val="00531431"/>
    <w:rsid w:val="00531F4E"/>
    <w:rsid w:val="0053215B"/>
    <w:rsid w:val="005325E4"/>
    <w:rsid w:val="00532929"/>
    <w:rsid w:val="00532A21"/>
    <w:rsid w:val="00532DFB"/>
    <w:rsid w:val="005330C1"/>
    <w:rsid w:val="0053327D"/>
    <w:rsid w:val="0053591A"/>
    <w:rsid w:val="00535B0D"/>
    <w:rsid w:val="005368BD"/>
    <w:rsid w:val="00536BFE"/>
    <w:rsid w:val="00536E72"/>
    <w:rsid w:val="00537410"/>
    <w:rsid w:val="0054058C"/>
    <w:rsid w:val="005407EA"/>
    <w:rsid w:val="005411A8"/>
    <w:rsid w:val="00541426"/>
    <w:rsid w:val="005419AB"/>
    <w:rsid w:val="00542A29"/>
    <w:rsid w:val="00543CC5"/>
    <w:rsid w:val="00543D06"/>
    <w:rsid w:val="00543D8A"/>
    <w:rsid w:val="005442F5"/>
    <w:rsid w:val="00544539"/>
    <w:rsid w:val="005446B5"/>
    <w:rsid w:val="005448A5"/>
    <w:rsid w:val="0054491C"/>
    <w:rsid w:val="00544B0E"/>
    <w:rsid w:val="0054588A"/>
    <w:rsid w:val="00545A91"/>
    <w:rsid w:val="0054686B"/>
    <w:rsid w:val="00546BB7"/>
    <w:rsid w:val="00547732"/>
    <w:rsid w:val="005526ED"/>
    <w:rsid w:val="00553339"/>
    <w:rsid w:val="005533B5"/>
    <w:rsid w:val="0055460E"/>
    <w:rsid w:val="0055472E"/>
    <w:rsid w:val="005552A1"/>
    <w:rsid w:val="00555A1A"/>
    <w:rsid w:val="00555D49"/>
    <w:rsid w:val="005563FA"/>
    <w:rsid w:val="00557045"/>
    <w:rsid w:val="00557111"/>
    <w:rsid w:val="0055755B"/>
    <w:rsid w:val="00560D6D"/>
    <w:rsid w:val="00560EC8"/>
    <w:rsid w:val="00562218"/>
    <w:rsid w:val="005626E8"/>
    <w:rsid w:val="00562A81"/>
    <w:rsid w:val="00562FA1"/>
    <w:rsid w:val="00563589"/>
    <w:rsid w:val="005644A6"/>
    <w:rsid w:val="005660CE"/>
    <w:rsid w:val="00567362"/>
    <w:rsid w:val="00567E50"/>
    <w:rsid w:val="00570D51"/>
    <w:rsid w:val="00571221"/>
    <w:rsid w:val="0057143D"/>
    <w:rsid w:val="0057149C"/>
    <w:rsid w:val="0057157F"/>
    <w:rsid w:val="00572133"/>
    <w:rsid w:val="00572EC1"/>
    <w:rsid w:val="005748F7"/>
    <w:rsid w:val="00575224"/>
    <w:rsid w:val="0057532C"/>
    <w:rsid w:val="00575B04"/>
    <w:rsid w:val="005765BB"/>
    <w:rsid w:val="00576F4D"/>
    <w:rsid w:val="0058083A"/>
    <w:rsid w:val="00580EE2"/>
    <w:rsid w:val="00581C8A"/>
    <w:rsid w:val="0058344F"/>
    <w:rsid w:val="005836A2"/>
    <w:rsid w:val="00584E9E"/>
    <w:rsid w:val="00585E32"/>
    <w:rsid w:val="00585FD9"/>
    <w:rsid w:val="0058674C"/>
    <w:rsid w:val="00587991"/>
    <w:rsid w:val="00587FA4"/>
    <w:rsid w:val="00591013"/>
    <w:rsid w:val="005918E2"/>
    <w:rsid w:val="00591E0F"/>
    <w:rsid w:val="005924EC"/>
    <w:rsid w:val="00592584"/>
    <w:rsid w:val="00593BBE"/>
    <w:rsid w:val="00593F0D"/>
    <w:rsid w:val="005946B7"/>
    <w:rsid w:val="005947DE"/>
    <w:rsid w:val="00594A7B"/>
    <w:rsid w:val="005964AC"/>
    <w:rsid w:val="00596F1C"/>
    <w:rsid w:val="0059755A"/>
    <w:rsid w:val="00597EF7"/>
    <w:rsid w:val="005A013F"/>
    <w:rsid w:val="005A0B81"/>
    <w:rsid w:val="005A148D"/>
    <w:rsid w:val="005A1EA3"/>
    <w:rsid w:val="005A23E4"/>
    <w:rsid w:val="005A2642"/>
    <w:rsid w:val="005A2862"/>
    <w:rsid w:val="005A31CD"/>
    <w:rsid w:val="005A3CCD"/>
    <w:rsid w:val="005A3CEB"/>
    <w:rsid w:val="005A400D"/>
    <w:rsid w:val="005A5257"/>
    <w:rsid w:val="005A572C"/>
    <w:rsid w:val="005A5BB7"/>
    <w:rsid w:val="005A5D62"/>
    <w:rsid w:val="005A60CD"/>
    <w:rsid w:val="005A6843"/>
    <w:rsid w:val="005B1406"/>
    <w:rsid w:val="005B17E1"/>
    <w:rsid w:val="005B2318"/>
    <w:rsid w:val="005B40A1"/>
    <w:rsid w:val="005B4ED1"/>
    <w:rsid w:val="005B5A7A"/>
    <w:rsid w:val="005B60AC"/>
    <w:rsid w:val="005B677D"/>
    <w:rsid w:val="005B7D3D"/>
    <w:rsid w:val="005C024D"/>
    <w:rsid w:val="005C088D"/>
    <w:rsid w:val="005C0AE0"/>
    <w:rsid w:val="005C1000"/>
    <w:rsid w:val="005C155B"/>
    <w:rsid w:val="005C199D"/>
    <w:rsid w:val="005C1AD6"/>
    <w:rsid w:val="005C1B97"/>
    <w:rsid w:val="005C20A4"/>
    <w:rsid w:val="005C2B80"/>
    <w:rsid w:val="005C4548"/>
    <w:rsid w:val="005C5774"/>
    <w:rsid w:val="005C5BF0"/>
    <w:rsid w:val="005C6471"/>
    <w:rsid w:val="005C6997"/>
    <w:rsid w:val="005C6DDD"/>
    <w:rsid w:val="005C6F00"/>
    <w:rsid w:val="005D0924"/>
    <w:rsid w:val="005D1BDD"/>
    <w:rsid w:val="005D21FF"/>
    <w:rsid w:val="005D2D1C"/>
    <w:rsid w:val="005D467D"/>
    <w:rsid w:val="005D47A2"/>
    <w:rsid w:val="005D4AE5"/>
    <w:rsid w:val="005D4AEC"/>
    <w:rsid w:val="005D4C37"/>
    <w:rsid w:val="005D4FA5"/>
    <w:rsid w:val="005D56D9"/>
    <w:rsid w:val="005D5F26"/>
    <w:rsid w:val="005D5F8E"/>
    <w:rsid w:val="005D7362"/>
    <w:rsid w:val="005E18D8"/>
    <w:rsid w:val="005E235C"/>
    <w:rsid w:val="005E28F4"/>
    <w:rsid w:val="005E2AA9"/>
    <w:rsid w:val="005E2DDD"/>
    <w:rsid w:val="005E382B"/>
    <w:rsid w:val="005E3BE0"/>
    <w:rsid w:val="005E4224"/>
    <w:rsid w:val="005E61BA"/>
    <w:rsid w:val="005E756C"/>
    <w:rsid w:val="005E76C5"/>
    <w:rsid w:val="005F080D"/>
    <w:rsid w:val="005F0932"/>
    <w:rsid w:val="005F0CE3"/>
    <w:rsid w:val="005F0E95"/>
    <w:rsid w:val="005F12C1"/>
    <w:rsid w:val="005F19C5"/>
    <w:rsid w:val="005F1E8D"/>
    <w:rsid w:val="005F230D"/>
    <w:rsid w:val="005F40B2"/>
    <w:rsid w:val="005F593C"/>
    <w:rsid w:val="005F6157"/>
    <w:rsid w:val="005F6425"/>
    <w:rsid w:val="005F78CC"/>
    <w:rsid w:val="0060097A"/>
    <w:rsid w:val="006029D6"/>
    <w:rsid w:val="0060516A"/>
    <w:rsid w:val="0060642F"/>
    <w:rsid w:val="006066C4"/>
    <w:rsid w:val="00606F4C"/>
    <w:rsid w:val="00610576"/>
    <w:rsid w:val="006108F9"/>
    <w:rsid w:val="006109D8"/>
    <w:rsid w:val="0061148C"/>
    <w:rsid w:val="00611670"/>
    <w:rsid w:val="0061197D"/>
    <w:rsid w:val="00611F29"/>
    <w:rsid w:val="006143AB"/>
    <w:rsid w:val="006155BA"/>
    <w:rsid w:val="00620AA5"/>
    <w:rsid w:val="00622207"/>
    <w:rsid w:val="00624E78"/>
    <w:rsid w:val="00625D7D"/>
    <w:rsid w:val="006308D9"/>
    <w:rsid w:val="0063153F"/>
    <w:rsid w:val="00631632"/>
    <w:rsid w:val="00633FAB"/>
    <w:rsid w:val="00635255"/>
    <w:rsid w:val="00635E70"/>
    <w:rsid w:val="0063675C"/>
    <w:rsid w:val="0064002D"/>
    <w:rsid w:val="00640135"/>
    <w:rsid w:val="00640B5A"/>
    <w:rsid w:val="006423DF"/>
    <w:rsid w:val="00642435"/>
    <w:rsid w:val="00642A76"/>
    <w:rsid w:val="00642A9A"/>
    <w:rsid w:val="006439F2"/>
    <w:rsid w:val="00643A9E"/>
    <w:rsid w:val="00643EC4"/>
    <w:rsid w:val="006450CF"/>
    <w:rsid w:val="00645B60"/>
    <w:rsid w:val="00645EDE"/>
    <w:rsid w:val="0064777E"/>
    <w:rsid w:val="0065001E"/>
    <w:rsid w:val="0065176C"/>
    <w:rsid w:val="00653D94"/>
    <w:rsid w:val="00655093"/>
    <w:rsid w:val="00655BCA"/>
    <w:rsid w:val="00657A15"/>
    <w:rsid w:val="006606E0"/>
    <w:rsid w:val="00662B8D"/>
    <w:rsid w:val="00663134"/>
    <w:rsid w:val="006638A4"/>
    <w:rsid w:val="0066466C"/>
    <w:rsid w:val="00664A1B"/>
    <w:rsid w:val="00664E89"/>
    <w:rsid w:val="00665978"/>
    <w:rsid w:val="00665F1E"/>
    <w:rsid w:val="0066685D"/>
    <w:rsid w:val="00666A4A"/>
    <w:rsid w:val="006670A4"/>
    <w:rsid w:val="0066718D"/>
    <w:rsid w:val="006705B2"/>
    <w:rsid w:val="006705DE"/>
    <w:rsid w:val="0067101D"/>
    <w:rsid w:val="00671065"/>
    <w:rsid w:val="006722D2"/>
    <w:rsid w:val="00674A9F"/>
    <w:rsid w:val="00674E1A"/>
    <w:rsid w:val="006758F7"/>
    <w:rsid w:val="00677034"/>
    <w:rsid w:val="00677C4F"/>
    <w:rsid w:val="0068039B"/>
    <w:rsid w:val="0068093C"/>
    <w:rsid w:val="00681DE1"/>
    <w:rsid w:val="006834C3"/>
    <w:rsid w:val="00683B29"/>
    <w:rsid w:val="00683F58"/>
    <w:rsid w:val="006842BD"/>
    <w:rsid w:val="006848F5"/>
    <w:rsid w:val="00684A76"/>
    <w:rsid w:val="00686362"/>
    <w:rsid w:val="00686865"/>
    <w:rsid w:val="00686A0D"/>
    <w:rsid w:val="00686D0B"/>
    <w:rsid w:val="00687340"/>
    <w:rsid w:val="006874CE"/>
    <w:rsid w:val="00690245"/>
    <w:rsid w:val="00690328"/>
    <w:rsid w:val="00691F85"/>
    <w:rsid w:val="00692B1E"/>
    <w:rsid w:val="00692E9C"/>
    <w:rsid w:val="00693BA4"/>
    <w:rsid w:val="00693BDF"/>
    <w:rsid w:val="00693E00"/>
    <w:rsid w:val="0069495F"/>
    <w:rsid w:val="006951C5"/>
    <w:rsid w:val="0069592A"/>
    <w:rsid w:val="0069601C"/>
    <w:rsid w:val="006960B3"/>
    <w:rsid w:val="00696D92"/>
    <w:rsid w:val="006A0A3E"/>
    <w:rsid w:val="006A181B"/>
    <w:rsid w:val="006A1D28"/>
    <w:rsid w:val="006A22F7"/>
    <w:rsid w:val="006A35A8"/>
    <w:rsid w:val="006A3EA6"/>
    <w:rsid w:val="006A5278"/>
    <w:rsid w:val="006A55BC"/>
    <w:rsid w:val="006A613B"/>
    <w:rsid w:val="006A6B02"/>
    <w:rsid w:val="006B0411"/>
    <w:rsid w:val="006B074D"/>
    <w:rsid w:val="006B0BF2"/>
    <w:rsid w:val="006B0DE5"/>
    <w:rsid w:val="006B115F"/>
    <w:rsid w:val="006B239B"/>
    <w:rsid w:val="006B3C57"/>
    <w:rsid w:val="006B3C58"/>
    <w:rsid w:val="006B54A1"/>
    <w:rsid w:val="006B6C94"/>
    <w:rsid w:val="006B7464"/>
    <w:rsid w:val="006B7B1E"/>
    <w:rsid w:val="006C035B"/>
    <w:rsid w:val="006C06BF"/>
    <w:rsid w:val="006C18BD"/>
    <w:rsid w:val="006C23DB"/>
    <w:rsid w:val="006C262B"/>
    <w:rsid w:val="006C282B"/>
    <w:rsid w:val="006C2F70"/>
    <w:rsid w:val="006C39CB"/>
    <w:rsid w:val="006C4F13"/>
    <w:rsid w:val="006C749D"/>
    <w:rsid w:val="006C7C10"/>
    <w:rsid w:val="006C7CEC"/>
    <w:rsid w:val="006D00BF"/>
    <w:rsid w:val="006D0E3B"/>
    <w:rsid w:val="006D20E7"/>
    <w:rsid w:val="006D2345"/>
    <w:rsid w:val="006D26DF"/>
    <w:rsid w:val="006D3281"/>
    <w:rsid w:val="006D3491"/>
    <w:rsid w:val="006D35D3"/>
    <w:rsid w:val="006D396A"/>
    <w:rsid w:val="006D4B28"/>
    <w:rsid w:val="006D4C66"/>
    <w:rsid w:val="006D5D05"/>
    <w:rsid w:val="006D5DDC"/>
    <w:rsid w:val="006E031A"/>
    <w:rsid w:val="006E0426"/>
    <w:rsid w:val="006E0BCD"/>
    <w:rsid w:val="006E1136"/>
    <w:rsid w:val="006E1695"/>
    <w:rsid w:val="006E1898"/>
    <w:rsid w:val="006E3196"/>
    <w:rsid w:val="006E3DD9"/>
    <w:rsid w:val="006E4473"/>
    <w:rsid w:val="006E5B3F"/>
    <w:rsid w:val="006E62D4"/>
    <w:rsid w:val="006E662E"/>
    <w:rsid w:val="006E6CAD"/>
    <w:rsid w:val="006E70CC"/>
    <w:rsid w:val="006F0A18"/>
    <w:rsid w:val="006F0A73"/>
    <w:rsid w:val="006F1D88"/>
    <w:rsid w:val="006F277F"/>
    <w:rsid w:val="006F2D84"/>
    <w:rsid w:val="006F2E4A"/>
    <w:rsid w:val="006F4293"/>
    <w:rsid w:val="006F4552"/>
    <w:rsid w:val="006F458D"/>
    <w:rsid w:val="006F4828"/>
    <w:rsid w:val="006F553D"/>
    <w:rsid w:val="006F582D"/>
    <w:rsid w:val="006F64E1"/>
    <w:rsid w:val="006F747E"/>
    <w:rsid w:val="006F7520"/>
    <w:rsid w:val="00700171"/>
    <w:rsid w:val="00700832"/>
    <w:rsid w:val="00701284"/>
    <w:rsid w:val="00702CB5"/>
    <w:rsid w:val="00703260"/>
    <w:rsid w:val="0070367A"/>
    <w:rsid w:val="00704C8B"/>
    <w:rsid w:val="00705794"/>
    <w:rsid w:val="00705B64"/>
    <w:rsid w:val="00706431"/>
    <w:rsid w:val="007074D0"/>
    <w:rsid w:val="007106C2"/>
    <w:rsid w:val="00710C88"/>
    <w:rsid w:val="00710DAA"/>
    <w:rsid w:val="007117F1"/>
    <w:rsid w:val="007119BB"/>
    <w:rsid w:val="00711D10"/>
    <w:rsid w:val="00713528"/>
    <w:rsid w:val="00713EA6"/>
    <w:rsid w:val="00714CDE"/>
    <w:rsid w:val="00714EB7"/>
    <w:rsid w:val="0071509B"/>
    <w:rsid w:val="00715139"/>
    <w:rsid w:val="00715621"/>
    <w:rsid w:val="00716534"/>
    <w:rsid w:val="00716606"/>
    <w:rsid w:val="00716608"/>
    <w:rsid w:val="00716A1A"/>
    <w:rsid w:val="00716CD1"/>
    <w:rsid w:val="00717636"/>
    <w:rsid w:val="007177A7"/>
    <w:rsid w:val="007202DB"/>
    <w:rsid w:val="007214C5"/>
    <w:rsid w:val="0072298B"/>
    <w:rsid w:val="0072384B"/>
    <w:rsid w:val="007242DC"/>
    <w:rsid w:val="0072490C"/>
    <w:rsid w:val="00724B9B"/>
    <w:rsid w:val="00725DE0"/>
    <w:rsid w:val="0072616C"/>
    <w:rsid w:val="00727342"/>
    <w:rsid w:val="00727779"/>
    <w:rsid w:val="007304A8"/>
    <w:rsid w:val="00730525"/>
    <w:rsid w:val="0073179E"/>
    <w:rsid w:val="00731F7F"/>
    <w:rsid w:val="007325E2"/>
    <w:rsid w:val="0073381F"/>
    <w:rsid w:val="00733895"/>
    <w:rsid w:val="007342C3"/>
    <w:rsid w:val="00734832"/>
    <w:rsid w:val="00734876"/>
    <w:rsid w:val="00734ACA"/>
    <w:rsid w:val="0073513A"/>
    <w:rsid w:val="00736046"/>
    <w:rsid w:val="007360D1"/>
    <w:rsid w:val="007371B3"/>
    <w:rsid w:val="007374F9"/>
    <w:rsid w:val="007379EA"/>
    <w:rsid w:val="00741040"/>
    <w:rsid w:val="00742679"/>
    <w:rsid w:val="00743444"/>
    <w:rsid w:val="00743AD6"/>
    <w:rsid w:val="00743F3F"/>
    <w:rsid w:val="00744E11"/>
    <w:rsid w:val="00744FBD"/>
    <w:rsid w:val="00746042"/>
    <w:rsid w:val="00746366"/>
    <w:rsid w:val="007467A9"/>
    <w:rsid w:val="00746A43"/>
    <w:rsid w:val="007502C1"/>
    <w:rsid w:val="00750B68"/>
    <w:rsid w:val="007534C4"/>
    <w:rsid w:val="00753A85"/>
    <w:rsid w:val="00753B7B"/>
    <w:rsid w:val="00754642"/>
    <w:rsid w:val="007547AE"/>
    <w:rsid w:val="00754981"/>
    <w:rsid w:val="00754AB9"/>
    <w:rsid w:val="00755610"/>
    <w:rsid w:val="007563E2"/>
    <w:rsid w:val="007607ED"/>
    <w:rsid w:val="00760D60"/>
    <w:rsid w:val="00761274"/>
    <w:rsid w:val="007636D1"/>
    <w:rsid w:val="00763F94"/>
    <w:rsid w:val="007669C8"/>
    <w:rsid w:val="0076748C"/>
    <w:rsid w:val="00767C3A"/>
    <w:rsid w:val="007707B5"/>
    <w:rsid w:val="00770EB2"/>
    <w:rsid w:val="007723B0"/>
    <w:rsid w:val="007739A6"/>
    <w:rsid w:val="00774182"/>
    <w:rsid w:val="007748E7"/>
    <w:rsid w:val="00775843"/>
    <w:rsid w:val="00775B3B"/>
    <w:rsid w:val="0078011F"/>
    <w:rsid w:val="0078042F"/>
    <w:rsid w:val="00781721"/>
    <w:rsid w:val="00782490"/>
    <w:rsid w:val="00782901"/>
    <w:rsid w:val="00782BAE"/>
    <w:rsid w:val="00783E7C"/>
    <w:rsid w:val="0078486C"/>
    <w:rsid w:val="007848E0"/>
    <w:rsid w:val="00784DDA"/>
    <w:rsid w:val="00785336"/>
    <w:rsid w:val="007866FA"/>
    <w:rsid w:val="00787B7F"/>
    <w:rsid w:val="00790024"/>
    <w:rsid w:val="00790E82"/>
    <w:rsid w:val="00791464"/>
    <w:rsid w:val="00791D97"/>
    <w:rsid w:val="007926D6"/>
    <w:rsid w:val="00792D78"/>
    <w:rsid w:val="00792E1F"/>
    <w:rsid w:val="00793624"/>
    <w:rsid w:val="007938EB"/>
    <w:rsid w:val="00793BD4"/>
    <w:rsid w:val="0079523F"/>
    <w:rsid w:val="00796D72"/>
    <w:rsid w:val="007973DC"/>
    <w:rsid w:val="00797895"/>
    <w:rsid w:val="007A033E"/>
    <w:rsid w:val="007A06B7"/>
    <w:rsid w:val="007A0E4B"/>
    <w:rsid w:val="007A1C74"/>
    <w:rsid w:val="007A1CA7"/>
    <w:rsid w:val="007A2C37"/>
    <w:rsid w:val="007A2FA7"/>
    <w:rsid w:val="007A3561"/>
    <w:rsid w:val="007A3F61"/>
    <w:rsid w:val="007A4AF5"/>
    <w:rsid w:val="007A53D9"/>
    <w:rsid w:val="007A5668"/>
    <w:rsid w:val="007A57E2"/>
    <w:rsid w:val="007A650F"/>
    <w:rsid w:val="007A7572"/>
    <w:rsid w:val="007B027F"/>
    <w:rsid w:val="007B0BEA"/>
    <w:rsid w:val="007B0EC1"/>
    <w:rsid w:val="007B100A"/>
    <w:rsid w:val="007B21A5"/>
    <w:rsid w:val="007B2AD6"/>
    <w:rsid w:val="007B3938"/>
    <w:rsid w:val="007B47E7"/>
    <w:rsid w:val="007B5616"/>
    <w:rsid w:val="007B69B9"/>
    <w:rsid w:val="007B6CA4"/>
    <w:rsid w:val="007B7BB1"/>
    <w:rsid w:val="007C101B"/>
    <w:rsid w:val="007C38E7"/>
    <w:rsid w:val="007C3B9D"/>
    <w:rsid w:val="007C3CD7"/>
    <w:rsid w:val="007C3CE3"/>
    <w:rsid w:val="007C4C8A"/>
    <w:rsid w:val="007C6AEC"/>
    <w:rsid w:val="007C72DA"/>
    <w:rsid w:val="007D1020"/>
    <w:rsid w:val="007D1224"/>
    <w:rsid w:val="007D1E2F"/>
    <w:rsid w:val="007D3D70"/>
    <w:rsid w:val="007D4B55"/>
    <w:rsid w:val="007D4ED8"/>
    <w:rsid w:val="007D6BAE"/>
    <w:rsid w:val="007D7196"/>
    <w:rsid w:val="007D71F6"/>
    <w:rsid w:val="007D728E"/>
    <w:rsid w:val="007D7823"/>
    <w:rsid w:val="007D799D"/>
    <w:rsid w:val="007E2865"/>
    <w:rsid w:val="007E3585"/>
    <w:rsid w:val="007E4430"/>
    <w:rsid w:val="007E5096"/>
    <w:rsid w:val="007E6795"/>
    <w:rsid w:val="007F0BE2"/>
    <w:rsid w:val="007F30D5"/>
    <w:rsid w:val="007F4056"/>
    <w:rsid w:val="007F577B"/>
    <w:rsid w:val="007F5B3F"/>
    <w:rsid w:val="007F72D6"/>
    <w:rsid w:val="007F74D4"/>
    <w:rsid w:val="007F7DBD"/>
    <w:rsid w:val="00800031"/>
    <w:rsid w:val="00800070"/>
    <w:rsid w:val="00800E12"/>
    <w:rsid w:val="00800F52"/>
    <w:rsid w:val="008013AD"/>
    <w:rsid w:val="008026E5"/>
    <w:rsid w:val="00802F0D"/>
    <w:rsid w:val="0080312C"/>
    <w:rsid w:val="008033CE"/>
    <w:rsid w:val="00803C36"/>
    <w:rsid w:val="00804E5E"/>
    <w:rsid w:val="0080653E"/>
    <w:rsid w:val="008107C4"/>
    <w:rsid w:val="0081136A"/>
    <w:rsid w:val="008118C5"/>
    <w:rsid w:val="00811B37"/>
    <w:rsid w:val="00811F14"/>
    <w:rsid w:val="00812282"/>
    <w:rsid w:val="00813727"/>
    <w:rsid w:val="008138D5"/>
    <w:rsid w:val="00814D30"/>
    <w:rsid w:val="00815CED"/>
    <w:rsid w:val="00815D3C"/>
    <w:rsid w:val="008169DA"/>
    <w:rsid w:val="00816C16"/>
    <w:rsid w:val="00816EFD"/>
    <w:rsid w:val="00817EBB"/>
    <w:rsid w:val="008202B5"/>
    <w:rsid w:val="008206FF"/>
    <w:rsid w:val="00821C71"/>
    <w:rsid w:val="00821E66"/>
    <w:rsid w:val="0082295F"/>
    <w:rsid w:val="0082309B"/>
    <w:rsid w:val="008244E0"/>
    <w:rsid w:val="00824BAE"/>
    <w:rsid w:val="008256F5"/>
    <w:rsid w:val="00825D30"/>
    <w:rsid w:val="008266DA"/>
    <w:rsid w:val="00826B1A"/>
    <w:rsid w:val="00827F74"/>
    <w:rsid w:val="0083004E"/>
    <w:rsid w:val="00830B98"/>
    <w:rsid w:val="008313BC"/>
    <w:rsid w:val="008321B9"/>
    <w:rsid w:val="00832BD0"/>
    <w:rsid w:val="00833067"/>
    <w:rsid w:val="00833ED8"/>
    <w:rsid w:val="0083449D"/>
    <w:rsid w:val="00835131"/>
    <w:rsid w:val="00835287"/>
    <w:rsid w:val="00835B04"/>
    <w:rsid w:val="00835CF2"/>
    <w:rsid w:val="0083617B"/>
    <w:rsid w:val="00836CFE"/>
    <w:rsid w:val="00837E12"/>
    <w:rsid w:val="00837EDC"/>
    <w:rsid w:val="0084033C"/>
    <w:rsid w:val="00840685"/>
    <w:rsid w:val="00840DAA"/>
    <w:rsid w:val="0084197B"/>
    <w:rsid w:val="00841AB8"/>
    <w:rsid w:val="0084274C"/>
    <w:rsid w:val="008436B3"/>
    <w:rsid w:val="00845380"/>
    <w:rsid w:val="008456C7"/>
    <w:rsid w:val="008465F6"/>
    <w:rsid w:val="00846D95"/>
    <w:rsid w:val="0084740A"/>
    <w:rsid w:val="00850399"/>
    <w:rsid w:val="00850AEC"/>
    <w:rsid w:val="00851692"/>
    <w:rsid w:val="00852E9E"/>
    <w:rsid w:val="0085368A"/>
    <w:rsid w:val="008536BA"/>
    <w:rsid w:val="00853711"/>
    <w:rsid w:val="0085432B"/>
    <w:rsid w:val="00854B56"/>
    <w:rsid w:val="00855539"/>
    <w:rsid w:val="00855944"/>
    <w:rsid w:val="008564DD"/>
    <w:rsid w:val="00856E9D"/>
    <w:rsid w:val="008573F5"/>
    <w:rsid w:val="008577CA"/>
    <w:rsid w:val="00857878"/>
    <w:rsid w:val="00857E1B"/>
    <w:rsid w:val="0086086D"/>
    <w:rsid w:val="008617E4"/>
    <w:rsid w:val="0086229F"/>
    <w:rsid w:val="0086232A"/>
    <w:rsid w:val="0086235F"/>
    <w:rsid w:val="00862836"/>
    <w:rsid w:val="00863266"/>
    <w:rsid w:val="008634C2"/>
    <w:rsid w:val="00864E3C"/>
    <w:rsid w:val="00864EEA"/>
    <w:rsid w:val="008652DF"/>
    <w:rsid w:val="00865E4F"/>
    <w:rsid w:val="00866663"/>
    <w:rsid w:val="00867E32"/>
    <w:rsid w:val="008700CA"/>
    <w:rsid w:val="008700E0"/>
    <w:rsid w:val="008709ED"/>
    <w:rsid w:val="00871768"/>
    <w:rsid w:val="00871B54"/>
    <w:rsid w:val="008728E0"/>
    <w:rsid w:val="00872D63"/>
    <w:rsid w:val="00873BE7"/>
    <w:rsid w:val="00873CAF"/>
    <w:rsid w:val="00873EDE"/>
    <w:rsid w:val="00874482"/>
    <w:rsid w:val="008754A2"/>
    <w:rsid w:val="008764A8"/>
    <w:rsid w:val="0087706C"/>
    <w:rsid w:val="00877AC3"/>
    <w:rsid w:val="00881D77"/>
    <w:rsid w:val="008821EB"/>
    <w:rsid w:val="0088237E"/>
    <w:rsid w:val="0088265E"/>
    <w:rsid w:val="00883FF4"/>
    <w:rsid w:val="00884940"/>
    <w:rsid w:val="008852A3"/>
    <w:rsid w:val="00886A15"/>
    <w:rsid w:val="00890B9A"/>
    <w:rsid w:val="00892EE8"/>
    <w:rsid w:val="00894C84"/>
    <w:rsid w:val="00894F93"/>
    <w:rsid w:val="00896300"/>
    <w:rsid w:val="008963F5"/>
    <w:rsid w:val="00896449"/>
    <w:rsid w:val="00896B39"/>
    <w:rsid w:val="00896BF2"/>
    <w:rsid w:val="00896C08"/>
    <w:rsid w:val="00897B04"/>
    <w:rsid w:val="008A0441"/>
    <w:rsid w:val="008A05DD"/>
    <w:rsid w:val="008A069A"/>
    <w:rsid w:val="008A0F2F"/>
    <w:rsid w:val="008A1079"/>
    <w:rsid w:val="008A15C2"/>
    <w:rsid w:val="008A1A48"/>
    <w:rsid w:val="008A1CAE"/>
    <w:rsid w:val="008A3174"/>
    <w:rsid w:val="008A36EB"/>
    <w:rsid w:val="008A3AFB"/>
    <w:rsid w:val="008A53D1"/>
    <w:rsid w:val="008A545C"/>
    <w:rsid w:val="008A5627"/>
    <w:rsid w:val="008A61E3"/>
    <w:rsid w:val="008A6964"/>
    <w:rsid w:val="008A7A4A"/>
    <w:rsid w:val="008B0B0E"/>
    <w:rsid w:val="008B297F"/>
    <w:rsid w:val="008B2B83"/>
    <w:rsid w:val="008B2C74"/>
    <w:rsid w:val="008B3975"/>
    <w:rsid w:val="008B3E8F"/>
    <w:rsid w:val="008B40C2"/>
    <w:rsid w:val="008B4599"/>
    <w:rsid w:val="008B4AEE"/>
    <w:rsid w:val="008B5314"/>
    <w:rsid w:val="008B7755"/>
    <w:rsid w:val="008C0056"/>
    <w:rsid w:val="008C0F80"/>
    <w:rsid w:val="008C10AE"/>
    <w:rsid w:val="008C1423"/>
    <w:rsid w:val="008C164C"/>
    <w:rsid w:val="008C1913"/>
    <w:rsid w:val="008C1B2A"/>
    <w:rsid w:val="008C1B5A"/>
    <w:rsid w:val="008C21E1"/>
    <w:rsid w:val="008C31B7"/>
    <w:rsid w:val="008C3AAD"/>
    <w:rsid w:val="008C4442"/>
    <w:rsid w:val="008C4E78"/>
    <w:rsid w:val="008C5AD3"/>
    <w:rsid w:val="008C659D"/>
    <w:rsid w:val="008C7E0B"/>
    <w:rsid w:val="008C7F97"/>
    <w:rsid w:val="008D0531"/>
    <w:rsid w:val="008D0863"/>
    <w:rsid w:val="008D09A1"/>
    <w:rsid w:val="008D1766"/>
    <w:rsid w:val="008D1C26"/>
    <w:rsid w:val="008D20EE"/>
    <w:rsid w:val="008D22D2"/>
    <w:rsid w:val="008D2559"/>
    <w:rsid w:val="008D31B1"/>
    <w:rsid w:val="008D35A4"/>
    <w:rsid w:val="008D6363"/>
    <w:rsid w:val="008D74DE"/>
    <w:rsid w:val="008D7655"/>
    <w:rsid w:val="008D76F6"/>
    <w:rsid w:val="008E07D4"/>
    <w:rsid w:val="008E0E18"/>
    <w:rsid w:val="008E0EB5"/>
    <w:rsid w:val="008E1A6E"/>
    <w:rsid w:val="008E26A5"/>
    <w:rsid w:val="008E29A7"/>
    <w:rsid w:val="008E2AE6"/>
    <w:rsid w:val="008E391B"/>
    <w:rsid w:val="008E3BEE"/>
    <w:rsid w:val="008E425D"/>
    <w:rsid w:val="008E42F4"/>
    <w:rsid w:val="008E4548"/>
    <w:rsid w:val="008E4F06"/>
    <w:rsid w:val="008E6152"/>
    <w:rsid w:val="008E6160"/>
    <w:rsid w:val="008F006C"/>
    <w:rsid w:val="008F0A36"/>
    <w:rsid w:val="008F1AC0"/>
    <w:rsid w:val="008F2021"/>
    <w:rsid w:val="008F2F17"/>
    <w:rsid w:val="008F2F5C"/>
    <w:rsid w:val="008F3BBC"/>
    <w:rsid w:val="008F3C82"/>
    <w:rsid w:val="008F47E3"/>
    <w:rsid w:val="008F4E06"/>
    <w:rsid w:val="008F5797"/>
    <w:rsid w:val="008F5D4D"/>
    <w:rsid w:val="008F5DC5"/>
    <w:rsid w:val="008F6767"/>
    <w:rsid w:val="008F6C23"/>
    <w:rsid w:val="008F7319"/>
    <w:rsid w:val="0090140D"/>
    <w:rsid w:val="009017FD"/>
    <w:rsid w:val="009020DB"/>
    <w:rsid w:val="00903C04"/>
    <w:rsid w:val="009040E9"/>
    <w:rsid w:val="009044C6"/>
    <w:rsid w:val="00904728"/>
    <w:rsid w:val="00904878"/>
    <w:rsid w:val="00904B4B"/>
    <w:rsid w:val="00905BAF"/>
    <w:rsid w:val="00906054"/>
    <w:rsid w:val="009062AE"/>
    <w:rsid w:val="00906786"/>
    <w:rsid w:val="00907900"/>
    <w:rsid w:val="0090798B"/>
    <w:rsid w:val="0091158A"/>
    <w:rsid w:val="00912419"/>
    <w:rsid w:val="00913C98"/>
    <w:rsid w:val="00914362"/>
    <w:rsid w:val="009146EE"/>
    <w:rsid w:val="00914E87"/>
    <w:rsid w:val="00914F76"/>
    <w:rsid w:val="00915068"/>
    <w:rsid w:val="009159F5"/>
    <w:rsid w:val="00915E2D"/>
    <w:rsid w:val="00915F80"/>
    <w:rsid w:val="00915FDF"/>
    <w:rsid w:val="009166CF"/>
    <w:rsid w:val="00917652"/>
    <w:rsid w:val="0092016D"/>
    <w:rsid w:val="00921395"/>
    <w:rsid w:val="00922743"/>
    <w:rsid w:val="009229CD"/>
    <w:rsid w:val="00923B0D"/>
    <w:rsid w:val="0092478E"/>
    <w:rsid w:val="009248A1"/>
    <w:rsid w:val="00926232"/>
    <w:rsid w:val="0093086E"/>
    <w:rsid w:val="0093143C"/>
    <w:rsid w:val="00933264"/>
    <w:rsid w:val="0093383F"/>
    <w:rsid w:val="00933CB6"/>
    <w:rsid w:val="00935B29"/>
    <w:rsid w:val="00936CDA"/>
    <w:rsid w:val="00936FE0"/>
    <w:rsid w:val="0093799A"/>
    <w:rsid w:val="00937A11"/>
    <w:rsid w:val="00937A41"/>
    <w:rsid w:val="00937DE8"/>
    <w:rsid w:val="00940B34"/>
    <w:rsid w:val="009417A3"/>
    <w:rsid w:val="009417F7"/>
    <w:rsid w:val="009426F3"/>
    <w:rsid w:val="009427FD"/>
    <w:rsid w:val="009435CA"/>
    <w:rsid w:val="009452D5"/>
    <w:rsid w:val="00946D13"/>
    <w:rsid w:val="0094774F"/>
    <w:rsid w:val="009511BC"/>
    <w:rsid w:val="00952161"/>
    <w:rsid w:val="009529C5"/>
    <w:rsid w:val="009562E5"/>
    <w:rsid w:val="009567FE"/>
    <w:rsid w:val="009574F6"/>
    <w:rsid w:val="00960625"/>
    <w:rsid w:val="00960C47"/>
    <w:rsid w:val="00960D94"/>
    <w:rsid w:val="00963248"/>
    <w:rsid w:val="00963C9F"/>
    <w:rsid w:val="00963CE4"/>
    <w:rsid w:val="00963F49"/>
    <w:rsid w:val="0096517C"/>
    <w:rsid w:val="0096559A"/>
    <w:rsid w:val="00966619"/>
    <w:rsid w:val="00970592"/>
    <w:rsid w:val="009705C9"/>
    <w:rsid w:val="00971B91"/>
    <w:rsid w:val="00972F2B"/>
    <w:rsid w:val="00973117"/>
    <w:rsid w:val="009731A8"/>
    <w:rsid w:val="00973360"/>
    <w:rsid w:val="00973AC4"/>
    <w:rsid w:val="009745AB"/>
    <w:rsid w:val="0098032E"/>
    <w:rsid w:val="00980FEE"/>
    <w:rsid w:val="0098102D"/>
    <w:rsid w:val="00981233"/>
    <w:rsid w:val="00981DC2"/>
    <w:rsid w:val="00982238"/>
    <w:rsid w:val="00982B4B"/>
    <w:rsid w:val="00984460"/>
    <w:rsid w:val="009858C3"/>
    <w:rsid w:val="00985E53"/>
    <w:rsid w:val="00990BA4"/>
    <w:rsid w:val="009913A5"/>
    <w:rsid w:val="00991526"/>
    <w:rsid w:val="00991B8D"/>
    <w:rsid w:val="00991DED"/>
    <w:rsid w:val="00992171"/>
    <w:rsid w:val="0099278B"/>
    <w:rsid w:val="00992BC2"/>
    <w:rsid w:val="00992D83"/>
    <w:rsid w:val="00995FCA"/>
    <w:rsid w:val="00996F9D"/>
    <w:rsid w:val="00997F6C"/>
    <w:rsid w:val="009A0E76"/>
    <w:rsid w:val="009A1A21"/>
    <w:rsid w:val="009A1A26"/>
    <w:rsid w:val="009A308E"/>
    <w:rsid w:val="009A3112"/>
    <w:rsid w:val="009A383B"/>
    <w:rsid w:val="009A3EA7"/>
    <w:rsid w:val="009A55B7"/>
    <w:rsid w:val="009A5677"/>
    <w:rsid w:val="009A595F"/>
    <w:rsid w:val="009A5BC4"/>
    <w:rsid w:val="009A6183"/>
    <w:rsid w:val="009A638D"/>
    <w:rsid w:val="009A71AD"/>
    <w:rsid w:val="009A761E"/>
    <w:rsid w:val="009A7A4F"/>
    <w:rsid w:val="009A7E05"/>
    <w:rsid w:val="009B08F0"/>
    <w:rsid w:val="009B0BC5"/>
    <w:rsid w:val="009B1D8E"/>
    <w:rsid w:val="009B1F0B"/>
    <w:rsid w:val="009B25D0"/>
    <w:rsid w:val="009B2FB2"/>
    <w:rsid w:val="009B3324"/>
    <w:rsid w:val="009B34AC"/>
    <w:rsid w:val="009B4D95"/>
    <w:rsid w:val="009B5DE4"/>
    <w:rsid w:val="009B6137"/>
    <w:rsid w:val="009B662F"/>
    <w:rsid w:val="009B67E7"/>
    <w:rsid w:val="009B6CB5"/>
    <w:rsid w:val="009C0265"/>
    <w:rsid w:val="009C1169"/>
    <w:rsid w:val="009C1C65"/>
    <w:rsid w:val="009C2085"/>
    <w:rsid w:val="009C2644"/>
    <w:rsid w:val="009C2680"/>
    <w:rsid w:val="009C26E6"/>
    <w:rsid w:val="009C3139"/>
    <w:rsid w:val="009C3B54"/>
    <w:rsid w:val="009C3CB0"/>
    <w:rsid w:val="009C4CA6"/>
    <w:rsid w:val="009C4D0B"/>
    <w:rsid w:val="009C4E4C"/>
    <w:rsid w:val="009C56D1"/>
    <w:rsid w:val="009C6412"/>
    <w:rsid w:val="009C68F4"/>
    <w:rsid w:val="009C6C8A"/>
    <w:rsid w:val="009C7DD9"/>
    <w:rsid w:val="009D0F35"/>
    <w:rsid w:val="009D1538"/>
    <w:rsid w:val="009D18C2"/>
    <w:rsid w:val="009D19D0"/>
    <w:rsid w:val="009D2182"/>
    <w:rsid w:val="009D2196"/>
    <w:rsid w:val="009D4524"/>
    <w:rsid w:val="009D5A22"/>
    <w:rsid w:val="009D5A36"/>
    <w:rsid w:val="009D6892"/>
    <w:rsid w:val="009D6B5A"/>
    <w:rsid w:val="009E0B25"/>
    <w:rsid w:val="009E133D"/>
    <w:rsid w:val="009E1401"/>
    <w:rsid w:val="009E31B0"/>
    <w:rsid w:val="009E34D5"/>
    <w:rsid w:val="009E4054"/>
    <w:rsid w:val="009E585D"/>
    <w:rsid w:val="009E766B"/>
    <w:rsid w:val="009E76D6"/>
    <w:rsid w:val="009F18D9"/>
    <w:rsid w:val="009F1DB1"/>
    <w:rsid w:val="009F2C2D"/>
    <w:rsid w:val="009F2C93"/>
    <w:rsid w:val="009F38CB"/>
    <w:rsid w:val="009F3D1A"/>
    <w:rsid w:val="009F3FA5"/>
    <w:rsid w:val="009F3FF7"/>
    <w:rsid w:val="009F43B9"/>
    <w:rsid w:val="009F44D0"/>
    <w:rsid w:val="009F4A10"/>
    <w:rsid w:val="009F4D35"/>
    <w:rsid w:val="009F5004"/>
    <w:rsid w:val="009F5D10"/>
    <w:rsid w:val="009F6602"/>
    <w:rsid w:val="009F6734"/>
    <w:rsid w:val="009F7A5A"/>
    <w:rsid w:val="00A0105D"/>
    <w:rsid w:val="00A01549"/>
    <w:rsid w:val="00A02112"/>
    <w:rsid w:val="00A02CDC"/>
    <w:rsid w:val="00A03AC7"/>
    <w:rsid w:val="00A03B4D"/>
    <w:rsid w:val="00A03C15"/>
    <w:rsid w:val="00A03F46"/>
    <w:rsid w:val="00A05304"/>
    <w:rsid w:val="00A05808"/>
    <w:rsid w:val="00A06B24"/>
    <w:rsid w:val="00A070B7"/>
    <w:rsid w:val="00A079D9"/>
    <w:rsid w:val="00A10F67"/>
    <w:rsid w:val="00A11915"/>
    <w:rsid w:val="00A13691"/>
    <w:rsid w:val="00A1387E"/>
    <w:rsid w:val="00A144D8"/>
    <w:rsid w:val="00A14752"/>
    <w:rsid w:val="00A14D6E"/>
    <w:rsid w:val="00A16A04"/>
    <w:rsid w:val="00A1707F"/>
    <w:rsid w:val="00A17ED6"/>
    <w:rsid w:val="00A202A9"/>
    <w:rsid w:val="00A22749"/>
    <w:rsid w:val="00A230B1"/>
    <w:rsid w:val="00A23855"/>
    <w:rsid w:val="00A2575F"/>
    <w:rsid w:val="00A258C2"/>
    <w:rsid w:val="00A25C72"/>
    <w:rsid w:val="00A26F58"/>
    <w:rsid w:val="00A27683"/>
    <w:rsid w:val="00A3043E"/>
    <w:rsid w:val="00A3102B"/>
    <w:rsid w:val="00A321A1"/>
    <w:rsid w:val="00A34061"/>
    <w:rsid w:val="00A35CCC"/>
    <w:rsid w:val="00A3654D"/>
    <w:rsid w:val="00A36702"/>
    <w:rsid w:val="00A36734"/>
    <w:rsid w:val="00A369AC"/>
    <w:rsid w:val="00A371AD"/>
    <w:rsid w:val="00A372DC"/>
    <w:rsid w:val="00A37302"/>
    <w:rsid w:val="00A379F3"/>
    <w:rsid w:val="00A37B11"/>
    <w:rsid w:val="00A37D40"/>
    <w:rsid w:val="00A40012"/>
    <w:rsid w:val="00A41443"/>
    <w:rsid w:val="00A41835"/>
    <w:rsid w:val="00A41907"/>
    <w:rsid w:val="00A42610"/>
    <w:rsid w:val="00A4265B"/>
    <w:rsid w:val="00A42C4B"/>
    <w:rsid w:val="00A43021"/>
    <w:rsid w:val="00A440D5"/>
    <w:rsid w:val="00A4461A"/>
    <w:rsid w:val="00A446F8"/>
    <w:rsid w:val="00A44761"/>
    <w:rsid w:val="00A45034"/>
    <w:rsid w:val="00A459DE"/>
    <w:rsid w:val="00A46F0A"/>
    <w:rsid w:val="00A470BF"/>
    <w:rsid w:val="00A50A1D"/>
    <w:rsid w:val="00A50D02"/>
    <w:rsid w:val="00A50D4D"/>
    <w:rsid w:val="00A5151B"/>
    <w:rsid w:val="00A51E27"/>
    <w:rsid w:val="00A51E32"/>
    <w:rsid w:val="00A53C97"/>
    <w:rsid w:val="00A5443E"/>
    <w:rsid w:val="00A5508E"/>
    <w:rsid w:val="00A550BB"/>
    <w:rsid w:val="00A55602"/>
    <w:rsid w:val="00A56ACA"/>
    <w:rsid w:val="00A56BC1"/>
    <w:rsid w:val="00A574BB"/>
    <w:rsid w:val="00A5767C"/>
    <w:rsid w:val="00A609D4"/>
    <w:rsid w:val="00A621A4"/>
    <w:rsid w:val="00A62216"/>
    <w:rsid w:val="00A632E7"/>
    <w:rsid w:val="00A63304"/>
    <w:rsid w:val="00A633D0"/>
    <w:rsid w:val="00A6441B"/>
    <w:rsid w:val="00A658B2"/>
    <w:rsid w:val="00A65913"/>
    <w:rsid w:val="00A662C3"/>
    <w:rsid w:val="00A70A4D"/>
    <w:rsid w:val="00A71199"/>
    <w:rsid w:val="00A71811"/>
    <w:rsid w:val="00A72289"/>
    <w:rsid w:val="00A7229C"/>
    <w:rsid w:val="00A74E0F"/>
    <w:rsid w:val="00A7564E"/>
    <w:rsid w:val="00A75F98"/>
    <w:rsid w:val="00A771DA"/>
    <w:rsid w:val="00A77291"/>
    <w:rsid w:val="00A77F91"/>
    <w:rsid w:val="00A804D2"/>
    <w:rsid w:val="00A80E09"/>
    <w:rsid w:val="00A8274E"/>
    <w:rsid w:val="00A82967"/>
    <w:rsid w:val="00A82D01"/>
    <w:rsid w:val="00A83591"/>
    <w:rsid w:val="00A84360"/>
    <w:rsid w:val="00A851E3"/>
    <w:rsid w:val="00A9012A"/>
    <w:rsid w:val="00A90602"/>
    <w:rsid w:val="00A91AA7"/>
    <w:rsid w:val="00A924E0"/>
    <w:rsid w:val="00A928D3"/>
    <w:rsid w:val="00A92D79"/>
    <w:rsid w:val="00A9332E"/>
    <w:rsid w:val="00A93DF6"/>
    <w:rsid w:val="00A94633"/>
    <w:rsid w:val="00A97542"/>
    <w:rsid w:val="00A97D36"/>
    <w:rsid w:val="00AA0533"/>
    <w:rsid w:val="00AA1E53"/>
    <w:rsid w:val="00AA2980"/>
    <w:rsid w:val="00AA2A0A"/>
    <w:rsid w:val="00AA2A36"/>
    <w:rsid w:val="00AA2FE0"/>
    <w:rsid w:val="00AA37EC"/>
    <w:rsid w:val="00AA3896"/>
    <w:rsid w:val="00AA3D07"/>
    <w:rsid w:val="00AA3D6F"/>
    <w:rsid w:val="00AA5771"/>
    <w:rsid w:val="00AA580C"/>
    <w:rsid w:val="00AA5B49"/>
    <w:rsid w:val="00AA5D7D"/>
    <w:rsid w:val="00AA68A1"/>
    <w:rsid w:val="00AA6CA8"/>
    <w:rsid w:val="00AA7577"/>
    <w:rsid w:val="00AB167A"/>
    <w:rsid w:val="00AB1B9C"/>
    <w:rsid w:val="00AB2328"/>
    <w:rsid w:val="00AB235B"/>
    <w:rsid w:val="00AB2FCB"/>
    <w:rsid w:val="00AB3998"/>
    <w:rsid w:val="00AB3E0A"/>
    <w:rsid w:val="00AB5ED9"/>
    <w:rsid w:val="00AB7273"/>
    <w:rsid w:val="00AB76B5"/>
    <w:rsid w:val="00AC08A0"/>
    <w:rsid w:val="00AC08D2"/>
    <w:rsid w:val="00AC0E9E"/>
    <w:rsid w:val="00AC1329"/>
    <w:rsid w:val="00AC18D8"/>
    <w:rsid w:val="00AC1BEE"/>
    <w:rsid w:val="00AC1D7A"/>
    <w:rsid w:val="00AC2010"/>
    <w:rsid w:val="00AC2691"/>
    <w:rsid w:val="00AC2F42"/>
    <w:rsid w:val="00AC348F"/>
    <w:rsid w:val="00AC387C"/>
    <w:rsid w:val="00AC3BAC"/>
    <w:rsid w:val="00AC3E56"/>
    <w:rsid w:val="00AC4BDA"/>
    <w:rsid w:val="00AC57FE"/>
    <w:rsid w:val="00AC59E0"/>
    <w:rsid w:val="00AD088F"/>
    <w:rsid w:val="00AD0C81"/>
    <w:rsid w:val="00AD291A"/>
    <w:rsid w:val="00AD2932"/>
    <w:rsid w:val="00AD2BC1"/>
    <w:rsid w:val="00AD2FFA"/>
    <w:rsid w:val="00AD3082"/>
    <w:rsid w:val="00AD37DB"/>
    <w:rsid w:val="00AD4565"/>
    <w:rsid w:val="00AD49FD"/>
    <w:rsid w:val="00AD4ECE"/>
    <w:rsid w:val="00AD50AD"/>
    <w:rsid w:val="00AD68E3"/>
    <w:rsid w:val="00AD6BDD"/>
    <w:rsid w:val="00AD7B41"/>
    <w:rsid w:val="00AE0292"/>
    <w:rsid w:val="00AE0752"/>
    <w:rsid w:val="00AE0DD9"/>
    <w:rsid w:val="00AE1143"/>
    <w:rsid w:val="00AE1D9B"/>
    <w:rsid w:val="00AE1EED"/>
    <w:rsid w:val="00AE25A8"/>
    <w:rsid w:val="00AE2CF5"/>
    <w:rsid w:val="00AE3BC8"/>
    <w:rsid w:val="00AE3C7A"/>
    <w:rsid w:val="00AE428D"/>
    <w:rsid w:val="00AE469E"/>
    <w:rsid w:val="00AE48EE"/>
    <w:rsid w:val="00AE5844"/>
    <w:rsid w:val="00AE5C11"/>
    <w:rsid w:val="00AE6875"/>
    <w:rsid w:val="00AE68CA"/>
    <w:rsid w:val="00AE6DFC"/>
    <w:rsid w:val="00AE7135"/>
    <w:rsid w:val="00AE72F3"/>
    <w:rsid w:val="00AE7919"/>
    <w:rsid w:val="00AE7C5A"/>
    <w:rsid w:val="00AF0853"/>
    <w:rsid w:val="00AF114C"/>
    <w:rsid w:val="00AF14E8"/>
    <w:rsid w:val="00AF20BE"/>
    <w:rsid w:val="00AF20F2"/>
    <w:rsid w:val="00AF2783"/>
    <w:rsid w:val="00AF4718"/>
    <w:rsid w:val="00AF4AAE"/>
    <w:rsid w:val="00AF57B3"/>
    <w:rsid w:val="00AF60C9"/>
    <w:rsid w:val="00AF6F8A"/>
    <w:rsid w:val="00AF7C8A"/>
    <w:rsid w:val="00B018F6"/>
    <w:rsid w:val="00B01C22"/>
    <w:rsid w:val="00B01F6B"/>
    <w:rsid w:val="00B021F5"/>
    <w:rsid w:val="00B02312"/>
    <w:rsid w:val="00B0263C"/>
    <w:rsid w:val="00B0286C"/>
    <w:rsid w:val="00B02E80"/>
    <w:rsid w:val="00B032AC"/>
    <w:rsid w:val="00B039B2"/>
    <w:rsid w:val="00B03F05"/>
    <w:rsid w:val="00B040AE"/>
    <w:rsid w:val="00B04999"/>
    <w:rsid w:val="00B04E3B"/>
    <w:rsid w:val="00B0582D"/>
    <w:rsid w:val="00B05B40"/>
    <w:rsid w:val="00B065C1"/>
    <w:rsid w:val="00B068E0"/>
    <w:rsid w:val="00B0792F"/>
    <w:rsid w:val="00B10FC9"/>
    <w:rsid w:val="00B110E7"/>
    <w:rsid w:val="00B11937"/>
    <w:rsid w:val="00B11BB6"/>
    <w:rsid w:val="00B120C0"/>
    <w:rsid w:val="00B12498"/>
    <w:rsid w:val="00B124E8"/>
    <w:rsid w:val="00B1356F"/>
    <w:rsid w:val="00B1481D"/>
    <w:rsid w:val="00B14F1F"/>
    <w:rsid w:val="00B15019"/>
    <w:rsid w:val="00B154A3"/>
    <w:rsid w:val="00B15815"/>
    <w:rsid w:val="00B16462"/>
    <w:rsid w:val="00B16AE3"/>
    <w:rsid w:val="00B16C4C"/>
    <w:rsid w:val="00B17442"/>
    <w:rsid w:val="00B207F9"/>
    <w:rsid w:val="00B21E09"/>
    <w:rsid w:val="00B222BD"/>
    <w:rsid w:val="00B22AF6"/>
    <w:rsid w:val="00B22DDB"/>
    <w:rsid w:val="00B23CE0"/>
    <w:rsid w:val="00B23D6D"/>
    <w:rsid w:val="00B254FD"/>
    <w:rsid w:val="00B26501"/>
    <w:rsid w:val="00B268C9"/>
    <w:rsid w:val="00B26C3D"/>
    <w:rsid w:val="00B2732B"/>
    <w:rsid w:val="00B275AC"/>
    <w:rsid w:val="00B27732"/>
    <w:rsid w:val="00B27734"/>
    <w:rsid w:val="00B3001D"/>
    <w:rsid w:val="00B308FC"/>
    <w:rsid w:val="00B30E80"/>
    <w:rsid w:val="00B310FA"/>
    <w:rsid w:val="00B31C2E"/>
    <w:rsid w:val="00B31FAB"/>
    <w:rsid w:val="00B32201"/>
    <w:rsid w:val="00B33270"/>
    <w:rsid w:val="00B332F8"/>
    <w:rsid w:val="00B351F7"/>
    <w:rsid w:val="00B366DB"/>
    <w:rsid w:val="00B37667"/>
    <w:rsid w:val="00B40D2C"/>
    <w:rsid w:val="00B40D9D"/>
    <w:rsid w:val="00B413D2"/>
    <w:rsid w:val="00B41514"/>
    <w:rsid w:val="00B41709"/>
    <w:rsid w:val="00B41B4B"/>
    <w:rsid w:val="00B41FF2"/>
    <w:rsid w:val="00B422D3"/>
    <w:rsid w:val="00B429B2"/>
    <w:rsid w:val="00B43230"/>
    <w:rsid w:val="00B43E3E"/>
    <w:rsid w:val="00B44B46"/>
    <w:rsid w:val="00B44BFF"/>
    <w:rsid w:val="00B45961"/>
    <w:rsid w:val="00B45D75"/>
    <w:rsid w:val="00B470F7"/>
    <w:rsid w:val="00B478CC"/>
    <w:rsid w:val="00B50311"/>
    <w:rsid w:val="00B508F5"/>
    <w:rsid w:val="00B5117D"/>
    <w:rsid w:val="00B51941"/>
    <w:rsid w:val="00B51D01"/>
    <w:rsid w:val="00B532DB"/>
    <w:rsid w:val="00B53720"/>
    <w:rsid w:val="00B5389A"/>
    <w:rsid w:val="00B545CC"/>
    <w:rsid w:val="00B54794"/>
    <w:rsid w:val="00B556AE"/>
    <w:rsid w:val="00B56620"/>
    <w:rsid w:val="00B56EB5"/>
    <w:rsid w:val="00B57139"/>
    <w:rsid w:val="00B57430"/>
    <w:rsid w:val="00B57BA6"/>
    <w:rsid w:val="00B601BA"/>
    <w:rsid w:val="00B607E6"/>
    <w:rsid w:val="00B6133E"/>
    <w:rsid w:val="00B63686"/>
    <w:rsid w:val="00B63B49"/>
    <w:rsid w:val="00B64176"/>
    <w:rsid w:val="00B64BCB"/>
    <w:rsid w:val="00B65604"/>
    <w:rsid w:val="00B65CB2"/>
    <w:rsid w:val="00B65E92"/>
    <w:rsid w:val="00B664F8"/>
    <w:rsid w:val="00B66BFE"/>
    <w:rsid w:val="00B66CD4"/>
    <w:rsid w:val="00B673D6"/>
    <w:rsid w:val="00B67EF4"/>
    <w:rsid w:val="00B72A6C"/>
    <w:rsid w:val="00B72B74"/>
    <w:rsid w:val="00B72BF7"/>
    <w:rsid w:val="00B73C98"/>
    <w:rsid w:val="00B7717B"/>
    <w:rsid w:val="00B77B5D"/>
    <w:rsid w:val="00B77D52"/>
    <w:rsid w:val="00B77E31"/>
    <w:rsid w:val="00B80B0A"/>
    <w:rsid w:val="00B84D10"/>
    <w:rsid w:val="00B85573"/>
    <w:rsid w:val="00B85E72"/>
    <w:rsid w:val="00B86ABC"/>
    <w:rsid w:val="00B870BF"/>
    <w:rsid w:val="00B9007C"/>
    <w:rsid w:val="00B90A2B"/>
    <w:rsid w:val="00B91FFA"/>
    <w:rsid w:val="00B92107"/>
    <w:rsid w:val="00B930BD"/>
    <w:rsid w:val="00B939BD"/>
    <w:rsid w:val="00B93C08"/>
    <w:rsid w:val="00B93E08"/>
    <w:rsid w:val="00B94111"/>
    <w:rsid w:val="00B94418"/>
    <w:rsid w:val="00B94F0A"/>
    <w:rsid w:val="00B95B0B"/>
    <w:rsid w:val="00B95FED"/>
    <w:rsid w:val="00B96F09"/>
    <w:rsid w:val="00B97181"/>
    <w:rsid w:val="00B97B48"/>
    <w:rsid w:val="00BA18F6"/>
    <w:rsid w:val="00BA1F42"/>
    <w:rsid w:val="00BA2087"/>
    <w:rsid w:val="00BA29C4"/>
    <w:rsid w:val="00BA3C32"/>
    <w:rsid w:val="00BA3C9E"/>
    <w:rsid w:val="00BA4854"/>
    <w:rsid w:val="00BA4DAD"/>
    <w:rsid w:val="00BA4DB1"/>
    <w:rsid w:val="00BA5144"/>
    <w:rsid w:val="00BA5733"/>
    <w:rsid w:val="00BA5C21"/>
    <w:rsid w:val="00BA5F32"/>
    <w:rsid w:val="00BA7C74"/>
    <w:rsid w:val="00BB0072"/>
    <w:rsid w:val="00BB0689"/>
    <w:rsid w:val="00BB11C3"/>
    <w:rsid w:val="00BB18D4"/>
    <w:rsid w:val="00BB192B"/>
    <w:rsid w:val="00BB26CB"/>
    <w:rsid w:val="00BB2ACB"/>
    <w:rsid w:val="00BB2B53"/>
    <w:rsid w:val="00BB2D11"/>
    <w:rsid w:val="00BB31D6"/>
    <w:rsid w:val="00BB454C"/>
    <w:rsid w:val="00BB488B"/>
    <w:rsid w:val="00BB5CDD"/>
    <w:rsid w:val="00BB727C"/>
    <w:rsid w:val="00BB7EB0"/>
    <w:rsid w:val="00BC0D14"/>
    <w:rsid w:val="00BC15B6"/>
    <w:rsid w:val="00BC3C96"/>
    <w:rsid w:val="00BC5219"/>
    <w:rsid w:val="00BC6115"/>
    <w:rsid w:val="00BC6567"/>
    <w:rsid w:val="00BC77FC"/>
    <w:rsid w:val="00BC7A5E"/>
    <w:rsid w:val="00BD0321"/>
    <w:rsid w:val="00BD298F"/>
    <w:rsid w:val="00BD3729"/>
    <w:rsid w:val="00BD4058"/>
    <w:rsid w:val="00BD4486"/>
    <w:rsid w:val="00BD4B80"/>
    <w:rsid w:val="00BD4D5D"/>
    <w:rsid w:val="00BD5583"/>
    <w:rsid w:val="00BD587E"/>
    <w:rsid w:val="00BD5DC6"/>
    <w:rsid w:val="00BD61AB"/>
    <w:rsid w:val="00BD6319"/>
    <w:rsid w:val="00BE0EA2"/>
    <w:rsid w:val="00BE0FFD"/>
    <w:rsid w:val="00BE13B4"/>
    <w:rsid w:val="00BE1E52"/>
    <w:rsid w:val="00BE2AB7"/>
    <w:rsid w:val="00BE2E99"/>
    <w:rsid w:val="00BE4587"/>
    <w:rsid w:val="00BE5400"/>
    <w:rsid w:val="00BE68F3"/>
    <w:rsid w:val="00BF1248"/>
    <w:rsid w:val="00BF140D"/>
    <w:rsid w:val="00BF1DED"/>
    <w:rsid w:val="00BF2061"/>
    <w:rsid w:val="00BF3528"/>
    <w:rsid w:val="00BF380D"/>
    <w:rsid w:val="00BF3D2B"/>
    <w:rsid w:val="00BF452E"/>
    <w:rsid w:val="00BF5AD9"/>
    <w:rsid w:val="00BF5B58"/>
    <w:rsid w:val="00BF5BE0"/>
    <w:rsid w:val="00BF6DC8"/>
    <w:rsid w:val="00BF7607"/>
    <w:rsid w:val="00BF7CD3"/>
    <w:rsid w:val="00BF7E89"/>
    <w:rsid w:val="00C014BD"/>
    <w:rsid w:val="00C0189E"/>
    <w:rsid w:val="00C036C3"/>
    <w:rsid w:val="00C03955"/>
    <w:rsid w:val="00C039B7"/>
    <w:rsid w:val="00C03C3A"/>
    <w:rsid w:val="00C04FAD"/>
    <w:rsid w:val="00C051C3"/>
    <w:rsid w:val="00C05F84"/>
    <w:rsid w:val="00C06E06"/>
    <w:rsid w:val="00C07C88"/>
    <w:rsid w:val="00C07FDE"/>
    <w:rsid w:val="00C1140A"/>
    <w:rsid w:val="00C11734"/>
    <w:rsid w:val="00C1474F"/>
    <w:rsid w:val="00C14DB6"/>
    <w:rsid w:val="00C15B29"/>
    <w:rsid w:val="00C15D11"/>
    <w:rsid w:val="00C1771C"/>
    <w:rsid w:val="00C21CF1"/>
    <w:rsid w:val="00C2274E"/>
    <w:rsid w:val="00C233F1"/>
    <w:rsid w:val="00C23C1F"/>
    <w:rsid w:val="00C23C28"/>
    <w:rsid w:val="00C24414"/>
    <w:rsid w:val="00C2668F"/>
    <w:rsid w:val="00C26C3E"/>
    <w:rsid w:val="00C27391"/>
    <w:rsid w:val="00C2799C"/>
    <w:rsid w:val="00C27D37"/>
    <w:rsid w:val="00C27FFB"/>
    <w:rsid w:val="00C30516"/>
    <w:rsid w:val="00C337DD"/>
    <w:rsid w:val="00C344D3"/>
    <w:rsid w:val="00C3460E"/>
    <w:rsid w:val="00C3467F"/>
    <w:rsid w:val="00C349DA"/>
    <w:rsid w:val="00C34ACB"/>
    <w:rsid w:val="00C34FA2"/>
    <w:rsid w:val="00C361CD"/>
    <w:rsid w:val="00C3629D"/>
    <w:rsid w:val="00C366A9"/>
    <w:rsid w:val="00C36ADE"/>
    <w:rsid w:val="00C37031"/>
    <w:rsid w:val="00C377A3"/>
    <w:rsid w:val="00C377D1"/>
    <w:rsid w:val="00C37C87"/>
    <w:rsid w:val="00C40E20"/>
    <w:rsid w:val="00C412B7"/>
    <w:rsid w:val="00C42139"/>
    <w:rsid w:val="00C428B2"/>
    <w:rsid w:val="00C42BAD"/>
    <w:rsid w:val="00C451E3"/>
    <w:rsid w:val="00C455F8"/>
    <w:rsid w:val="00C45BD0"/>
    <w:rsid w:val="00C462F8"/>
    <w:rsid w:val="00C46F9D"/>
    <w:rsid w:val="00C4709E"/>
    <w:rsid w:val="00C47724"/>
    <w:rsid w:val="00C4776C"/>
    <w:rsid w:val="00C47786"/>
    <w:rsid w:val="00C4796D"/>
    <w:rsid w:val="00C50C00"/>
    <w:rsid w:val="00C50DC5"/>
    <w:rsid w:val="00C51450"/>
    <w:rsid w:val="00C52C40"/>
    <w:rsid w:val="00C52E4D"/>
    <w:rsid w:val="00C53404"/>
    <w:rsid w:val="00C554C3"/>
    <w:rsid w:val="00C55B6D"/>
    <w:rsid w:val="00C57211"/>
    <w:rsid w:val="00C573F6"/>
    <w:rsid w:val="00C57BDE"/>
    <w:rsid w:val="00C6010C"/>
    <w:rsid w:val="00C61B6A"/>
    <w:rsid w:val="00C6261D"/>
    <w:rsid w:val="00C63242"/>
    <w:rsid w:val="00C64173"/>
    <w:rsid w:val="00C6447C"/>
    <w:rsid w:val="00C6538D"/>
    <w:rsid w:val="00C6617A"/>
    <w:rsid w:val="00C66297"/>
    <w:rsid w:val="00C66882"/>
    <w:rsid w:val="00C716E5"/>
    <w:rsid w:val="00C72000"/>
    <w:rsid w:val="00C726F8"/>
    <w:rsid w:val="00C73615"/>
    <w:rsid w:val="00C73ED4"/>
    <w:rsid w:val="00C757D9"/>
    <w:rsid w:val="00C80B89"/>
    <w:rsid w:val="00C8155B"/>
    <w:rsid w:val="00C8167C"/>
    <w:rsid w:val="00C817CC"/>
    <w:rsid w:val="00C83737"/>
    <w:rsid w:val="00C84B60"/>
    <w:rsid w:val="00C90C4E"/>
    <w:rsid w:val="00C90F0F"/>
    <w:rsid w:val="00C913FF"/>
    <w:rsid w:val="00C91AB5"/>
    <w:rsid w:val="00C91DA6"/>
    <w:rsid w:val="00C91F4E"/>
    <w:rsid w:val="00C92D1A"/>
    <w:rsid w:val="00C949F9"/>
    <w:rsid w:val="00C9583E"/>
    <w:rsid w:val="00C95A32"/>
    <w:rsid w:val="00C96860"/>
    <w:rsid w:val="00C96D26"/>
    <w:rsid w:val="00C972CA"/>
    <w:rsid w:val="00C974AE"/>
    <w:rsid w:val="00C976F0"/>
    <w:rsid w:val="00C97B12"/>
    <w:rsid w:val="00CA083B"/>
    <w:rsid w:val="00CA14E7"/>
    <w:rsid w:val="00CA2801"/>
    <w:rsid w:val="00CA3215"/>
    <w:rsid w:val="00CA3246"/>
    <w:rsid w:val="00CA340E"/>
    <w:rsid w:val="00CA3AD6"/>
    <w:rsid w:val="00CA3D92"/>
    <w:rsid w:val="00CA4524"/>
    <w:rsid w:val="00CA4E8B"/>
    <w:rsid w:val="00CA5522"/>
    <w:rsid w:val="00CA61C7"/>
    <w:rsid w:val="00CA6FEE"/>
    <w:rsid w:val="00CA73D9"/>
    <w:rsid w:val="00CA79EB"/>
    <w:rsid w:val="00CA7E8F"/>
    <w:rsid w:val="00CB0445"/>
    <w:rsid w:val="00CB0E0B"/>
    <w:rsid w:val="00CB1090"/>
    <w:rsid w:val="00CB133D"/>
    <w:rsid w:val="00CB28A8"/>
    <w:rsid w:val="00CB2CE4"/>
    <w:rsid w:val="00CB31B1"/>
    <w:rsid w:val="00CB40F9"/>
    <w:rsid w:val="00CB4F47"/>
    <w:rsid w:val="00CB53DF"/>
    <w:rsid w:val="00CB5E30"/>
    <w:rsid w:val="00CB7A06"/>
    <w:rsid w:val="00CC0683"/>
    <w:rsid w:val="00CC105F"/>
    <w:rsid w:val="00CC1355"/>
    <w:rsid w:val="00CC1BCB"/>
    <w:rsid w:val="00CC1C6B"/>
    <w:rsid w:val="00CC270C"/>
    <w:rsid w:val="00CC33D9"/>
    <w:rsid w:val="00CC35BD"/>
    <w:rsid w:val="00CC3F9D"/>
    <w:rsid w:val="00CC4688"/>
    <w:rsid w:val="00CC556E"/>
    <w:rsid w:val="00CC60A4"/>
    <w:rsid w:val="00CC6E89"/>
    <w:rsid w:val="00CC6F12"/>
    <w:rsid w:val="00CC773C"/>
    <w:rsid w:val="00CC7A51"/>
    <w:rsid w:val="00CD0493"/>
    <w:rsid w:val="00CD0616"/>
    <w:rsid w:val="00CD0673"/>
    <w:rsid w:val="00CD0A5C"/>
    <w:rsid w:val="00CD0EF6"/>
    <w:rsid w:val="00CD16CB"/>
    <w:rsid w:val="00CD1F19"/>
    <w:rsid w:val="00CD3EA3"/>
    <w:rsid w:val="00CD3F8D"/>
    <w:rsid w:val="00CD4A5E"/>
    <w:rsid w:val="00CD5D1D"/>
    <w:rsid w:val="00CD7243"/>
    <w:rsid w:val="00CE03A4"/>
    <w:rsid w:val="00CE0454"/>
    <w:rsid w:val="00CE1816"/>
    <w:rsid w:val="00CE37B1"/>
    <w:rsid w:val="00CE4618"/>
    <w:rsid w:val="00CE4A41"/>
    <w:rsid w:val="00CE4DAF"/>
    <w:rsid w:val="00CE5852"/>
    <w:rsid w:val="00CE6AD3"/>
    <w:rsid w:val="00CE6E96"/>
    <w:rsid w:val="00CE6EC6"/>
    <w:rsid w:val="00CE6EEC"/>
    <w:rsid w:val="00CE71A4"/>
    <w:rsid w:val="00CE7E3F"/>
    <w:rsid w:val="00CF012A"/>
    <w:rsid w:val="00CF0298"/>
    <w:rsid w:val="00CF0EA1"/>
    <w:rsid w:val="00CF1811"/>
    <w:rsid w:val="00CF1AC3"/>
    <w:rsid w:val="00CF1D2C"/>
    <w:rsid w:val="00CF277F"/>
    <w:rsid w:val="00CF294C"/>
    <w:rsid w:val="00CF2A52"/>
    <w:rsid w:val="00CF3551"/>
    <w:rsid w:val="00CF56C0"/>
    <w:rsid w:val="00CF58B3"/>
    <w:rsid w:val="00CF58D1"/>
    <w:rsid w:val="00CF5F69"/>
    <w:rsid w:val="00CF622A"/>
    <w:rsid w:val="00CF635A"/>
    <w:rsid w:val="00CF645B"/>
    <w:rsid w:val="00CF78B0"/>
    <w:rsid w:val="00CF7A31"/>
    <w:rsid w:val="00D00D0C"/>
    <w:rsid w:val="00D01311"/>
    <w:rsid w:val="00D0213F"/>
    <w:rsid w:val="00D02F56"/>
    <w:rsid w:val="00D03139"/>
    <w:rsid w:val="00D03812"/>
    <w:rsid w:val="00D03956"/>
    <w:rsid w:val="00D0402D"/>
    <w:rsid w:val="00D045C6"/>
    <w:rsid w:val="00D048F7"/>
    <w:rsid w:val="00D049F3"/>
    <w:rsid w:val="00D05054"/>
    <w:rsid w:val="00D05C4B"/>
    <w:rsid w:val="00D06860"/>
    <w:rsid w:val="00D07528"/>
    <w:rsid w:val="00D077D5"/>
    <w:rsid w:val="00D10013"/>
    <w:rsid w:val="00D10911"/>
    <w:rsid w:val="00D10C9B"/>
    <w:rsid w:val="00D111F9"/>
    <w:rsid w:val="00D120EE"/>
    <w:rsid w:val="00D125F6"/>
    <w:rsid w:val="00D12938"/>
    <w:rsid w:val="00D14192"/>
    <w:rsid w:val="00D14456"/>
    <w:rsid w:val="00D14B36"/>
    <w:rsid w:val="00D14FBB"/>
    <w:rsid w:val="00D1619E"/>
    <w:rsid w:val="00D17207"/>
    <w:rsid w:val="00D2144A"/>
    <w:rsid w:val="00D21F38"/>
    <w:rsid w:val="00D2250D"/>
    <w:rsid w:val="00D2275F"/>
    <w:rsid w:val="00D238E3"/>
    <w:rsid w:val="00D241DE"/>
    <w:rsid w:val="00D24699"/>
    <w:rsid w:val="00D24E09"/>
    <w:rsid w:val="00D25422"/>
    <w:rsid w:val="00D26A23"/>
    <w:rsid w:val="00D26DE3"/>
    <w:rsid w:val="00D31218"/>
    <w:rsid w:val="00D31B8D"/>
    <w:rsid w:val="00D31FDA"/>
    <w:rsid w:val="00D32145"/>
    <w:rsid w:val="00D32C99"/>
    <w:rsid w:val="00D3315C"/>
    <w:rsid w:val="00D333A4"/>
    <w:rsid w:val="00D33D3B"/>
    <w:rsid w:val="00D34727"/>
    <w:rsid w:val="00D348A1"/>
    <w:rsid w:val="00D34C5C"/>
    <w:rsid w:val="00D3603F"/>
    <w:rsid w:val="00D37774"/>
    <w:rsid w:val="00D37EB3"/>
    <w:rsid w:val="00D40424"/>
    <w:rsid w:val="00D4055A"/>
    <w:rsid w:val="00D4086A"/>
    <w:rsid w:val="00D40928"/>
    <w:rsid w:val="00D412CC"/>
    <w:rsid w:val="00D41765"/>
    <w:rsid w:val="00D41E97"/>
    <w:rsid w:val="00D42800"/>
    <w:rsid w:val="00D4302A"/>
    <w:rsid w:val="00D436E8"/>
    <w:rsid w:val="00D44814"/>
    <w:rsid w:val="00D44B41"/>
    <w:rsid w:val="00D46AD5"/>
    <w:rsid w:val="00D47751"/>
    <w:rsid w:val="00D47DFE"/>
    <w:rsid w:val="00D500BB"/>
    <w:rsid w:val="00D50B78"/>
    <w:rsid w:val="00D518C4"/>
    <w:rsid w:val="00D52443"/>
    <w:rsid w:val="00D52D3A"/>
    <w:rsid w:val="00D5327A"/>
    <w:rsid w:val="00D5337D"/>
    <w:rsid w:val="00D535E3"/>
    <w:rsid w:val="00D55B7F"/>
    <w:rsid w:val="00D56072"/>
    <w:rsid w:val="00D561D8"/>
    <w:rsid w:val="00D56B38"/>
    <w:rsid w:val="00D57370"/>
    <w:rsid w:val="00D57518"/>
    <w:rsid w:val="00D5751F"/>
    <w:rsid w:val="00D578A7"/>
    <w:rsid w:val="00D57EE8"/>
    <w:rsid w:val="00D60DE1"/>
    <w:rsid w:val="00D61338"/>
    <w:rsid w:val="00D61E1F"/>
    <w:rsid w:val="00D61F9D"/>
    <w:rsid w:val="00D62305"/>
    <w:rsid w:val="00D648D1"/>
    <w:rsid w:val="00D649F8"/>
    <w:rsid w:val="00D6522E"/>
    <w:rsid w:val="00D658D0"/>
    <w:rsid w:val="00D65EBC"/>
    <w:rsid w:val="00D6640E"/>
    <w:rsid w:val="00D67486"/>
    <w:rsid w:val="00D67DB7"/>
    <w:rsid w:val="00D67FDD"/>
    <w:rsid w:val="00D7028E"/>
    <w:rsid w:val="00D70A20"/>
    <w:rsid w:val="00D70F8A"/>
    <w:rsid w:val="00D71715"/>
    <w:rsid w:val="00D71EFE"/>
    <w:rsid w:val="00D73EA4"/>
    <w:rsid w:val="00D749BC"/>
    <w:rsid w:val="00D755DA"/>
    <w:rsid w:val="00D757EB"/>
    <w:rsid w:val="00D75D06"/>
    <w:rsid w:val="00D75FE4"/>
    <w:rsid w:val="00D76E0F"/>
    <w:rsid w:val="00D76EDE"/>
    <w:rsid w:val="00D76F4C"/>
    <w:rsid w:val="00D775EC"/>
    <w:rsid w:val="00D80281"/>
    <w:rsid w:val="00D8116C"/>
    <w:rsid w:val="00D81D31"/>
    <w:rsid w:val="00D81E7B"/>
    <w:rsid w:val="00D82891"/>
    <w:rsid w:val="00D829B4"/>
    <w:rsid w:val="00D8323E"/>
    <w:rsid w:val="00D83601"/>
    <w:rsid w:val="00D84969"/>
    <w:rsid w:val="00D8583A"/>
    <w:rsid w:val="00D87891"/>
    <w:rsid w:val="00D87BCF"/>
    <w:rsid w:val="00D9199F"/>
    <w:rsid w:val="00D91C76"/>
    <w:rsid w:val="00D92118"/>
    <w:rsid w:val="00D9265C"/>
    <w:rsid w:val="00D92C31"/>
    <w:rsid w:val="00D93D79"/>
    <w:rsid w:val="00D93D7E"/>
    <w:rsid w:val="00D93EC0"/>
    <w:rsid w:val="00D94052"/>
    <w:rsid w:val="00D950F7"/>
    <w:rsid w:val="00D9583F"/>
    <w:rsid w:val="00D96A1E"/>
    <w:rsid w:val="00D96CE6"/>
    <w:rsid w:val="00DA02AF"/>
    <w:rsid w:val="00DA20FA"/>
    <w:rsid w:val="00DA2302"/>
    <w:rsid w:val="00DA4950"/>
    <w:rsid w:val="00DA53CF"/>
    <w:rsid w:val="00DA597C"/>
    <w:rsid w:val="00DA6A0B"/>
    <w:rsid w:val="00DA6AA0"/>
    <w:rsid w:val="00DA6AD2"/>
    <w:rsid w:val="00DA6C8C"/>
    <w:rsid w:val="00DA74C3"/>
    <w:rsid w:val="00DA75A6"/>
    <w:rsid w:val="00DA7903"/>
    <w:rsid w:val="00DA7B83"/>
    <w:rsid w:val="00DA7EB8"/>
    <w:rsid w:val="00DB0028"/>
    <w:rsid w:val="00DB0916"/>
    <w:rsid w:val="00DB1D34"/>
    <w:rsid w:val="00DB1ED2"/>
    <w:rsid w:val="00DB40E8"/>
    <w:rsid w:val="00DB5709"/>
    <w:rsid w:val="00DB5E6E"/>
    <w:rsid w:val="00DB5F2E"/>
    <w:rsid w:val="00DB6359"/>
    <w:rsid w:val="00DB67AD"/>
    <w:rsid w:val="00DB7793"/>
    <w:rsid w:val="00DC0FB1"/>
    <w:rsid w:val="00DC1534"/>
    <w:rsid w:val="00DC2013"/>
    <w:rsid w:val="00DC2F2A"/>
    <w:rsid w:val="00DC34AB"/>
    <w:rsid w:val="00DC35F5"/>
    <w:rsid w:val="00DC37EF"/>
    <w:rsid w:val="00DC65A1"/>
    <w:rsid w:val="00DC69D9"/>
    <w:rsid w:val="00DC6A05"/>
    <w:rsid w:val="00DC6BC0"/>
    <w:rsid w:val="00DD32CF"/>
    <w:rsid w:val="00DD432A"/>
    <w:rsid w:val="00DD4A34"/>
    <w:rsid w:val="00DD4C71"/>
    <w:rsid w:val="00DD5713"/>
    <w:rsid w:val="00DD65E4"/>
    <w:rsid w:val="00DD681F"/>
    <w:rsid w:val="00DD6838"/>
    <w:rsid w:val="00DD6B3B"/>
    <w:rsid w:val="00DD731A"/>
    <w:rsid w:val="00DE0255"/>
    <w:rsid w:val="00DE0275"/>
    <w:rsid w:val="00DE14B9"/>
    <w:rsid w:val="00DE251A"/>
    <w:rsid w:val="00DE2909"/>
    <w:rsid w:val="00DE2A54"/>
    <w:rsid w:val="00DE35B4"/>
    <w:rsid w:val="00DE385A"/>
    <w:rsid w:val="00DE4605"/>
    <w:rsid w:val="00DE48C7"/>
    <w:rsid w:val="00DE6049"/>
    <w:rsid w:val="00DF0B36"/>
    <w:rsid w:val="00DF11DC"/>
    <w:rsid w:val="00DF1A2A"/>
    <w:rsid w:val="00DF2025"/>
    <w:rsid w:val="00DF2061"/>
    <w:rsid w:val="00DF231E"/>
    <w:rsid w:val="00DF3B5D"/>
    <w:rsid w:val="00DF419C"/>
    <w:rsid w:val="00DF4C59"/>
    <w:rsid w:val="00DF54C7"/>
    <w:rsid w:val="00DF652E"/>
    <w:rsid w:val="00DF6834"/>
    <w:rsid w:val="00DF7437"/>
    <w:rsid w:val="00E00937"/>
    <w:rsid w:val="00E00E15"/>
    <w:rsid w:val="00E02451"/>
    <w:rsid w:val="00E02463"/>
    <w:rsid w:val="00E02536"/>
    <w:rsid w:val="00E04931"/>
    <w:rsid w:val="00E05450"/>
    <w:rsid w:val="00E06C47"/>
    <w:rsid w:val="00E074D8"/>
    <w:rsid w:val="00E07B98"/>
    <w:rsid w:val="00E10539"/>
    <w:rsid w:val="00E10CBD"/>
    <w:rsid w:val="00E113D8"/>
    <w:rsid w:val="00E11A40"/>
    <w:rsid w:val="00E1221B"/>
    <w:rsid w:val="00E125DF"/>
    <w:rsid w:val="00E1283B"/>
    <w:rsid w:val="00E13860"/>
    <w:rsid w:val="00E13DCA"/>
    <w:rsid w:val="00E140CE"/>
    <w:rsid w:val="00E1412B"/>
    <w:rsid w:val="00E148F7"/>
    <w:rsid w:val="00E14ABF"/>
    <w:rsid w:val="00E17132"/>
    <w:rsid w:val="00E175CD"/>
    <w:rsid w:val="00E17623"/>
    <w:rsid w:val="00E1781F"/>
    <w:rsid w:val="00E20866"/>
    <w:rsid w:val="00E20AF9"/>
    <w:rsid w:val="00E211DC"/>
    <w:rsid w:val="00E21A5F"/>
    <w:rsid w:val="00E238DD"/>
    <w:rsid w:val="00E24326"/>
    <w:rsid w:val="00E24644"/>
    <w:rsid w:val="00E255B8"/>
    <w:rsid w:val="00E2653E"/>
    <w:rsid w:val="00E2682A"/>
    <w:rsid w:val="00E26FD9"/>
    <w:rsid w:val="00E27611"/>
    <w:rsid w:val="00E27762"/>
    <w:rsid w:val="00E306E0"/>
    <w:rsid w:val="00E31C70"/>
    <w:rsid w:val="00E31EC5"/>
    <w:rsid w:val="00E32512"/>
    <w:rsid w:val="00E33B26"/>
    <w:rsid w:val="00E33C5A"/>
    <w:rsid w:val="00E33CC6"/>
    <w:rsid w:val="00E341FF"/>
    <w:rsid w:val="00E35714"/>
    <w:rsid w:val="00E36381"/>
    <w:rsid w:val="00E371EE"/>
    <w:rsid w:val="00E418BB"/>
    <w:rsid w:val="00E419B6"/>
    <w:rsid w:val="00E422A6"/>
    <w:rsid w:val="00E428D4"/>
    <w:rsid w:val="00E4292B"/>
    <w:rsid w:val="00E4311D"/>
    <w:rsid w:val="00E43459"/>
    <w:rsid w:val="00E4370C"/>
    <w:rsid w:val="00E43DB9"/>
    <w:rsid w:val="00E45342"/>
    <w:rsid w:val="00E46495"/>
    <w:rsid w:val="00E46AA4"/>
    <w:rsid w:val="00E473D5"/>
    <w:rsid w:val="00E479A1"/>
    <w:rsid w:val="00E47E48"/>
    <w:rsid w:val="00E50E5F"/>
    <w:rsid w:val="00E51111"/>
    <w:rsid w:val="00E511F7"/>
    <w:rsid w:val="00E52027"/>
    <w:rsid w:val="00E53E5D"/>
    <w:rsid w:val="00E53EE3"/>
    <w:rsid w:val="00E54560"/>
    <w:rsid w:val="00E563D5"/>
    <w:rsid w:val="00E56866"/>
    <w:rsid w:val="00E56D6D"/>
    <w:rsid w:val="00E570C0"/>
    <w:rsid w:val="00E57476"/>
    <w:rsid w:val="00E57ACE"/>
    <w:rsid w:val="00E60672"/>
    <w:rsid w:val="00E60CA3"/>
    <w:rsid w:val="00E61083"/>
    <w:rsid w:val="00E61856"/>
    <w:rsid w:val="00E61ADA"/>
    <w:rsid w:val="00E61AED"/>
    <w:rsid w:val="00E621CB"/>
    <w:rsid w:val="00E65FCD"/>
    <w:rsid w:val="00E66B28"/>
    <w:rsid w:val="00E66CAE"/>
    <w:rsid w:val="00E67FC4"/>
    <w:rsid w:val="00E7295F"/>
    <w:rsid w:val="00E7418D"/>
    <w:rsid w:val="00E743C3"/>
    <w:rsid w:val="00E74F93"/>
    <w:rsid w:val="00E756F1"/>
    <w:rsid w:val="00E7589B"/>
    <w:rsid w:val="00E763AA"/>
    <w:rsid w:val="00E776D1"/>
    <w:rsid w:val="00E778B7"/>
    <w:rsid w:val="00E77D4C"/>
    <w:rsid w:val="00E80980"/>
    <w:rsid w:val="00E809DE"/>
    <w:rsid w:val="00E8196A"/>
    <w:rsid w:val="00E82EEB"/>
    <w:rsid w:val="00E832FB"/>
    <w:rsid w:val="00E8392F"/>
    <w:rsid w:val="00E84F4D"/>
    <w:rsid w:val="00E85162"/>
    <w:rsid w:val="00E85606"/>
    <w:rsid w:val="00E85741"/>
    <w:rsid w:val="00E8624B"/>
    <w:rsid w:val="00E86CF6"/>
    <w:rsid w:val="00E870FC"/>
    <w:rsid w:val="00E87C11"/>
    <w:rsid w:val="00E90776"/>
    <w:rsid w:val="00E91763"/>
    <w:rsid w:val="00E925C2"/>
    <w:rsid w:val="00E929E6"/>
    <w:rsid w:val="00E94004"/>
    <w:rsid w:val="00E945B6"/>
    <w:rsid w:val="00E96653"/>
    <w:rsid w:val="00E9684D"/>
    <w:rsid w:val="00E96A18"/>
    <w:rsid w:val="00E97F07"/>
    <w:rsid w:val="00E97F1F"/>
    <w:rsid w:val="00EA012D"/>
    <w:rsid w:val="00EA04CB"/>
    <w:rsid w:val="00EA08EF"/>
    <w:rsid w:val="00EA1726"/>
    <w:rsid w:val="00EA33C7"/>
    <w:rsid w:val="00EA382F"/>
    <w:rsid w:val="00EA3B66"/>
    <w:rsid w:val="00EA4103"/>
    <w:rsid w:val="00EA5759"/>
    <w:rsid w:val="00EA5D82"/>
    <w:rsid w:val="00EA6156"/>
    <w:rsid w:val="00EA6719"/>
    <w:rsid w:val="00EA67AF"/>
    <w:rsid w:val="00EA6F31"/>
    <w:rsid w:val="00EA79D6"/>
    <w:rsid w:val="00EB2002"/>
    <w:rsid w:val="00EB3259"/>
    <w:rsid w:val="00EB4FD0"/>
    <w:rsid w:val="00EB567F"/>
    <w:rsid w:val="00EB58D7"/>
    <w:rsid w:val="00EB59E7"/>
    <w:rsid w:val="00EB59ED"/>
    <w:rsid w:val="00EB5EE4"/>
    <w:rsid w:val="00EB607A"/>
    <w:rsid w:val="00EB68E8"/>
    <w:rsid w:val="00EB6B00"/>
    <w:rsid w:val="00EB6B22"/>
    <w:rsid w:val="00EB7164"/>
    <w:rsid w:val="00EB7888"/>
    <w:rsid w:val="00EB7FD6"/>
    <w:rsid w:val="00EC1092"/>
    <w:rsid w:val="00EC16C7"/>
    <w:rsid w:val="00EC1D9E"/>
    <w:rsid w:val="00EC1FF2"/>
    <w:rsid w:val="00EC2BE1"/>
    <w:rsid w:val="00EC5066"/>
    <w:rsid w:val="00EC76C9"/>
    <w:rsid w:val="00EC7D4B"/>
    <w:rsid w:val="00ED09EE"/>
    <w:rsid w:val="00ED1876"/>
    <w:rsid w:val="00ED1D58"/>
    <w:rsid w:val="00ED2051"/>
    <w:rsid w:val="00ED26C5"/>
    <w:rsid w:val="00ED2ABD"/>
    <w:rsid w:val="00ED33C4"/>
    <w:rsid w:val="00ED33ED"/>
    <w:rsid w:val="00ED538C"/>
    <w:rsid w:val="00ED5B1A"/>
    <w:rsid w:val="00ED5FA8"/>
    <w:rsid w:val="00ED722B"/>
    <w:rsid w:val="00EE0307"/>
    <w:rsid w:val="00EE0AF6"/>
    <w:rsid w:val="00EE1B48"/>
    <w:rsid w:val="00EE1BBF"/>
    <w:rsid w:val="00EE2132"/>
    <w:rsid w:val="00EE2422"/>
    <w:rsid w:val="00EE2551"/>
    <w:rsid w:val="00EE31C2"/>
    <w:rsid w:val="00EE3970"/>
    <w:rsid w:val="00EE3BDD"/>
    <w:rsid w:val="00EE43BC"/>
    <w:rsid w:val="00EE49FB"/>
    <w:rsid w:val="00EE4C4A"/>
    <w:rsid w:val="00EE5E35"/>
    <w:rsid w:val="00EE604D"/>
    <w:rsid w:val="00EF07E1"/>
    <w:rsid w:val="00EF10E5"/>
    <w:rsid w:val="00EF187C"/>
    <w:rsid w:val="00EF24F1"/>
    <w:rsid w:val="00EF30E4"/>
    <w:rsid w:val="00EF3A9F"/>
    <w:rsid w:val="00EF3E73"/>
    <w:rsid w:val="00EF48A1"/>
    <w:rsid w:val="00EF4CD8"/>
    <w:rsid w:val="00EF66C1"/>
    <w:rsid w:val="00EF7D7C"/>
    <w:rsid w:val="00F019A6"/>
    <w:rsid w:val="00F01CB7"/>
    <w:rsid w:val="00F01D0D"/>
    <w:rsid w:val="00F01D6B"/>
    <w:rsid w:val="00F022E4"/>
    <w:rsid w:val="00F022F6"/>
    <w:rsid w:val="00F02559"/>
    <w:rsid w:val="00F0292F"/>
    <w:rsid w:val="00F043C3"/>
    <w:rsid w:val="00F053A1"/>
    <w:rsid w:val="00F0652D"/>
    <w:rsid w:val="00F06B36"/>
    <w:rsid w:val="00F06BC4"/>
    <w:rsid w:val="00F06F28"/>
    <w:rsid w:val="00F07FE2"/>
    <w:rsid w:val="00F104D8"/>
    <w:rsid w:val="00F10A19"/>
    <w:rsid w:val="00F11102"/>
    <w:rsid w:val="00F11993"/>
    <w:rsid w:val="00F11DE4"/>
    <w:rsid w:val="00F1313A"/>
    <w:rsid w:val="00F154E4"/>
    <w:rsid w:val="00F160C2"/>
    <w:rsid w:val="00F16B6D"/>
    <w:rsid w:val="00F174D5"/>
    <w:rsid w:val="00F2134F"/>
    <w:rsid w:val="00F22422"/>
    <w:rsid w:val="00F22950"/>
    <w:rsid w:val="00F2299C"/>
    <w:rsid w:val="00F22A21"/>
    <w:rsid w:val="00F22C4F"/>
    <w:rsid w:val="00F2332D"/>
    <w:rsid w:val="00F23DEC"/>
    <w:rsid w:val="00F245EF"/>
    <w:rsid w:val="00F24939"/>
    <w:rsid w:val="00F251A5"/>
    <w:rsid w:val="00F252A3"/>
    <w:rsid w:val="00F2586E"/>
    <w:rsid w:val="00F25982"/>
    <w:rsid w:val="00F25BCC"/>
    <w:rsid w:val="00F25BE7"/>
    <w:rsid w:val="00F25CE1"/>
    <w:rsid w:val="00F2610C"/>
    <w:rsid w:val="00F26444"/>
    <w:rsid w:val="00F27942"/>
    <w:rsid w:val="00F27FB6"/>
    <w:rsid w:val="00F30253"/>
    <w:rsid w:val="00F30ECC"/>
    <w:rsid w:val="00F31C73"/>
    <w:rsid w:val="00F31CFD"/>
    <w:rsid w:val="00F31FB6"/>
    <w:rsid w:val="00F32D7A"/>
    <w:rsid w:val="00F33279"/>
    <w:rsid w:val="00F33AAF"/>
    <w:rsid w:val="00F33BEB"/>
    <w:rsid w:val="00F33FA3"/>
    <w:rsid w:val="00F3458D"/>
    <w:rsid w:val="00F348AA"/>
    <w:rsid w:val="00F34938"/>
    <w:rsid w:val="00F360F0"/>
    <w:rsid w:val="00F36261"/>
    <w:rsid w:val="00F36702"/>
    <w:rsid w:val="00F371CB"/>
    <w:rsid w:val="00F37C64"/>
    <w:rsid w:val="00F40DA7"/>
    <w:rsid w:val="00F42988"/>
    <w:rsid w:val="00F42F3B"/>
    <w:rsid w:val="00F42FF8"/>
    <w:rsid w:val="00F43179"/>
    <w:rsid w:val="00F43261"/>
    <w:rsid w:val="00F43668"/>
    <w:rsid w:val="00F4374D"/>
    <w:rsid w:val="00F4379E"/>
    <w:rsid w:val="00F44859"/>
    <w:rsid w:val="00F45228"/>
    <w:rsid w:val="00F45B63"/>
    <w:rsid w:val="00F45C21"/>
    <w:rsid w:val="00F50434"/>
    <w:rsid w:val="00F50CE3"/>
    <w:rsid w:val="00F5239B"/>
    <w:rsid w:val="00F52872"/>
    <w:rsid w:val="00F537B6"/>
    <w:rsid w:val="00F53CA2"/>
    <w:rsid w:val="00F55363"/>
    <w:rsid w:val="00F557FE"/>
    <w:rsid w:val="00F55B78"/>
    <w:rsid w:val="00F5646A"/>
    <w:rsid w:val="00F602DF"/>
    <w:rsid w:val="00F60CCE"/>
    <w:rsid w:val="00F61B23"/>
    <w:rsid w:val="00F61FB3"/>
    <w:rsid w:val="00F627D7"/>
    <w:rsid w:val="00F62CB0"/>
    <w:rsid w:val="00F63291"/>
    <w:rsid w:val="00F63504"/>
    <w:rsid w:val="00F63A24"/>
    <w:rsid w:val="00F646DC"/>
    <w:rsid w:val="00F64AA3"/>
    <w:rsid w:val="00F65626"/>
    <w:rsid w:val="00F66617"/>
    <w:rsid w:val="00F712FE"/>
    <w:rsid w:val="00F71AC5"/>
    <w:rsid w:val="00F71E2C"/>
    <w:rsid w:val="00F72AC2"/>
    <w:rsid w:val="00F730F8"/>
    <w:rsid w:val="00F73132"/>
    <w:rsid w:val="00F739F5"/>
    <w:rsid w:val="00F74C39"/>
    <w:rsid w:val="00F750D7"/>
    <w:rsid w:val="00F7573B"/>
    <w:rsid w:val="00F758B3"/>
    <w:rsid w:val="00F75C48"/>
    <w:rsid w:val="00F75D01"/>
    <w:rsid w:val="00F77275"/>
    <w:rsid w:val="00F8064D"/>
    <w:rsid w:val="00F80B2E"/>
    <w:rsid w:val="00F80CBD"/>
    <w:rsid w:val="00F817FD"/>
    <w:rsid w:val="00F81E98"/>
    <w:rsid w:val="00F8257B"/>
    <w:rsid w:val="00F83ACD"/>
    <w:rsid w:val="00F84035"/>
    <w:rsid w:val="00F8426C"/>
    <w:rsid w:val="00F85A97"/>
    <w:rsid w:val="00F864E1"/>
    <w:rsid w:val="00F87BF0"/>
    <w:rsid w:val="00F915F2"/>
    <w:rsid w:val="00F91CB9"/>
    <w:rsid w:val="00F91D7C"/>
    <w:rsid w:val="00F938FB"/>
    <w:rsid w:val="00F941B4"/>
    <w:rsid w:val="00F95C2F"/>
    <w:rsid w:val="00F962EE"/>
    <w:rsid w:val="00F96A31"/>
    <w:rsid w:val="00F97450"/>
    <w:rsid w:val="00F97459"/>
    <w:rsid w:val="00F97B7E"/>
    <w:rsid w:val="00FA0C04"/>
    <w:rsid w:val="00FA0ED9"/>
    <w:rsid w:val="00FA1FCD"/>
    <w:rsid w:val="00FA22DB"/>
    <w:rsid w:val="00FA2C8B"/>
    <w:rsid w:val="00FA410C"/>
    <w:rsid w:val="00FA530F"/>
    <w:rsid w:val="00FA60AB"/>
    <w:rsid w:val="00FA6FF6"/>
    <w:rsid w:val="00FB12FA"/>
    <w:rsid w:val="00FB1EFB"/>
    <w:rsid w:val="00FB232E"/>
    <w:rsid w:val="00FB281C"/>
    <w:rsid w:val="00FB30C5"/>
    <w:rsid w:val="00FB39A1"/>
    <w:rsid w:val="00FB52A4"/>
    <w:rsid w:val="00FB5312"/>
    <w:rsid w:val="00FB5978"/>
    <w:rsid w:val="00FB76D5"/>
    <w:rsid w:val="00FB7D95"/>
    <w:rsid w:val="00FC14B2"/>
    <w:rsid w:val="00FC25C0"/>
    <w:rsid w:val="00FC350C"/>
    <w:rsid w:val="00FC3675"/>
    <w:rsid w:val="00FC649C"/>
    <w:rsid w:val="00FC6E58"/>
    <w:rsid w:val="00FD1FBC"/>
    <w:rsid w:val="00FD1FF1"/>
    <w:rsid w:val="00FD318B"/>
    <w:rsid w:val="00FD3358"/>
    <w:rsid w:val="00FD3B6D"/>
    <w:rsid w:val="00FD56A7"/>
    <w:rsid w:val="00FD6008"/>
    <w:rsid w:val="00FD633F"/>
    <w:rsid w:val="00FD66CB"/>
    <w:rsid w:val="00FD69DB"/>
    <w:rsid w:val="00FE0328"/>
    <w:rsid w:val="00FE05D0"/>
    <w:rsid w:val="00FE1090"/>
    <w:rsid w:val="00FE1A7A"/>
    <w:rsid w:val="00FE2B63"/>
    <w:rsid w:val="00FE3B9B"/>
    <w:rsid w:val="00FE3BF9"/>
    <w:rsid w:val="00FE3D1D"/>
    <w:rsid w:val="00FE46A7"/>
    <w:rsid w:val="00FE6B35"/>
    <w:rsid w:val="00FE6D89"/>
    <w:rsid w:val="00FE6F0B"/>
    <w:rsid w:val="00FE7706"/>
    <w:rsid w:val="00FE7DB3"/>
    <w:rsid w:val="00FF00D9"/>
    <w:rsid w:val="00FF0731"/>
    <w:rsid w:val="00FF1ADA"/>
    <w:rsid w:val="00FF38E8"/>
    <w:rsid w:val="00FF4EFA"/>
    <w:rsid w:val="00FF53A9"/>
    <w:rsid w:val="00FF674A"/>
    <w:rsid w:val="00FF6CD4"/>
    <w:rsid w:val="00FF73D5"/>
    <w:rsid w:val="00FF764E"/>
    <w:rsid w:val="00FF7D12"/>
    <w:rsid w:val="100D68CB"/>
    <w:rsid w:val="576AB269"/>
    <w:rsid w:val="5A371B08"/>
    <w:rsid w:val="6BB997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59E3FD"/>
  <w15:chartTrackingRefBased/>
  <w15:docId w15:val="{AF4BF1DF-07E3-427E-8AA9-144EA8CCB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82B"/>
    <w:pPr>
      <w:spacing w:after="100" w:line="264" w:lineRule="auto"/>
    </w:pPr>
    <w:rPr>
      <w:rFonts w:ascii="Arial" w:hAnsi="Arial"/>
    </w:rPr>
  </w:style>
  <w:style w:type="paragraph" w:styleId="Heading1">
    <w:name w:val="heading 1"/>
    <w:basedOn w:val="Normal"/>
    <w:next w:val="Normal"/>
    <w:link w:val="Heading1Char"/>
    <w:uiPriority w:val="9"/>
    <w:qFormat/>
    <w:rsid w:val="00D12938"/>
    <w:pPr>
      <w:keepNext/>
      <w:keepLines/>
      <w:spacing w:before="240" w:after="0" w:line="276" w:lineRule="auto"/>
      <w:outlineLvl w:val="0"/>
    </w:pPr>
    <w:rPr>
      <w:rFonts w:eastAsiaTheme="majorEastAsia" w:cstheme="majorBidi"/>
      <w:b/>
      <w:color w:val="4B0885" w:themeColor="text2"/>
      <w:sz w:val="56"/>
      <w:szCs w:val="32"/>
    </w:rPr>
  </w:style>
  <w:style w:type="paragraph" w:styleId="Heading2">
    <w:name w:val="heading 2"/>
    <w:basedOn w:val="Normal"/>
    <w:next w:val="Normal"/>
    <w:link w:val="Heading2Char"/>
    <w:uiPriority w:val="9"/>
    <w:unhideWhenUsed/>
    <w:qFormat/>
    <w:rsid w:val="00D12938"/>
    <w:pPr>
      <w:keepNext/>
      <w:keepLines/>
      <w:spacing w:before="240" w:after="0" w:line="276"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D12938"/>
    <w:pPr>
      <w:keepNext/>
      <w:keepLines/>
      <w:spacing w:before="240" w:after="0" w:line="276" w:lineRule="auto"/>
      <w:outlineLvl w:val="2"/>
    </w:pPr>
    <w:rPr>
      <w:rFonts w:eastAsiaTheme="majorEastAsia" w:cstheme="majorBidi"/>
      <w:b/>
      <w:color w:val="4B0885" w:themeColor="text2"/>
      <w:sz w:val="26"/>
      <w:szCs w:val="24"/>
    </w:rPr>
  </w:style>
  <w:style w:type="paragraph" w:styleId="Heading4">
    <w:name w:val="heading 4"/>
    <w:basedOn w:val="Normal"/>
    <w:next w:val="Normal"/>
    <w:link w:val="Heading4Char"/>
    <w:uiPriority w:val="9"/>
    <w:unhideWhenUsed/>
    <w:qFormat/>
    <w:rsid w:val="00D12938"/>
    <w:pPr>
      <w:spacing w:before="240" w:after="0" w:line="276" w:lineRule="auto"/>
      <w:outlineLvl w:val="3"/>
    </w:pPr>
    <w:rPr>
      <w:rFonts w:cs="Arial"/>
      <w:b/>
      <w:bCs/>
      <w:color w:val="012749" w:themeColor="accent3"/>
    </w:rPr>
  </w:style>
  <w:style w:type="paragraph" w:styleId="Heading5">
    <w:name w:val="heading 5"/>
    <w:basedOn w:val="Normal"/>
    <w:next w:val="Normal"/>
    <w:link w:val="Heading5Char"/>
    <w:uiPriority w:val="9"/>
    <w:unhideWhenUsed/>
    <w:qFormat/>
    <w:rsid w:val="00D12938"/>
    <w:pPr>
      <w:spacing w:before="240" w:after="0" w:line="276" w:lineRule="auto"/>
      <w:outlineLvl w:val="4"/>
    </w:pPr>
    <w:rPr>
      <w:rFonts w:cs="Arial"/>
      <w:color w:val="4B0885" w:themeColor="text2"/>
      <w:sz w:val="19"/>
      <w:szCs w:val="19"/>
    </w:rPr>
  </w:style>
  <w:style w:type="paragraph" w:styleId="Heading6">
    <w:name w:val="heading 6"/>
    <w:basedOn w:val="Normal"/>
    <w:next w:val="Normal"/>
    <w:link w:val="Heading6Char"/>
    <w:uiPriority w:val="9"/>
    <w:unhideWhenUsed/>
    <w:qFormat/>
    <w:rsid w:val="00D12938"/>
    <w:pPr>
      <w:keepNext/>
      <w:keepLines/>
      <w:spacing w:before="240" w:after="0" w:line="276" w:lineRule="auto"/>
      <w:outlineLvl w:val="5"/>
    </w:pPr>
    <w:rPr>
      <w:rFonts w:eastAsiaTheme="majorEastAsia" w:cstheme="majorBidi"/>
      <w:color w:val="341461" w:themeColor="accent1" w:themeShade="7F"/>
    </w:rPr>
  </w:style>
  <w:style w:type="paragraph" w:styleId="Heading7">
    <w:name w:val="heading 7"/>
    <w:basedOn w:val="Normal"/>
    <w:next w:val="Normal"/>
    <w:link w:val="Heading7Char"/>
    <w:uiPriority w:val="9"/>
    <w:unhideWhenUsed/>
    <w:rsid w:val="00642A9A"/>
    <w:pPr>
      <w:keepNext/>
      <w:keepLines/>
      <w:spacing w:before="240" w:after="0"/>
      <w:outlineLvl w:val="6"/>
    </w:pPr>
    <w:rPr>
      <w:rFonts w:asciiTheme="majorHAnsi" w:eastAsiaTheme="majorEastAsia" w:hAnsiTheme="majorHAnsi" w:cstheme="majorBidi"/>
      <w:i/>
      <w:iCs/>
      <w:color w:val="341461" w:themeColor="accent1" w:themeShade="7F"/>
    </w:rPr>
  </w:style>
  <w:style w:type="paragraph" w:styleId="Heading8">
    <w:name w:val="heading 8"/>
    <w:basedOn w:val="Normal"/>
    <w:next w:val="Normal"/>
    <w:link w:val="Heading8Char"/>
    <w:uiPriority w:val="9"/>
    <w:semiHidden/>
    <w:unhideWhenUsed/>
    <w:rsid w:val="00642A9A"/>
    <w:pPr>
      <w:keepNext/>
      <w:keepLines/>
      <w:spacing w:before="2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42A9A"/>
    <w:pPr>
      <w:keepNext/>
      <w:keepLines/>
      <w:spacing w:before="2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UnresolvedMention">
    <w:name w:val="Unresolved Mention"/>
    <w:basedOn w:val="DefaultParagraphFont"/>
    <w:uiPriority w:val="99"/>
    <w:semiHidden/>
    <w:unhideWhenUsed/>
    <w:rsid w:val="00E82EEB"/>
    <w:rPr>
      <w:color w:val="605E5C"/>
      <w:shd w:val="clear" w:color="auto" w:fill="E1DFDD"/>
    </w:rPr>
  </w:style>
  <w:style w:type="paragraph" w:styleId="Footer">
    <w:name w:val="footer"/>
    <w:basedOn w:val="Normal"/>
    <w:link w:val="FooterChar"/>
    <w:uiPriority w:val="99"/>
    <w:unhideWhenUsed/>
    <w:rsid w:val="00991526"/>
    <w:pPr>
      <w:tabs>
        <w:tab w:val="right" w:pos="9026"/>
      </w:tabs>
      <w:spacing w:before="20" w:after="0" w:line="240" w:lineRule="auto"/>
    </w:pPr>
    <w:rPr>
      <w:sz w:val="17"/>
      <w:szCs w:val="17"/>
    </w:rPr>
  </w:style>
  <w:style w:type="character" w:customStyle="1" w:styleId="FooterChar">
    <w:name w:val="Footer Char"/>
    <w:basedOn w:val="DefaultParagraphFont"/>
    <w:link w:val="Footer"/>
    <w:uiPriority w:val="99"/>
    <w:rsid w:val="00991526"/>
    <w:rPr>
      <w:color w:val="000000" w:themeColor="text1"/>
      <w:sz w:val="17"/>
      <w:szCs w:val="17"/>
    </w:rPr>
  </w:style>
  <w:style w:type="paragraph" w:styleId="Title">
    <w:name w:val="Title"/>
    <w:basedOn w:val="Normal"/>
    <w:next w:val="Normal"/>
    <w:link w:val="TitleChar"/>
    <w:uiPriority w:val="1"/>
    <w:rsid w:val="00233A75"/>
    <w:pPr>
      <w:spacing w:before="2600" w:after="240" w:line="252" w:lineRule="auto"/>
    </w:pPr>
    <w:rPr>
      <w:rFonts w:asciiTheme="majorHAnsi" w:eastAsiaTheme="majorEastAsia" w:hAnsiTheme="majorHAnsi" w:cstheme="majorBidi"/>
      <w:b/>
      <w:color w:val="FFFFFF" w:themeColor="background1"/>
      <w:spacing w:val="-2"/>
      <w:kern w:val="28"/>
      <w:sz w:val="80"/>
      <w:szCs w:val="80"/>
    </w:rPr>
  </w:style>
  <w:style w:type="character" w:customStyle="1" w:styleId="TitleChar">
    <w:name w:val="Title Char"/>
    <w:basedOn w:val="DefaultParagraphFont"/>
    <w:link w:val="Title"/>
    <w:uiPriority w:val="1"/>
    <w:rsid w:val="00233A75"/>
    <w:rPr>
      <w:rFonts w:asciiTheme="majorHAnsi" w:eastAsiaTheme="majorEastAsia" w:hAnsiTheme="majorHAnsi" w:cstheme="majorBidi"/>
      <w:b/>
      <w:color w:val="FFFFFF" w:themeColor="background1"/>
      <w:spacing w:val="-2"/>
      <w:kern w:val="28"/>
      <w:sz w:val="80"/>
      <w:szCs w:val="80"/>
    </w:rPr>
  </w:style>
  <w:style w:type="character" w:customStyle="1" w:styleId="Heading1Char">
    <w:name w:val="Heading 1 Char"/>
    <w:basedOn w:val="DefaultParagraphFont"/>
    <w:link w:val="Heading1"/>
    <w:uiPriority w:val="9"/>
    <w:rsid w:val="00D12938"/>
    <w:rPr>
      <w:rFonts w:ascii="Arial" w:eastAsiaTheme="majorEastAsia" w:hAnsi="Arial" w:cstheme="majorBidi"/>
      <w:b/>
      <w:color w:val="4B0885" w:themeColor="text2"/>
      <w:sz w:val="56"/>
      <w:szCs w:val="32"/>
    </w:rPr>
  </w:style>
  <w:style w:type="paragraph" w:styleId="TOCHeading">
    <w:name w:val="TOC Heading"/>
    <w:basedOn w:val="Heading1"/>
    <w:next w:val="Normal"/>
    <w:uiPriority w:val="39"/>
    <w:unhideWhenUsed/>
    <w:qFormat/>
    <w:rsid w:val="007177A7"/>
    <w:pPr>
      <w:outlineLvl w:val="9"/>
    </w:pPr>
    <w:rPr>
      <w:lang w:val="en-US"/>
    </w:rPr>
  </w:style>
  <w:style w:type="paragraph" w:styleId="ListParagraph">
    <w:name w:val="List Paragraph"/>
    <w:aliases w:val="Recommendation,L,List Paragraph1,List Paragraph11,NFP GP Bulleted List,FooterText,numbered,Paragraphe de liste1,Bulletr List Paragraph,列出段落,列出段落1,List Paragraph2,List Paragraph21,Listeafsnit1,Parágrafo da Lista1,Párrafo de lista1,リスト段落1"/>
    <w:basedOn w:val="Normal"/>
    <w:link w:val="ListParagraphChar"/>
    <w:uiPriority w:val="34"/>
    <w:qFormat/>
    <w:rsid w:val="00E148F7"/>
    <w:pPr>
      <w:ind w:left="720"/>
      <w:contextualSpacing/>
    </w:pPr>
  </w:style>
  <w:style w:type="table" w:styleId="TableGrid">
    <w:name w:val="Table Grid"/>
    <w:basedOn w:val="TableNormal"/>
    <w:rsid w:val="00F436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F7DBD"/>
    <w:rPr>
      <w:sz w:val="16"/>
      <w:szCs w:val="16"/>
    </w:rPr>
  </w:style>
  <w:style w:type="paragraph" w:styleId="CommentText">
    <w:name w:val="annotation text"/>
    <w:basedOn w:val="Normal"/>
    <w:link w:val="CommentTextChar"/>
    <w:uiPriority w:val="99"/>
    <w:unhideWhenUsed/>
    <w:rsid w:val="007F7DBD"/>
    <w:pPr>
      <w:spacing w:line="240" w:lineRule="auto"/>
    </w:pPr>
    <w:rPr>
      <w:sz w:val="20"/>
      <w:szCs w:val="20"/>
    </w:rPr>
  </w:style>
  <w:style w:type="character" w:customStyle="1" w:styleId="CommentTextChar">
    <w:name w:val="Comment Text Char"/>
    <w:basedOn w:val="DefaultParagraphFont"/>
    <w:link w:val="CommentText"/>
    <w:uiPriority w:val="99"/>
    <w:rsid w:val="007F7DBD"/>
    <w:rPr>
      <w:sz w:val="20"/>
      <w:szCs w:val="20"/>
    </w:rPr>
  </w:style>
  <w:style w:type="paragraph" w:styleId="CommentSubject">
    <w:name w:val="annotation subject"/>
    <w:basedOn w:val="CommentText"/>
    <w:next w:val="CommentText"/>
    <w:link w:val="CommentSubjectChar"/>
    <w:uiPriority w:val="99"/>
    <w:semiHidden/>
    <w:unhideWhenUsed/>
    <w:rsid w:val="007F7DBD"/>
    <w:rPr>
      <w:b/>
      <w:bCs/>
    </w:rPr>
  </w:style>
  <w:style w:type="character" w:customStyle="1" w:styleId="CommentSubjectChar">
    <w:name w:val="Comment Subject Char"/>
    <w:basedOn w:val="CommentTextChar"/>
    <w:link w:val="CommentSubject"/>
    <w:uiPriority w:val="99"/>
    <w:semiHidden/>
    <w:rsid w:val="007F7DBD"/>
    <w:rPr>
      <w:b/>
      <w:bCs/>
      <w:sz w:val="20"/>
      <w:szCs w:val="20"/>
    </w:rPr>
  </w:style>
  <w:style w:type="paragraph" w:styleId="NoSpacing">
    <w:name w:val="No Spacing"/>
    <w:link w:val="NoSpacingChar"/>
    <w:uiPriority w:val="1"/>
    <w:qFormat/>
    <w:rsid w:val="006C282B"/>
    <w:pPr>
      <w:spacing w:after="0" w:line="240" w:lineRule="auto"/>
    </w:pPr>
    <w:rPr>
      <w:rFonts w:ascii="Arial" w:hAnsi="Arial"/>
    </w:rPr>
  </w:style>
  <w:style w:type="table" w:styleId="PlainTable4">
    <w:name w:val="Plain Table 4"/>
    <w:basedOn w:val="TableNormal"/>
    <w:uiPriority w:val="44"/>
    <w:rsid w:val="006066C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Bullet">
    <w:name w:val="List Bullet"/>
    <w:basedOn w:val="Normal"/>
    <w:qFormat/>
    <w:rsid w:val="006C282B"/>
    <w:pPr>
      <w:numPr>
        <w:numId w:val="7"/>
      </w:numPr>
      <w:spacing w:after="120"/>
      <w:ind w:left="284" w:hanging="284"/>
    </w:pPr>
    <w:rPr>
      <w:rFonts w:eastAsia="SimSun" w:cs="Times New Roman"/>
      <w:spacing w:val="-1"/>
      <w:szCs w:val="20"/>
      <w:lang w:val="en-GB" w:eastAsia="en-GB"/>
    </w:rPr>
  </w:style>
  <w:style w:type="character" w:customStyle="1" w:styleId="Heading2Char">
    <w:name w:val="Heading 2 Char"/>
    <w:basedOn w:val="DefaultParagraphFont"/>
    <w:link w:val="Heading2"/>
    <w:uiPriority w:val="9"/>
    <w:rsid w:val="00D12938"/>
    <w:rPr>
      <w:rFonts w:ascii="Arial" w:eastAsiaTheme="majorEastAsia" w:hAnsi="Arial" w:cstheme="majorBidi"/>
      <w:b/>
      <w:sz w:val="32"/>
      <w:szCs w:val="26"/>
    </w:rPr>
  </w:style>
  <w:style w:type="paragraph" w:styleId="TOC1">
    <w:name w:val="toc 1"/>
    <w:basedOn w:val="Normal"/>
    <w:next w:val="Normal"/>
    <w:uiPriority w:val="39"/>
    <w:unhideWhenUsed/>
    <w:rsid w:val="00A3043E"/>
    <w:rPr>
      <w:b/>
      <w:color w:val="4B0885" w:themeColor="text2"/>
    </w:rPr>
  </w:style>
  <w:style w:type="character" w:customStyle="1" w:styleId="Heading3Char">
    <w:name w:val="Heading 3 Char"/>
    <w:basedOn w:val="DefaultParagraphFont"/>
    <w:link w:val="Heading3"/>
    <w:uiPriority w:val="9"/>
    <w:rsid w:val="00D12938"/>
    <w:rPr>
      <w:rFonts w:ascii="Arial" w:eastAsiaTheme="majorEastAsia" w:hAnsi="Arial" w:cstheme="majorBidi"/>
      <w:b/>
      <w:color w:val="4B0885" w:themeColor="text2"/>
      <w:sz w:val="26"/>
      <w:szCs w:val="24"/>
    </w:rPr>
  </w:style>
  <w:style w:type="paragraph" w:styleId="TOC2">
    <w:name w:val="toc 2"/>
    <w:basedOn w:val="Normal"/>
    <w:next w:val="Normal"/>
    <w:uiPriority w:val="39"/>
    <w:unhideWhenUsed/>
    <w:rsid w:val="00233A75"/>
    <w:pPr>
      <w:ind w:left="227"/>
    </w:pPr>
  </w:style>
  <w:style w:type="paragraph" w:styleId="TOC4">
    <w:name w:val="toc 4"/>
    <w:basedOn w:val="Normal"/>
    <w:next w:val="Normal"/>
    <w:autoRedefine/>
    <w:uiPriority w:val="39"/>
    <w:unhideWhenUsed/>
    <w:rsid w:val="007B2AD6"/>
    <w:pPr>
      <w:tabs>
        <w:tab w:val="right" w:leader="dot" w:pos="9016"/>
      </w:tabs>
      <w:ind w:left="220"/>
    </w:pPr>
  </w:style>
  <w:style w:type="paragraph" w:styleId="TOC3">
    <w:name w:val="toc 3"/>
    <w:basedOn w:val="Normal"/>
    <w:next w:val="Normal"/>
    <w:uiPriority w:val="39"/>
    <w:unhideWhenUsed/>
    <w:rsid w:val="00233A75"/>
    <w:pPr>
      <w:tabs>
        <w:tab w:val="right" w:leader="dot" w:pos="9016"/>
      </w:tabs>
      <w:ind w:left="454"/>
    </w:pPr>
  </w:style>
  <w:style w:type="paragraph" w:styleId="TOC5">
    <w:name w:val="toc 5"/>
    <w:basedOn w:val="Normal"/>
    <w:next w:val="Normal"/>
    <w:autoRedefine/>
    <w:uiPriority w:val="39"/>
    <w:unhideWhenUsed/>
    <w:rsid w:val="007B2AD6"/>
    <w:pPr>
      <w:tabs>
        <w:tab w:val="right" w:leader="dot" w:pos="9016"/>
      </w:tabs>
      <w:ind w:left="220"/>
    </w:pPr>
  </w:style>
  <w:style w:type="character" w:styleId="Hyperlink">
    <w:name w:val="Hyperlink"/>
    <w:basedOn w:val="DefaultParagraphFont"/>
    <w:uiPriority w:val="99"/>
    <w:unhideWhenUsed/>
    <w:rsid w:val="00A93DF6"/>
    <w:rPr>
      <w:color w:val="013D74" w:themeColor="hyperlink"/>
      <w:u w:val="single"/>
    </w:rPr>
  </w:style>
  <w:style w:type="paragraph" w:styleId="ListBullet2">
    <w:name w:val="List Bullet 2"/>
    <w:basedOn w:val="Normal"/>
    <w:qFormat/>
    <w:rsid w:val="006C282B"/>
    <w:pPr>
      <w:numPr>
        <w:ilvl w:val="1"/>
        <w:numId w:val="7"/>
      </w:numPr>
      <w:spacing w:after="110"/>
      <w:ind w:left="568" w:hanging="284"/>
    </w:pPr>
    <w:rPr>
      <w:rFonts w:eastAsia="SimSun" w:cs="Times New Roman"/>
      <w:spacing w:val="-1"/>
      <w:szCs w:val="20"/>
      <w:lang w:val="en-GB" w:eastAsia="en-GB"/>
    </w:rPr>
  </w:style>
  <w:style w:type="paragraph" w:styleId="ListBullet3">
    <w:name w:val="List Bullet 3"/>
    <w:basedOn w:val="Normal"/>
    <w:rsid w:val="00BE68F3"/>
    <w:pPr>
      <w:numPr>
        <w:ilvl w:val="2"/>
        <w:numId w:val="7"/>
      </w:numPr>
      <w:spacing w:line="240" w:lineRule="atLeast"/>
    </w:pPr>
    <w:rPr>
      <w:rFonts w:eastAsia="SimSun" w:cs="Times New Roman"/>
      <w:spacing w:val="-1"/>
      <w:szCs w:val="20"/>
      <w:lang w:val="en-GB" w:eastAsia="en-GB"/>
    </w:rPr>
  </w:style>
  <w:style w:type="paragraph" w:styleId="ListBullet4">
    <w:name w:val="List Bullet 4"/>
    <w:basedOn w:val="ListBullet3"/>
    <w:semiHidden/>
    <w:rsid w:val="00597EF7"/>
    <w:pPr>
      <w:numPr>
        <w:ilvl w:val="3"/>
      </w:numPr>
    </w:pPr>
  </w:style>
  <w:style w:type="character" w:customStyle="1" w:styleId="Heading4Char">
    <w:name w:val="Heading 4 Char"/>
    <w:basedOn w:val="DefaultParagraphFont"/>
    <w:link w:val="Heading4"/>
    <w:uiPriority w:val="9"/>
    <w:rsid w:val="00D12938"/>
    <w:rPr>
      <w:rFonts w:ascii="Arial" w:hAnsi="Arial" w:cs="Arial"/>
      <w:b/>
      <w:bCs/>
      <w:color w:val="012749" w:themeColor="accent3"/>
    </w:rPr>
  </w:style>
  <w:style w:type="character" w:customStyle="1" w:styleId="Heading5Char">
    <w:name w:val="Heading 5 Char"/>
    <w:basedOn w:val="DefaultParagraphFont"/>
    <w:link w:val="Heading5"/>
    <w:uiPriority w:val="9"/>
    <w:rsid w:val="00D12938"/>
    <w:rPr>
      <w:rFonts w:ascii="Arial" w:hAnsi="Arial" w:cs="Arial"/>
      <w:color w:val="4B0885" w:themeColor="text2"/>
      <w:sz w:val="19"/>
      <w:szCs w:val="19"/>
    </w:rPr>
  </w:style>
  <w:style w:type="character" w:customStyle="1" w:styleId="Heading6Char">
    <w:name w:val="Heading 6 Char"/>
    <w:basedOn w:val="DefaultParagraphFont"/>
    <w:link w:val="Heading6"/>
    <w:uiPriority w:val="9"/>
    <w:rsid w:val="00D12938"/>
    <w:rPr>
      <w:rFonts w:ascii="Arial" w:eastAsiaTheme="majorEastAsia" w:hAnsi="Arial" w:cstheme="majorBidi"/>
      <w:color w:val="341461" w:themeColor="accent1" w:themeShade="7F"/>
    </w:rPr>
  </w:style>
  <w:style w:type="character" w:customStyle="1" w:styleId="Heading7Char">
    <w:name w:val="Heading 7 Char"/>
    <w:basedOn w:val="DefaultParagraphFont"/>
    <w:link w:val="Heading7"/>
    <w:uiPriority w:val="9"/>
    <w:rsid w:val="00642A9A"/>
    <w:rPr>
      <w:rFonts w:asciiTheme="majorHAnsi" w:eastAsiaTheme="majorEastAsia" w:hAnsiTheme="majorHAnsi" w:cstheme="majorBidi"/>
      <w:i/>
      <w:iCs/>
      <w:color w:val="341461" w:themeColor="accent1" w:themeShade="7F"/>
    </w:rPr>
  </w:style>
  <w:style w:type="paragraph" w:styleId="Header">
    <w:name w:val="header"/>
    <w:basedOn w:val="Normal"/>
    <w:link w:val="HeaderChar"/>
    <w:uiPriority w:val="99"/>
    <w:unhideWhenUsed/>
    <w:rsid w:val="00C40E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0E20"/>
    <w:rPr>
      <w:rFonts w:ascii="Arial" w:hAnsi="Arial"/>
      <w:color w:val="000000" w:themeColor="text1"/>
    </w:rPr>
  </w:style>
  <w:style w:type="paragraph" w:styleId="Caption">
    <w:name w:val="caption"/>
    <w:basedOn w:val="Normal"/>
    <w:next w:val="Normal"/>
    <w:uiPriority w:val="35"/>
    <w:unhideWhenUsed/>
    <w:qFormat/>
    <w:rsid w:val="00642A9A"/>
    <w:pPr>
      <w:keepNext/>
      <w:spacing w:before="320" w:after="200" w:line="240" w:lineRule="auto"/>
    </w:pPr>
    <w:rPr>
      <w:b/>
      <w:bCs/>
      <w:sz w:val="18"/>
      <w:szCs w:val="18"/>
    </w:rPr>
  </w:style>
  <w:style w:type="paragraph" w:styleId="Subtitle">
    <w:name w:val="Subtitle"/>
    <w:basedOn w:val="Normal"/>
    <w:next w:val="Normal"/>
    <w:link w:val="SubtitleChar"/>
    <w:uiPriority w:val="1"/>
    <w:rsid w:val="00233A75"/>
    <w:pPr>
      <w:numPr>
        <w:ilvl w:val="1"/>
      </w:numPr>
      <w:spacing w:before="480" w:after="160"/>
    </w:pPr>
    <w:rPr>
      <w:rFonts w:asciiTheme="majorHAnsi" w:eastAsiaTheme="minorEastAsia" w:hAnsiTheme="majorHAnsi"/>
      <w:color w:val="FFFFFF" w:themeColor="background1"/>
      <w:sz w:val="48"/>
      <w:szCs w:val="48"/>
    </w:rPr>
  </w:style>
  <w:style w:type="character" w:customStyle="1" w:styleId="SubtitleChar">
    <w:name w:val="Subtitle Char"/>
    <w:basedOn w:val="DefaultParagraphFont"/>
    <w:link w:val="Subtitle"/>
    <w:uiPriority w:val="1"/>
    <w:rsid w:val="00233A75"/>
    <w:rPr>
      <w:rFonts w:asciiTheme="majorHAnsi" w:eastAsiaTheme="minorEastAsia" w:hAnsiTheme="majorHAnsi"/>
      <w:color w:val="FFFFFF" w:themeColor="background1"/>
      <w:sz w:val="48"/>
      <w:szCs w:val="48"/>
    </w:rPr>
  </w:style>
  <w:style w:type="paragraph" w:customStyle="1" w:styleId="Spacer">
    <w:name w:val="Spacer"/>
    <w:basedOn w:val="NoSpacing"/>
    <w:qFormat/>
    <w:rsid w:val="00506CD7"/>
    <w:pPr>
      <w:tabs>
        <w:tab w:val="left" w:pos="2906"/>
      </w:tabs>
    </w:pPr>
    <w:rPr>
      <w:rFonts w:ascii="Times New Roman" w:hAnsi="Times New Roman" w:cs="Times New Roman"/>
      <w:bCs/>
      <w:noProof/>
      <w:color w:val="E55493" w:themeColor="accent6" w:themeTint="99"/>
      <w:spacing w:val="-5"/>
      <w:sz w:val="6"/>
      <w:szCs w:val="23"/>
    </w:rPr>
  </w:style>
  <w:style w:type="character" w:styleId="PlaceholderText">
    <w:name w:val="Placeholder Text"/>
    <w:basedOn w:val="DefaultParagraphFont"/>
    <w:uiPriority w:val="99"/>
    <w:semiHidden/>
    <w:rsid w:val="00C6447C"/>
    <w:rPr>
      <w:color w:val="808080"/>
    </w:rPr>
  </w:style>
  <w:style w:type="paragraph" w:customStyle="1" w:styleId="Source">
    <w:name w:val="Source"/>
    <w:basedOn w:val="Normal"/>
    <w:next w:val="Normal"/>
    <w:qFormat/>
    <w:rsid w:val="00AF2783"/>
    <w:pPr>
      <w:spacing w:before="120" w:after="120"/>
    </w:pPr>
    <w:rPr>
      <w:sz w:val="18"/>
      <w:szCs w:val="18"/>
    </w:rPr>
  </w:style>
  <w:style w:type="paragraph" w:styleId="MacroText">
    <w:name w:val="macro"/>
    <w:link w:val="MacroTextChar"/>
    <w:uiPriority w:val="99"/>
    <w:unhideWhenUsed/>
    <w:rsid w:val="00AF2783"/>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uiPriority w:val="99"/>
    <w:rsid w:val="00AF2783"/>
    <w:rPr>
      <w:rFonts w:ascii="Consolas" w:hAnsi="Consolas"/>
      <w:sz w:val="20"/>
      <w:szCs w:val="20"/>
    </w:rPr>
  </w:style>
  <w:style w:type="table" w:customStyle="1" w:styleId="JSATable1">
    <w:name w:val="JSA Table 1"/>
    <w:basedOn w:val="TableNormal"/>
    <w:uiPriority w:val="99"/>
    <w:rsid w:val="00D73EA4"/>
    <w:pPr>
      <w:spacing w:after="0" w:line="240" w:lineRule="auto"/>
    </w:pPr>
    <w:tblPr>
      <w:tblStyleRowBandSize w:val="1"/>
      <w:tblBorders>
        <w:bottom w:val="single" w:sz="4" w:space="0" w:color="4B0885"/>
      </w:tblBorders>
    </w:tblPr>
    <w:tblStylePr w:type="firstRow">
      <w:tblPr/>
      <w:tcPr>
        <w:shd w:val="clear" w:color="auto" w:fill="2F005F"/>
      </w:tcPr>
    </w:tblStylePr>
    <w:tblStylePr w:type="band2Horz">
      <w:tblPr/>
      <w:tcPr>
        <w:shd w:val="clear" w:color="auto" w:fill="E6E6E6"/>
      </w:tcPr>
    </w:tblStylePr>
  </w:style>
  <w:style w:type="table" w:customStyle="1" w:styleId="JSATable2">
    <w:name w:val="JSA Table 2"/>
    <w:basedOn w:val="TableNormal"/>
    <w:uiPriority w:val="99"/>
    <w:rsid w:val="00A74E0F"/>
    <w:pPr>
      <w:spacing w:after="0" w:line="240" w:lineRule="auto"/>
    </w:pPr>
    <w:tblPr>
      <w:tblStyleRowBandSize w:val="1"/>
      <w:tblBorders>
        <w:bottom w:val="single" w:sz="4" w:space="0" w:color="A584C2"/>
      </w:tblBorders>
    </w:tblPr>
    <w:tblStylePr w:type="firstRow">
      <w:rPr>
        <w:rFonts w:asciiTheme="majorHAnsi" w:hAnsiTheme="majorHAnsi"/>
        <w:color w:val="FFFFFF" w:themeColor="background1"/>
        <w:sz w:val="22"/>
      </w:rPr>
      <w:tblPr/>
      <w:tcPr>
        <w:shd w:val="clear" w:color="auto" w:fill="012749" w:themeFill="accent3"/>
      </w:tcPr>
    </w:tblStylePr>
    <w:tblStylePr w:type="band2Horz">
      <w:tblPr/>
      <w:tcPr>
        <w:shd w:val="clear" w:color="auto" w:fill="E6E6E6"/>
      </w:tcPr>
    </w:tblStylePr>
  </w:style>
  <w:style w:type="paragraph" w:styleId="Index7">
    <w:name w:val="index 7"/>
    <w:basedOn w:val="Normal"/>
    <w:next w:val="Normal"/>
    <w:autoRedefine/>
    <w:uiPriority w:val="99"/>
    <w:semiHidden/>
    <w:unhideWhenUsed/>
    <w:rsid w:val="00244550"/>
    <w:pPr>
      <w:spacing w:before="240" w:after="0" w:line="240" w:lineRule="auto"/>
      <w:ind w:left="1542" w:hanging="221"/>
    </w:pPr>
  </w:style>
  <w:style w:type="character" w:customStyle="1" w:styleId="Heading8Char">
    <w:name w:val="Heading 8 Char"/>
    <w:basedOn w:val="DefaultParagraphFont"/>
    <w:link w:val="Heading8"/>
    <w:uiPriority w:val="9"/>
    <w:semiHidden/>
    <w:rsid w:val="00642A9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42A9A"/>
    <w:rPr>
      <w:rFonts w:asciiTheme="majorHAnsi" w:eastAsiaTheme="majorEastAsia" w:hAnsiTheme="majorHAnsi" w:cstheme="majorBidi"/>
      <w:i/>
      <w:iCs/>
      <w:color w:val="272727" w:themeColor="text1" w:themeTint="D8"/>
      <w:sz w:val="21"/>
      <w:szCs w:val="21"/>
    </w:rPr>
  </w:style>
  <w:style w:type="character" w:customStyle="1" w:styleId="StrongandEmphasis">
    <w:name w:val="Strong and Emphasis"/>
    <w:basedOn w:val="DefaultParagraphFont"/>
    <w:uiPriority w:val="1"/>
    <w:qFormat/>
    <w:rsid w:val="00D12938"/>
    <w:rPr>
      <w:rFonts w:ascii="Arial" w:hAnsi="Arial"/>
      <w:b/>
      <w:i/>
      <w:sz w:val="22"/>
    </w:rPr>
  </w:style>
  <w:style w:type="character" w:styleId="Emphasis">
    <w:name w:val="Emphasis"/>
    <w:basedOn w:val="DefaultParagraphFont"/>
    <w:qFormat/>
    <w:rsid w:val="002927DB"/>
    <w:rPr>
      <w:rFonts w:ascii="Arial" w:hAnsi="Arial"/>
      <w:i/>
      <w:iCs/>
      <w:sz w:val="22"/>
    </w:rPr>
  </w:style>
  <w:style w:type="character" w:styleId="Strong">
    <w:name w:val="Strong"/>
    <w:basedOn w:val="DefaultParagraphFont"/>
    <w:uiPriority w:val="22"/>
    <w:qFormat/>
    <w:rsid w:val="00DB0916"/>
    <w:rPr>
      <w:rFonts w:ascii="Arial" w:hAnsi="Arial"/>
      <w:b/>
      <w:bCs/>
      <w:sz w:val="22"/>
    </w:rPr>
  </w:style>
  <w:style w:type="paragraph" w:styleId="Quote">
    <w:name w:val="Quote"/>
    <w:basedOn w:val="Normal"/>
    <w:next w:val="Normal"/>
    <w:link w:val="QuoteChar"/>
    <w:uiPriority w:val="29"/>
    <w:qFormat/>
    <w:rsid w:val="00DB091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B0916"/>
    <w:rPr>
      <w:rFonts w:ascii="Arial" w:hAnsi="Arial"/>
      <w:i/>
      <w:iCs/>
      <w:color w:val="404040" w:themeColor="text1" w:themeTint="BF"/>
    </w:rPr>
  </w:style>
  <w:style w:type="paragraph" w:customStyle="1" w:styleId="ChartandTablelabel">
    <w:name w:val="Chart and Table label"/>
    <w:basedOn w:val="Normal"/>
    <w:qFormat/>
    <w:rsid w:val="008564DD"/>
    <w:pPr>
      <w:spacing w:after="160" w:line="259" w:lineRule="auto"/>
    </w:pPr>
    <w:rPr>
      <w:b/>
      <w:color w:val="000000" w:themeColor="text1"/>
      <w:sz w:val="20"/>
      <w:lang w:val="en-US"/>
    </w:rPr>
  </w:style>
  <w:style w:type="paragraph" w:customStyle="1" w:styleId="Bodycopy">
    <w:name w:val="Body copy"/>
    <w:basedOn w:val="Normal"/>
    <w:link w:val="BodycopyChar"/>
    <w:qFormat/>
    <w:rsid w:val="008564DD"/>
    <w:pPr>
      <w:spacing w:after="160" w:line="259" w:lineRule="auto"/>
    </w:pPr>
    <w:rPr>
      <w:color w:val="000000" w:themeColor="text1"/>
    </w:rPr>
  </w:style>
  <w:style w:type="paragraph" w:customStyle="1" w:styleId="Tableheader">
    <w:name w:val="Table header"/>
    <w:basedOn w:val="Normal"/>
    <w:qFormat/>
    <w:rsid w:val="008564DD"/>
    <w:pPr>
      <w:spacing w:before="120" w:after="120" w:line="240" w:lineRule="auto"/>
    </w:pPr>
    <w:rPr>
      <w:b/>
      <w:color w:val="FFFFFF" w:themeColor="background1"/>
      <w:lang w:val="en-US"/>
    </w:rPr>
  </w:style>
  <w:style w:type="table" w:styleId="GridTable4-Accent1">
    <w:name w:val="Grid Table 4 Accent 1"/>
    <w:basedOn w:val="TableNormal"/>
    <w:uiPriority w:val="49"/>
    <w:rsid w:val="008564DD"/>
    <w:pPr>
      <w:spacing w:after="0" w:line="240" w:lineRule="auto"/>
    </w:pPr>
    <w:tblPr>
      <w:tblStyleRowBandSize w:val="1"/>
      <w:tblStyleColBandSize w:val="1"/>
      <w:tblBorders>
        <w:top w:val="single" w:sz="4" w:space="0" w:color="A377E2" w:themeColor="accent1" w:themeTint="99"/>
        <w:left w:val="single" w:sz="4" w:space="0" w:color="A377E2" w:themeColor="accent1" w:themeTint="99"/>
        <w:bottom w:val="single" w:sz="4" w:space="0" w:color="A377E2" w:themeColor="accent1" w:themeTint="99"/>
        <w:right w:val="single" w:sz="4" w:space="0" w:color="A377E2" w:themeColor="accent1" w:themeTint="99"/>
        <w:insideH w:val="single" w:sz="4" w:space="0" w:color="A377E2" w:themeColor="accent1" w:themeTint="99"/>
        <w:insideV w:val="single" w:sz="4" w:space="0" w:color="A377E2" w:themeColor="accent1" w:themeTint="99"/>
      </w:tblBorders>
    </w:tblPr>
    <w:tblStylePr w:type="firstRow">
      <w:rPr>
        <w:b/>
        <w:bCs/>
        <w:color w:val="FFFFFF" w:themeColor="background1"/>
      </w:rPr>
      <w:tblPr/>
      <w:tcPr>
        <w:tcBorders>
          <w:top w:val="single" w:sz="4" w:space="0" w:color="6929C4" w:themeColor="accent1"/>
          <w:left w:val="single" w:sz="4" w:space="0" w:color="6929C4" w:themeColor="accent1"/>
          <w:bottom w:val="single" w:sz="4" w:space="0" w:color="6929C4" w:themeColor="accent1"/>
          <w:right w:val="single" w:sz="4" w:space="0" w:color="6929C4" w:themeColor="accent1"/>
          <w:insideH w:val="nil"/>
          <w:insideV w:val="nil"/>
        </w:tcBorders>
        <w:shd w:val="clear" w:color="auto" w:fill="6929C4" w:themeFill="accent1"/>
      </w:tcPr>
    </w:tblStylePr>
    <w:tblStylePr w:type="lastRow">
      <w:rPr>
        <w:b/>
        <w:bCs/>
      </w:rPr>
      <w:tblPr/>
      <w:tcPr>
        <w:tcBorders>
          <w:top w:val="double" w:sz="4" w:space="0" w:color="6929C4" w:themeColor="accent1"/>
        </w:tcBorders>
      </w:tcPr>
    </w:tblStylePr>
    <w:tblStylePr w:type="firstCol">
      <w:rPr>
        <w:b/>
        <w:bCs/>
      </w:rPr>
    </w:tblStylePr>
    <w:tblStylePr w:type="lastCol">
      <w:rPr>
        <w:b/>
        <w:bCs/>
      </w:rPr>
    </w:tblStylePr>
    <w:tblStylePr w:type="band1Vert">
      <w:tblPr/>
      <w:tcPr>
        <w:shd w:val="clear" w:color="auto" w:fill="E0D1F5" w:themeFill="accent1" w:themeFillTint="33"/>
      </w:tcPr>
    </w:tblStylePr>
    <w:tblStylePr w:type="band1Horz">
      <w:tblPr/>
      <w:tcPr>
        <w:shd w:val="clear" w:color="auto" w:fill="E0D1F5" w:themeFill="accent1" w:themeFillTint="33"/>
      </w:tcPr>
    </w:tblStylePr>
  </w:style>
  <w:style w:type="character" w:customStyle="1" w:styleId="BodycopyChar">
    <w:name w:val="Body copy Char"/>
    <w:basedOn w:val="DefaultParagraphFont"/>
    <w:link w:val="Bodycopy"/>
    <w:uiPriority w:val="1"/>
    <w:rsid w:val="008564DD"/>
    <w:rPr>
      <w:rFonts w:ascii="Arial" w:hAnsi="Arial"/>
      <w:color w:val="000000" w:themeColor="text1"/>
    </w:rPr>
  </w:style>
  <w:style w:type="paragraph" w:styleId="FootnoteText">
    <w:name w:val="footnote text"/>
    <w:basedOn w:val="Normal"/>
    <w:link w:val="FootnoteTextChar"/>
    <w:uiPriority w:val="99"/>
    <w:unhideWhenUsed/>
    <w:rsid w:val="008564DD"/>
    <w:pPr>
      <w:spacing w:after="0" w:line="240" w:lineRule="auto"/>
    </w:pPr>
    <w:rPr>
      <w:color w:val="000000"/>
      <w:sz w:val="20"/>
      <w:szCs w:val="20"/>
    </w:rPr>
  </w:style>
  <w:style w:type="character" w:customStyle="1" w:styleId="FootnoteTextChar">
    <w:name w:val="Footnote Text Char"/>
    <w:basedOn w:val="DefaultParagraphFont"/>
    <w:link w:val="FootnoteText"/>
    <w:uiPriority w:val="99"/>
    <w:rsid w:val="008564DD"/>
    <w:rPr>
      <w:rFonts w:ascii="Arial" w:hAnsi="Arial"/>
      <w:color w:val="000000"/>
      <w:sz w:val="20"/>
      <w:szCs w:val="20"/>
    </w:rPr>
  </w:style>
  <w:style w:type="character" w:styleId="FootnoteReference">
    <w:name w:val="footnote reference"/>
    <w:basedOn w:val="DefaultParagraphFont"/>
    <w:uiPriority w:val="99"/>
    <w:unhideWhenUsed/>
    <w:rsid w:val="008564DD"/>
    <w:rPr>
      <w:vertAlign w:val="superscript"/>
    </w:rPr>
  </w:style>
  <w:style w:type="character" w:styleId="FollowedHyperlink">
    <w:name w:val="FollowedHyperlink"/>
    <w:basedOn w:val="DefaultParagraphFont"/>
    <w:uiPriority w:val="99"/>
    <w:semiHidden/>
    <w:unhideWhenUsed/>
    <w:rsid w:val="008564DD"/>
    <w:rPr>
      <w:color w:val="4B0885" w:themeColor="followedHyperlink"/>
      <w:u w:val="single"/>
    </w:rPr>
  </w:style>
  <w:style w:type="character" w:customStyle="1" w:styleId="ListParagraphChar">
    <w:name w:val="List Paragraph Char"/>
    <w:aliases w:val="Recommendation Char,L Char,List Paragraph1 Char,List Paragraph11 Char,NFP GP Bulleted List Char,FooterText Char,numbered Char,Paragraphe de liste1 Char,Bulletr List Paragraph Char,列出段落 Char,列出段落1 Char,List Paragraph2 Char,リスト段落1 Char"/>
    <w:basedOn w:val="DefaultParagraphFont"/>
    <w:link w:val="ListParagraph"/>
    <w:uiPriority w:val="34"/>
    <w:locked/>
    <w:rsid w:val="008564DD"/>
    <w:rPr>
      <w:rFonts w:ascii="Arial" w:hAnsi="Arial"/>
    </w:rPr>
  </w:style>
  <w:style w:type="character" w:customStyle="1" w:styleId="ui-provider">
    <w:name w:val="ui-provider"/>
    <w:basedOn w:val="DefaultParagraphFont"/>
    <w:rsid w:val="008564DD"/>
  </w:style>
  <w:style w:type="character" w:customStyle="1" w:styleId="normaltextrun">
    <w:name w:val="normaltextrun"/>
    <w:basedOn w:val="DefaultParagraphFont"/>
    <w:rsid w:val="008564DD"/>
  </w:style>
  <w:style w:type="character" w:customStyle="1" w:styleId="findhit">
    <w:name w:val="findhit"/>
    <w:basedOn w:val="DefaultParagraphFont"/>
    <w:rsid w:val="008564DD"/>
  </w:style>
  <w:style w:type="paragraph" w:styleId="Revision">
    <w:name w:val="Revision"/>
    <w:hidden/>
    <w:uiPriority w:val="99"/>
    <w:semiHidden/>
    <w:rsid w:val="008564DD"/>
    <w:pPr>
      <w:spacing w:after="0" w:line="240" w:lineRule="auto"/>
    </w:pPr>
  </w:style>
  <w:style w:type="character" w:customStyle="1" w:styleId="NoSpacingChar">
    <w:name w:val="No Spacing Char"/>
    <w:basedOn w:val="DefaultParagraphFont"/>
    <w:link w:val="NoSpacing"/>
    <w:uiPriority w:val="1"/>
    <w:rsid w:val="008564DD"/>
    <w:rPr>
      <w:rFonts w:ascii="Arial" w:hAnsi="Arial"/>
    </w:rPr>
  </w:style>
  <w:style w:type="table" w:customStyle="1" w:styleId="TableGrid1">
    <w:name w:val="Table Grid1"/>
    <w:basedOn w:val="TableNormal"/>
    <w:next w:val="TableGrid"/>
    <w:rsid w:val="00782901"/>
    <w:pPr>
      <w:spacing w:after="0" w:line="240" w:lineRule="auto"/>
    </w:pPr>
    <w:rPr>
      <w:rFonts w:ascii="CG Times" w:eastAsia="Times New Roman" w:hAnsi="CG Times"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E10CBD"/>
    <w:rPr>
      <w:i/>
      <w:iCs/>
      <w:color w:val="6929C4" w:themeColor="accent1"/>
    </w:rPr>
  </w:style>
  <w:style w:type="character" w:styleId="Mention">
    <w:name w:val="Mention"/>
    <w:basedOn w:val="DefaultParagraphFont"/>
    <w:uiPriority w:val="99"/>
    <w:unhideWhenUsed/>
    <w:rsid w:val="003D1CC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3630459">
      <w:bodyDiv w:val="1"/>
      <w:marLeft w:val="0"/>
      <w:marRight w:val="0"/>
      <w:marTop w:val="0"/>
      <w:marBottom w:val="0"/>
      <w:divBdr>
        <w:top w:val="none" w:sz="0" w:space="0" w:color="auto"/>
        <w:left w:val="none" w:sz="0" w:space="0" w:color="auto"/>
        <w:bottom w:val="none" w:sz="0" w:space="0" w:color="auto"/>
        <w:right w:val="none" w:sz="0" w:space="0" w:color="auto"/>
      </w:divBdr>
    </w:div>
    <w:div w:id="1592272039">
      <w:bodyDiv w:val="1"/>
      <w:marLeft w:val="0"/>
      <w:marRight w:val="0"/>
      <w:marTop w:val="0"/>
      <w:marBottom w:val="0"/>
      <w:divBdr>
        <w:top w:val="none" w:sz="0" w:space="0" w:color="auto"/>
        <w:left w:val="none" w:sz="0" w:space="0" w:color="auto"/>
        <w:bottom w:val="none" w:sz="0" w:space="0" w:color="auto"/>
        <w:right w:val="none" w:sz="0" w:space="0" w:color="auto"/>
      </w:divBdr>
    </w:div>
    <w:div w:id="1595934863">
      <w:bodyDiv w:val="1"/>
      <w:marLeft w:val="0"/>
      <w:marRight w:val="0"/>
      <w:marTop w:val="0"/>
      <w:marBottom w:val="0"/>
      <w:divBdr>
        <w:top w:val="none" w:sz="0" w:space="0" w:color="auto"/>
        <w:left w:val="none" w:sz="0" w:space="0" w:color="auto"/>
        <w:bottom w:val="none" w:sz="0" w:space="0" w:color="auto"/>
        <w:right w:val="none" w:sz="0" w:space="0" w:color="auto"/>
      </w:divBdr>
    </w:div>
    <w:div w:id="2124689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chart" Target="charts/chart3.xml"/><Relationship Id="rId39" Type="http://schemas.openxmlformats.org/officeDocument/2006/relationships/hyperlink" Target="https://www.jobsandskills.gov.au/data/employment-region-dashboards-and-profiles" TargetMode="External"/><Relationship Id="rId21" Type="http://schemas.openxmlformats.org/officeDocument/2006/relationships/header" Target="header6.xml"/><Relationship Id="rId34" Type="http://schemas.openxmlformats.org/officeDocument/2006/relationships/hyperlink" Target="https://www.jobsandskills.gov.au/"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eader" Target="header5.xml"/><Relationship Id="rId29" Type="http://schemas.openxmlformats.org/officeDocument/2006/relationships/chart" Target="charts/chart6.xml"/><Relationship Id="rId41" Type="http://schemas.openxmlformats.org/officeDocument/2006/relationships/hyperlink" Target="https://www.jobsandskills.gov.au/news/international-labour-market-update-may-2024-release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chart" Target="charts/chart1.xml"/><Relationship Id="rId32" Type="http://schemas.openxmlformats.org/officeDocument/2006/relationships/image" Target="media/image6.png"/><Relationship Id="rId37" Type="http://schemas.openxmlformats.org/officeDocument/2006/relationships/hyperlink" Target="https://www.jobsandskills.gov.au/data/skills-shortages-analysis" TargetMode="External"/><Relationship Id="rId40" Type="http://schemas.openxmlformats.org/officeDocument/2006/relationships/hyperlink" Target="https://www.jobsandskills.gov.au/data/nero" TargetMode="External"/><Relationship Id="rId5" Type="http://schemas.openxmlformats.org/officeDocument/2006/relationships/numbering" Target="numbering.xml"/><Relationship Id="rId15" Type="http://schemas.openxmlformats.org/officeDocument/2006/relationships/image" Target="media/image1.jpg"/><Relationship Id="rId23" Type="http://schemas.openxmlformats.org/officeDocument/2006/relationships/image" Target="media/image3.emf"/><Relationship Id="rId28" Type="http://schemas.openxmlformats.org/officeDocument/2006/relationships/chart" Target="charts/chart5.xml"/><Relationship Id="rId36" Type="http://schemas.openxmlformats.org/officeDocument/2006/relationships/hyperlink" Target="https://www.jobsandskills.gov.au/data/recruitment-experiences-and-outlook-survey" TargetMode="Externa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image" Target="media/image5.emf"/><Relationship Id="rId44"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4.xml"/><Relationship Id="rId27" Type="http://schemas.openxmlformats.org/officeDocument/2006/relationships/chart" Target="charts/chart4.xml"/><Relationship Id="rId30" Type="http://schemas.openxmlformats.org/officeDocument/2006/relationships/image" Target="media/image4.emf"/><Relationship Id="rId35" Type="http://schemas.openxmlformats.org/officeDocument/2006/relationships/hyperlink" Target="https://www.jobsandskills.gov.au/data/internet-vacancy-index"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chart" Target="charts/chart2.xml"/><Relationship Id="rId33" Type="http://schemas.openxmlformats.org/officeDocument/2006/relationships/image" Target="media/image7.png"/><Relationship Id="rId38" Type="http://schemas.openxmlformats.org/officeDocument/2006/relationships/hyperlink" Target="https://www.jobsandskills.gov.au/data/jobs-and-skills-atlas"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EMP.application.enet\50038325\LMM%20Branch\Cross-team%20tasks\Quarterly%20Labour%20Market%20Update\2.%20June%20Quarter\2.%202024%20Edition\Labour%20Market%20Update%20-%20Charts%20&amp;%20Figures%20-%20June%202024.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SH3719\Desktop\Detailed%20brief%20SH%20May%202024.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EMP.application.enet\50038325\LMM%20Branch\Cross-team%20tasks\Quarterly%20Labour%20Market%20Update\2.%20June%20Quarter\2.%202024%20Edition\Labour%20Market%20Update%20-%20Charts%20&amp;%20Figures%20-%20June%202024.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EMP.application.enet\50038325\LMM%20Branch\Cross-team%20tasks\Quarterly%20Labour%20Market%20Update\2.%20June%20Quarter\2.%202024%20Edition\Labour%20Market%20Update%20-%20Charts%20&amp;%20Figures%20-%20June%202024.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EMP.application.enet\50038325\LMM%20Branch\Cross-team%20tasks\Quarterly%20Labour%20Market%20Update\2.%20June%20Quarter\2.%202024%20Edition\All%20teams%20input\ERSA%20Input%20-%20June%202024%20LMU\Skills%20Shortage%20Quarterly%20-%20June%202024.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EMP.application.enet\50038325\LMM%20Branch\Cross-team%20tasks\Quarterly%20Labour%20Market%20Update\2.%20June%20Quarter\2.%202024%20Edition\Labour%20Market%20Update%20-%20Charts%20&amp;%20Figures%20-%20June%202024.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6312007168458776E-2"/>
          <c:y val="4.8506944444444443E-2"/>
          <c:w val="0.88727222222222224"/>
          <c:h val="0.74867499999999998"/>
        </c:manualLayout>
      </c:layout>
      <c:barChart>
        <c:barDir val="col"/>
        <c:grouping val="clustered"/>
        <c:varyColors val="0"/>
        <c:ser>
          <c:idx val="0"/>
          <c:order val="0"/>
          <c:tx>
            <c:strRef>
              <c:f>'LMAA - Figure 2'!$B$4</c:f>
              <c:strCache>
                <c:ptCount val="1"/>
                <c:pt idx="0">
                  <c:v>Annual change in employment (%)</c:v>
                </c:pt>
              </c:strCache>
            </c:strRef>
          </c:tx>
          <c:spPr>
            <a:solidFill>
              <a:schemeClr val="accent1"/>
            </a:solidFill>
            <a:ln>
              <a:noFill/>
            </a:ln>
            <a:effectLst/>
          </c:spPr>
          <c:invertIfNegative val="0"/>
          <c:cat>
            <c:numRef>
              <c:f>'LMAA - Figure 2'!$A$5:$A$65</c:f>
              <c:numCache>
                <c:formatCode>mmm\-yy</c:formatCode>
                <c:ptCount val="61"/>
                <c:pt idx="0">
                  <c:v>43617</c:v>
                </c:pt>
                <c:pt idx="1">
                  <c:v>43647</c:v>
                </c:pt>
                <c:pt idx="2">
                  <c:v>43678</c:v>
                </c:pt>
                <c:pt idx="3">
                  <c:v>43709</c:v>
                </c:pt>
                <c:pt idx="4">
                  <c:v>43739</c:v>
                </c:pt>
                <c:pt idx="5">
                  <c:v>43770</c:v>
                </c:pt>
                <c:pt idx="6">
                  <c:v>43800</c:v>
                </c:pt>
                <c:pt idx="7">
                  <c:v>43831</c:v>
                </c:pt>
                <c:pt idx="8">
                  <c:v>43862</c:v>
                </c:pt>
                <c:pt idx="9">
                  <c:v>43891</c:v>
                </c:pt>
                <c:pt idx="10">
                  <c:v>43922</c:v>
                </c:pt>
                <c:pt idx="11">
                  <c:v>43952</c:v>
                </c:pt>
                <c:pt idx="12">
                  <c:v>43983</c:v>
                </c:pt>
                <c:pt idx="13">
                  <c:v>44013</c:v>
                </c:pt>
                <c:pt idx="14">
                  <c:v>44044</c:v>
                </c:pt>
                <c:pt idx="15">
                  <c:v>44075</c:v>
                </c:pt>
                <c:pt idx="16">
                  <c:v>44105</c:v>
                </c:pt>
                <c:pt idx="17">
                  <c:v>44136</c:v>
                </c:pt>
                <c:pt idx="18">
                  <c:v>44166</c:v>
                </c:pt>
                <c:pt idx="19">
                  <c:v>44197</c:v>
                </c:pt>
                <c:pt idx="20">
                  <c:v>44228</c:v>
                </c:pt>
                <c:pt idx="21">
                  <c:v>44256</c:v>
                </c:pt>
                <c:pt idx="22">
                  <c:v>44287</c:v>
                </c:pt>
                <c:pt idx="23">
                  <c:v>44317</c:v>
                </c:pt>
                <c:pt idx="24">
                  <c:v>44348</c:v>
                </c:pt>
                <c:pt idx="25">
                  <c:v>44378</c:v>
                </c:pt>
                <c:pt idx="26">
                  <c:v>44409</c:v>
                </c:pt>
                <c:pt idx="27">
                  <c:v>44440</c:v>
                </c:pt>
                <c:pt idx="28">
                  <c:v>44470</c:v>
                </c:pt>
                <c:pt idx="29">
                  <c:v>44501</c:v>
                </c:pt>
                <c:pt idx="30">
                  <c:v>44531</c:v>
                </c:pt>
                <c:pt idx="31">
                  <c:v>44562</c:v>
                </c:pt>
                <c:pt idx="32">
                  <c:v>44593</c:v>
                </c:pt>
                <c:pt idx="33">
                  <c:v>44621</c:v>
                </c:pt>
                <c:pt idx="34">
                  <c:v>44652</c:v>
                </c:pt>
                <c:pt idx="35">
                  <c:v>44682</c:v>
                </c:pt>
                <c:pt idx="36">
                  <c:v>44713</c:v>
                </c:pt>
                <c:pt idx="37">
                  <c:v>44743</c:v>
                </c:pt>
                <c:pt idx="38">
                  <c:v>44774</c:v>
                </c:pt>
                <c:pt idx="39">
                  <c:v>44805</c:v>
                </c:pt>
                <c:pt idx="40">
                  <c:v>44835</c:v>
                </c:pt>
                <c:pt idx="41">
                  <c:v>44866</c:v>
                </c:pt>
                <c:pt idx="42">
                  <c:v>44896</c:v>
                </c:pt>
                <c:pt idx="43">
                  <c:v>44927</c:v>
                </c:pt>
                <c:pt idx="44">
                  <c:v>44958</c:v>
                </c:pt>
                <c:pt idx="45">
                  <c:v>44986</c:v>
                </c:pt>
                <c:pt idx="46">
                  <c:v>45017</c:v>
                </c:pt>
                <c:pt idx="47">
                  <c:v>45047</c:v>
                </c:pt>
                <c:pt idx="48">
                  <c:v>45078</c:v>
                </c:pt>
                <c:pt idx="49">
                  <c:v>45108</c:v>
                </c:pt>
                <c:pt idx="50">
                  <c:v>45139</c:v>
                </c:pt>
                <c:pt idx="51">
                  <c:v>45170</c:v>
                </c:pt>
                <c:pt idx="52">
                  <c:v>45200</c:v>
                </c:pt>
                <c:pt idx="53">
                  <c:v>45231</c:v>
                </c:pt>
                <c:pt idx="54">
                  <c:v>45261</c:v>
                </c:pt>
                <c:pt idx="55">
                  <c:v>45292</c:v>
                </c:pt>
                <c:pt idx="56">
                  <c:v>45323</c:v>
                </c:pt>
                <c:pt idx="57">
                  <c:v>45352</c:v>
                </c:pt>
                <c:pt idx="58">
                  <c:v>45383</c:v>
                </c:pt>
                <c:pt idx="59">
                  <c:v>45413</c:v>
                </c:pt>
                <c:pt idx="60">
                  <c:v>45444</c:v>
                </c:pt>
              </c:numCache>
            </c:numRef>
          </c:cat>
          <c:val>
            <c:numRef>
              <c:f>'LMAA - Figure 2'!$B$5:$B$65</c:f>
              <c:numCache>
                <c:formatCode>0.0%</c:formatCode>
                <c:ptCount val="61"/>
                <c:pt idx="0">
                  <c:v>2.2427549545083504E-2</c:v>
                </c:pt>
                <c:pt idx="1">
                  <c:v>2.5038134454758557E-2</c:v>
                </c:pt>
                <c:pt idx="2">
                  <c:v>2.3541917571636425E-2</c:v>
                </c:pt>
                <c:pt idx="3">
                  <c:v>2.3941040272103409E-2</c:v>
                </c:pt>
                <c:pt idx="4">
                  <c:v>1.8072643291459588E-2</c:v>
                </c:pt>
                <c:pt idx="5">
                  <c:v>1.8315731287661202E-2</c:v>
                </c:pt>
                <c:pt idx="6">
                  <c:v>2.0005077802819137E-2</c:v>
                </c:pt>
                <c:pt idx="7">
                  <c:v>1.713708879968923E-2</c:v>
                </c:pt>
                <c:pt idx="8">
                  <c:v>1.6128117514344727E-2</c:v>
                </c:pt>
                <c:pt idx="9">
                  <c:v>1.3942593793791282E-2</c:v>
                </c:pt>
                <c:pt idx="10">
                  <c:v>-3.4341005148670271E-2</c:v>
                </c:pt>
                <c:pt idx="11">
                  <c:v>-5.7958666604214185E-2</c:v>
                </c:pt>
                <c:pt idx="12">
                  <c:v>-4.104264248122079E-2</c:v>
                </c:pt>
                <c:pt idx="13">
                  <c:v>-3.2795147148324447E-2</c:v>
                </c:pt>
                <c:pt idx="14">
                  <c:v>-2.5798997193484361E-2</c:v>
                </c:pt>
                <c:pt idx="15">
                  <c:v>-2.9709551398950342E-2</c:v>
                </c:pt>
                <c:pt idx="16">
                  <c:v>-1.5244169186865986E-2</c:v>
                </c:pt>
                <c:pt idx="17">
                  <c:v>-1.010933541157367E-2</c:v>
                </c:pt>
                <c:pt idx="18">
                  <c:v>-9.7818429558671743E-3</c:v>
                </c:pt>
                <c:pt idx="19">
                  <c:v>-7.6990474848018476E-3</c:v>
                </c:pt>
                <c:pt idx="20">
                  <c:v>-2.9595987000130579E-3</c:v>
                </c:pt>
                <c:pt idx="21">
                  <c:v>2.3940057149223664E-3</c:v>
                </c:pt>
                <c:pt idx="22">
                  <c:v>4.8664149126330034E-2</c:v>
                </c:pt>
                <c:pt idx="23">
                  <c:v>8.1697451285377032E-2</c:v>
                </c:pt>
                <c:pt idx="24">
                  <c:v>6.3479311059134555E-2</c:v>
                </c:pt>
                <c:pt idx="25">
                  <c:v>5.3892268081206056E-2</c:v>
                </c:pt>
                <c:pt idx="26">
                  <c:v>3.1583492410844266E-2</c:v>
                </c:pt>
                <c:pt idx="27">
                  <c:v>2.4524640655207933E-2</c:v>
                </c:pt>
                <c:pt idx="28">
                  <c:v>9.3743827145710695E-3</c:v>
                </c:pt>
                <c:pt idx="29">
                  <c:v>3.1430333124409682E-2</c:v>
                </c:pt>
                <c:pt idx="30">
                  <c:v>3.4042741171140735E-2</c:v>
                </c:pt>
                <c:pt idx="31">
                  <c:v>3.4668845720140902E-2</c:v>
                </c:pt>
                <c:pt idx="32">
                  <c:v>3.7307598465636374E-2</c:v>
                </c:pt>
                <c:pt idx="33">
                  <c:v>3.373105972802809E-2</c:v>
                </c:pt>
                <c:pt idx="34">
                  <c:v>3.8492629510761704E-2</c:v>
                </c:pt>
                <c:pt idx="35">
                  <c:v>3.4032726258229645E-2</c:v>
                </c:pt>
                <c:pt idx="36">
                  <c:v>3.9784415984008378E-2</c:v>
                </c:pt>
                <c:pt idx="37">
                  <c:v>3.8603732251167852E-2</c:v>
                </c:pt>
                <c:pt idx="38">
                  <c:v>5.4299909371442176E-2</c:v>
                </c:pt>
                <c:pt idx="39">
                  <c:v>6.5536557536671675E-2</c:v>
                </c:pt>
                <c:pt idx="40">
                  <c:v>7.2708616899388567E-2</c:v>
                </c:pt>
                <c:pt idx="41">
                  <c:v>4.8102191477133877E-2</c:v>
                </c:pt>
                <c:pt idx="42">
                  <c:v>4.0766774314424999E-2</c:v>
                </c:pt>
                <c:pt idx="43">
                  <c:v>3.7989558672644461E-2</c:v>
                </c:pt>
                <c:pt idx="44">
                  <c:v>3.4877458279192947E-2</c:v>
                </c:pt>
                <c:pt idx="45">
                  <c:v>4.0225760670965081E-2</c:v>
                </c:pt>
                <c:pt idx="46">
                  <c:v>3.5220690335902645E-2</c:v>
                </c:pt>
                <c:pt idx="47">
                  <c:v>3.8765865441530205E-2</c:v>
                </c:pt>
                <c:pt idx="48">
                  <c:v>3.2565813584150081E-2</c:v>
                </c:pt>
                <c:pt idx="49">
                  <c:v>3.2106340615889094E-2</c:v>
                </c:pt>
                <c:pt idx="50">
                  <c:v>3.1713475916754094E-2</c:v>
                </c:pt>
                <c:pt idx="51">
                  <c:v>3.1335078675746197E-2</c:v>
                </c:pt>
                <c:pt idx="52">
                  <c:v>3.2570496293288009E-2</c:v>
                </c:pt>
                <c:pt idx="53">
                  <c:v>3.1192247548157952E-2</c:v>
                </c:pt>
                <c:pt idx="54">
                  <c:v>2.7776469266080527E-2</c:v>
                </c:pt>
                <c:pt idx="55">
                  <c:v>2.694095565464295E-2</c:v>
                </c:pt>
                <c:pt idx="56">
                  <c:v>3.2291022992013654E-2</c:v>
                </c:pt>
                <c:pt idx="57">
                  <c:v>2.4913513450322146E-2</c:v>
                </c:pt>
                <c:pt idx="58">
                  <c:v>2.8675928032039433E-2</c:v>
                </c:pt>
                <c:pt idx="59">
                  <c:v>2.5366531475232709E-2</c:v>
                </c:pt>
                <c:pt idx="60">
                  <c:v>2.7710077545419251E-2</c:v>
                </c:pt>
              </c:numCache>
            </c:numRef>
          </c:val>
          <c:extLst>
            <c:ext xmlns:c16="http://schemas.microsoft.com/office/drawing/2014/chart" uri="{C3380CC4-5D6E-409C-BE32-E72D297353CC}">
              <c16:uniqueId val="{00000000-809B-44DC-95FF-C0E45950BB29}"/>
            </c:ext>
          </c:extLst>
        </c:ser>
        <c:dLbls>
          <c:showLegendKey val="0"/>
          <c:showVal val="0"/>
          <c:showCatName val="0"/>
          <c:showSerName val="0"/>
          <c:showPercent val="0"/>
          <c:showBubbleSize val="0"/>
        </c:dLbls>
        <c:gapWidth val="219"/>
        <c:overlap val="-27"/>
        <c:axId val="1932666672"/>
        <c:axId val="1654456912"/>
      </c:barChart>
      <c:lineChart>
        <c:grouping val="standard"/>
        <c:varyColors val="0"/>
        <c:ser>
          <c:idx val="1"/>
          <c:order val="1"/>
          <c:tx>
            <c:strRef>
              <c:f>'LMAA - Figure 2'!$C$4</c:f>
              <c:strCache>
                <c:ptCount val="1"/>
                <c:pt idx="0">
                  <c:v>Annual change in aggregate hours worked (%)</c:v>
                </c:pt>
              </c:strCache>
            </c:strRef>
          </c:tx>
          <c:spPr>
            <a:ln w="28575" cap="rnd">
              <a:solidFill>
                <a:schemeClr val="accent2"/>
              </a:solidFill>
              <a:round/>
            </a:ln>
            <a:effectLst/>
          </c:spPr>
          <c:marker>
            <c:symbol val="none"/>
          </c:marker>
          <c:cat>
            <c:numRef>
              <c:f>'LMAA - Figure 2'!$A$5:$A$65</c:f>
              <c:numCache>
                <c:formatCode>mmm\-yy</c:formatCode>
                <c:ptCount val="61"/>
                <c:pt idx="0">
                  <c:v>43617</c:v>
                </c:pt>
                <c:pt idx="1">
                  <c:v>43647</c:v>
                </c:pt>
                <c:pt idx="2">
                  <c:v>43678</c:v>
                </c:pt>
                <c:pt idx="3">
                  <c:v>43709</c:v>
                </c:pt>
                <c:pt idx="4">
                  <c:v>43739</c:v>
                </c:pt>
                <c:pt idx="5">
                  <c:v>43770</c:v>
                </c:pt>
                <c:pt idx="6">
                  <c:v>43800</c:v>
                </c:pt>
                <c:pt idx="7">
                  <c:v>43831</c:v>
                </c:pt>
                <c:pt idx="8">
                  <c:v>43862</c:v>
                </c:pt>
                <c:pt idx="9">
                  <c:v>43891</c:v>
                </c:pt>
                <c:pt idx="10">
                  <c:v>43922</c:v>
                </c:pt>
                <c:pt idx="11">
                  <c:v>43952</c:v>
                </c:pt>
                <c:pt idx="12">
                  <c:v>43983</c:v>
                </c:pt>
                <c:pt idx="13">
                  <c:v>44013</c:v>
                </c:pt>
                <c:pt idx="14">
                  <c:v>44044</c:v>
                </c:pt>
                <c:pt idx="15">
                  <c:v>44075</c:v>
                </c:pt>
                <c:pt idx="16">
                  <c:v>44105</c:v>
                </c:pt>
                <c:pt idx="17">
                  <c:v>44136</c:v>
                </c:pt>
                <c:pt idx="18">
                  <c:v>44166</c:v>
                </c:pt>
                <c:pt idx="19">
                  <c:v>44197</c:v>
                </c:pt>
                <c:pt idx="20">
                  <c:v>44228</c:v>
                </c:pt>
                <c:pt idx="21">
                  <c:v>44256</c:v>
                </c:pt>
                <c:pt idx="22">
                  <c:v>44287</c:v>
                </c:pt>
                <c:pt idx="23">
                  <c:v>44317</c:v>
                </c:pt>
                <c:pt idx="24">
                  <c:v>44348</c:v>
                </c:pt>
                <c:pt idx="25">
                  <c:v>44378</c:v>
                </c:pt>
                <c:pt idx="26">
                  <c:v>44409</c:v>
                </c:pt>
                <c:pt idx="27">
                  <c:v>44440</c:v>
                </c:pt>
                <c:pt idx="28">
                  <c:v>44470</c:v>
                </c:pt>
                <c:pt idx="29">
                  <c:v>44501</c:v>
                </c:pt>
                <c:pt idx="30">
                  <c:v>44531</c:v>
                </c:pt>
                <c:pt idx="31">
                  <c:v>44562</c:v>
                </c:pt>
                <c:pt idx="32">
                  <c:v>44593</c:v>
                </c:pt>
                <c:pt idx="33">
                  <c:v>44621</c:v>
                </c:pt>
                <c:pt idx="34">
                  <c:v>44652</c:v>
                </c:pt>
                <c:pt idx="35">
                  <c:v>44682</c:v>
                </c:pt>
                <c:pt idx="36">
                  <c:v>44713</c:v>
                </c:pt>
                <c:pt idx="37">
                  <c:v>44743</c:v>
                </c:pt>
                <c:pt idx="38">
                  <c:v>44774</c:v>
                </c:pt>
                <c:pt idx="39">
                  <c:v>44805</c:v>
                </c:pt>
                <c:pt idx="40">
                  <c:v>44835</c:v>
                </c:pt>
                <c:pt idx="41">
                  <c:v>44866</c:v>
                </c:pt>
                <c:pt idx="42">
                  <c:v>44896</c:v>
                </c:pt>
                <c:pt idx="43">
                  <c:v>44927</c:v>
                </c:pt>
                <c:pt idx="44">
                  <c:v>44958</c:v>
                </c:pt>
                <c:pt idx="45">
                  <c:v>44986</c:v>
                </c:pt>
                <c:pt idx="46">
                  <c:v>45017</c:v>
                </c:pt>
                <c:pt idx="47">
                  <c:v>45047</c:v>
                </c:pt>
                <c:pt idx="48">
                  <c:v>45078</c:v>
                </c:pt>
                <c:pt idx="49">
                  <c:v>45108</c:v>
                </c:pt>
                <c:pt idx="50">
                  <c:v>45139</c:v>
                </c:pt>
                <c:pt idx="51">
                  <c:v>45170</c:v>
                </c:pt>
                <c:pt idx="52">
                  <c:v>45200</c:v>
                </c:pt>
                <c:pt idx="53">
                  <c:v>45231</c:v>
                </c:pt>
                <c:pt idx="54">
                  <c:v>45261</c:v>
                </c:pt>
                <c:pt idx="55">
                  <c:v>45292</c:v>
                </c:pt>
                <c:pt idx="56">
                  <c:v>45323</c:v>
                </c:pt>
                <c:pt idx="57">
                  <c:v>45352</c:v>
                </c:pt>
                <c:pt idx="58">
                  <c:v>45383</c:v>
                </c:pt>
                <c:pt idx="59">
                  <c:v>45413</c:v>
                </c:pt>
                <c:pt idx="60">
                  <c:v>45444</c:v>
                </c:pt>
              </c:numCache>
            </c:numRef>
          </c:cat>
          <c:val>
            <c:numRef>
              <c:f>'LMAA - Figure 2'!$C$5:$C$65</c:f>
              <c:numCache>
                <c:formatCode>0.0%</c:formatCode>
                <c:ptCount val="61"/>
                <c:pt idx="0">
                  <c:v>1.6852116411295047E-2</c:v>
                </c:pt>
                <c:pt idx="1">
                  <c:v>1.8967465385536692E-2</c:v>
                </c:pt>
                <c:pt idx="2">
                  <c:v>1.9639843038412208E-2</c:v>
                </c:pt>
                <c:pt idx="3">
                  <c:v>1.8421456858227422E-2</c:v>
                </c:pt>
                <c:pt idx="4">
                  <c:v>1.3287015205598551E-2</c:v>
                </c:pt>
                <c:pt idx="5">
                  <c:v>1.1833636375362944E-2</c:v>
                </c:pt>
                <c:pt idx="6">
                  <c:v>1.9835416119565023E-2</c:v>
                </c:pt>
                <c:pt idx="7">
                  <c:v>8.5898136085256916E-3</c:v>
                </c:pt>
                <c:pt idx="8">
                  <c:v>-5.6062913147086305E-4</c:v>
                </c:pt>
                <c:pt idx="9">
                  <c:v>-8.3608340857265952E-3</c:v>
                </c:pt>
                <c:pt idx="10">
                  <c:v>-0.10479660656876699</c:v>
                </c:pt>
                <c:pt idx="11">
                  <c:v>-9.3925092270256319E-2</c:v>
                </c:pt>
                <c:pt idx="12">
                  <c:v>-5.9977355763856016E-2</c:v>
                </c:pt>
                <c:pt idx="13">
                  <c:v>-5.0478505240648223E-2</c:v>
                </c:pt>
                <c:pt idx="14">
                  <c:v>-5.0562289673081684E-2</c:v>
                </c:pt>
                <c:pt idx="15">
                  <c:v>-5.1100559807461733E-2</c:v>
                </c:pt>
                <c:pt idx="16">
                  <c:v>-3.6529191923372964E-2</c:v>
                </c:pt>
                <c:pt idx="17">
                  <c:v>-1.4038035051126123E-2</c:v>
                </c:pt>
                <c:pt idx="18">
                  <c:v>-1.7511528154679372E-2</c:v>
                </c:pt>
                <c:pt idx="19">
                  <c:v>-5.2088914537334226E-2</c:v>
                </c:pt>
                <c:pt idx="20">
                  <c:v>-3.8735775786514406E-3</c:v>
                </c:pt>
                <c:pt idx="21">
                  <c:v>2.0428103775731832E-2</c:v>
                </c:pt>
                <c:pt idx="22">
                  <c:v>0.11808474983837415</c:v>
                </c:pt>
                <c:pt idx="23">
                  <c:v>0.12787939698838849</c:v>
                </c:pt>
                <c:pt idx="24">
                  <c:v>6.8415552076258615E-2</c:v>
                </c:pt>
                <c:pt idx="25">
                  <c:v>5.4497567243954631E-2</c:v>
                </c:pt>
                <c:pt idx="26">
                  <c:v>1.0743762619116987E-2</c:v>
                </c:pt>
                <c:pt idx="27">
                  <c:v>2.3080838574765193E-2</c:v>
                </c:pt>
                <c:pt idx="28">
                  <c:v>9.4227145532225689E-3</c:v>
                </c:pt>
                <c:pt idx="29">
                  <c:v>2.9226153203084543E-2</c:v>
                </c:pt>
                <c:pt idx="30">
                  <c:v>4.3079051215092541E-2</c:v>
                </c:pt>
                <c:pt idx="31">
                  <c:v>7.6766436400251235E-3</c:v>
                </c:pt>
                <c:pt idx="32">
                  <c:v>3.4005050537839358E-2</c:v>
                </c:pt>
                <c:pt idx="33">
                  <c:v>6.7414559147183232E-3</c:v>
                </c:pt>
                <c:pt idx="34">
                  <c:v>2.9692633951232606E-2</c:v>
                </c:pt>
                <c:pt idx="35">
                  <c:v>2.4213839853062205E-2</c:v>
                </c:pt>
                <c:pt idx="36">
                  <c:v>4.3464628157793707E-2</c:v>
                </c:pt>
                <c:pt idx="37">
                  <c:v>4.217410277721928E-2</c:v>
                </c:pt>
                <c:pt idx="38">
                  <c:v>9.7033406643872042E-2</c:v>
                </c:pt>
                <c:pt idx="39">
                  <c:v>8.5710580219070881E-2</c:v>
                </c:pt>
                <c:pt idx="40">
                  <c:v>0.10061993923329894</c:v>
                </c:pt>
                <c:pt idx="41">
                  <c:v>6.0144516476580409E-2</c:v>
                </c:pt>
                <c:pt idx="42">
                  <c:v>4.1271456243829378E-2</c:v>
                </c:pt>
                <c:pt idx="43">
                  <c:v>0.10404895512666804</c:v>
                </c:pt>
                <c:pt idx="44">
                  <c:v>5.7915089367337719E-2</c:v>
                </c:pt>
                <c:pt idx="45">
                  <c:v>6.621138072668932E-2</c:v>
                </c:pt>
                <c:pt idx="46">
                  <c:v>8.4272167386914718E-2</c:v>
                </c:pt>
                <c:pt idx="47">
                  <c:v>5.1839642288384821E-2</c:v>
                </c:pt>
                <c:pt idx="48">
                  <c:v>4.8734294782660968E-2</c:v>
                </c:pt>
                <c:pt idx="49">
                  <c:v>5.3801326501617293E-2</c:v>
                </c:pt>
                <c:pt idx="50">
                  <c:v>3.551565847025432E-2</c:v>
                </c:pt>
                <c:pt idx="51">
                  <c:v>3.0469879326697726E-2</c:v>
                </c:pt>
                <c:pt idx="52">
                  <c:v>1.7773210713058527E-2</c:v>
                </c:pt>
                <c:pt idx="53">
                  <c:v>1.4603524140970501E-2</c:v>
                </c:pt>
                <c:pt idx="54">
                  <c:v>1.2510851444149724E-2</c:v>
                </c:pt>
                <c:pt idx="55">
                  <c:v>8.6122115146796459E-3</c:v>
                </c:pt>
                <c:pt idx="56">
                  <c:v>9.3470069997851606E-3</c:v>
                </c:pt>
                <c:pt idx="57">
                  <c:v>1.8444431471677819E-2</c:v>
                </c:pt>
                <c:pt idx="58">
                  <c:v>-7.6904174206801745E-3</c:v>
                </c:pt>
                <c:pt idx="59">
                  <c:v>5.610498824075996E-3</c:v>
                </c:pt>
                <c:pt idx="60">
                  <c:v>1.3674969237782098E-2</c:v>
                </c:pt>
              </c:numCache>
            </c:numRef>
          </c:val>
          <c:smooth val="0"/>
          <c:extLst>
            <c:ext xmlns:c16="http://schemas.microsoft.com/office/drawing/2014/chart" uri="{C3380CC4-5D6E-409C-BE32-E72D297353CC}">
              <c16:uniqueId val="{00000001-809B-44DC-95FF-C0E45950BB29}"/>
            </c:ext>
          </c:extLst>
        </c:ser>
        <c:dLbls>
          <c:showLegendKey val="0"/>
          <c:showVal val="0"/>
          <c:showCatName val="0"/>
          <c:showSerName val="0"/>
          <c:showPercent val="0"/>
          <c:showBubbleSize val="0"/>
        </c:dLbls>
        <c:marker val="1"/>
        <c:smooth val="0"/>
        <c:axId val="1932666672"/>
        <c:axId val="1654456912"/>
      </c:lineChart>
      <c:dateAx>
        <c:axId val="1932666672"/>
        <c:scaling>
          <c:orientation val="minMax"/>
        </c:scaling>
        <c:delete val="0"/>
        <c:axPos val="b"/>
        <c:numFmt formatCode="mmm\-yy" sourceLinked="1"/>
        <c:majorTickMark val="out"/>
        <c:minorTickMark val="none"/>
        <c:tickLblPos val="low"/>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654456912"/>
        <c:crosses val="autoZero"/>
        <c:auto val="1"/>
        <c:lblOffset val="100"/>
        <c:baseTimeUnit val="months"/>
        <c:majorUnit val="12"/>
        <c:majorTimeUnit val="months"/>
      </c:dateAx>
      <c:valAx>
        <c:axId val="1654456912"/>
        <c:scaling>
          <c:orientation val="minMax"/>
        </c:scaling>
        <c:delete val="0"/>
        <c:axPos val="l"/>
        <c:numFmt formatCode="0%" sourceLinked="0"/>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932666672"/>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Entry>
      <c:legendEntry>
        <c:idx val="1"/>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7260375347818368E-2"/>
          <c:y val="8.6673879632047767E-3"/>
          <c:w val="0.59054822094606596"/>
          <c:h val="0.84130149133670684"/>
        </c:manualLayout>
      </c:layout>
      <c:barChart>
        <c:barDir val="bar"/>
        <c:grouping val="clustered"/>
        <c:varyColors val="0"/>
        <c:ser>
          <c:idx val="0"/>
          <c:order val="0"/>
          <c:tx>
            <c:strRef>
              <c:f>Industry!$B$1</c:f>
              <c:strCache>
                <c:ptCount val="1"/>
                <c:pt idx="0">
                  <c:v>Employment change ('000)</c:v>
                </c:pt>
              </c:strCache>
            </c:strRef>
          </c:tx>
          <c:spPr>
            <a:solidFill>
              <a:srgbClr val="441170"/>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Industry!$A$2:$A$20</c:f>
              <c:strCache>
                <c:ptCount val="19"/>
                <c:pt idx="0">
                  <c:v>Financial and Insurance Services</c:v>
                </c:pt>
                <c:pt idx="1">
                  <c:v>Retail Trade</c:v>
                </c:pt>
                <c:pt idx="2">
                  <c:v>Mining</c:v>
                </c:pt>
                <c:pt idx="3">
                  <c:v>Accommodation and Food Services</c:v>
                </c:pt>
                <c:pt idx="4">
                  <c:v>Information Media and Telecommunications</c:v>
                </c:pt>
                <c:pt idx="5">
                  <c:v>Rental, Hiring and Real Estate Services</c:v>
                </c:pt>
                <c:pt idx="6">
                  <c:v>Other Services</c:v>
                </c:pt>
                <c:pt idx="7">
                  <c:v>Agriculture, Forestry and Fishing</c:v>
                </c:pt>
                <c:pt idx="8">
                  <c:v>Administrative and Support Services</c:v>
                </c:pt>
                <c:pt idx="9">
                  <c:v>Wholesale Trade</c:v>
                </c:pt>
                <c:pt idx="10">
                  <c:v>Electricity, Gas, Water and Waste Services</c:v>
                </c:pt>
                <c:pt idx="11">
                  <c:v>Manufacturing</c:v>
                </c:pt>
                <c:pt idx="12">
                  <c:v>Arts and Recreation Services</c:v>
                </c:pt>
                <c:pt idx="13">
                  <c:v>Transport, Postal and Warehousing</c:v>
                </c:pt>
                <c:pt idx="14">
                  <c:v>Professional, Scientific and Technical Services</c:v>
                </c:pt>
                <c:pt idx="15">
                  <c:v>Public Administration and Safety</c:v>
                </c:pt>
                <c:pt idx="16">
                  <c:v>Construction</c:v>
                </c:pt>
                <c:pt idx="17">
                  <c:v>Education and Training</c:v>
                </c:pt>
                <c:pt idx="18">
                  <c:v>Health Care and Social Assistance</c:v>
                </c:pt>
              </c:strCache>
            </c:strRef>
          </c:cat>
          <c:val>
            <c:numRef>
              <c:f>Industry!$B$2:$B$20</c:f>
              <c:numCache>
                <c:formatCode>0.0</c:formatCode>
                <c:ptCount val="19"/>
                <c:pt idx="0">
                  <c:v>-21.488146759618871</c:v>
                </c:pt>
                <c:pt idx="1">
                  <c:v>-12.541716949879628</c:v>
                </c:pt>
                <c:pt idx="2">
                  <c:v>-1.5094675852340629</c:v>
                </c:pt>
                <c:pt idx="3">
                  <c:v>-0.15914216920384661</c:v>
                </c:pt>
                <c:pt idx="4">
                  <c:v>6.494360314371761E-2</c:v>
                </c:pt>
                <c:pt idx="5">
                  <c:v>4.5535084771909453</c:v>
                </c:pt>
                <c:pt idx="6">
                  <c:v>4.9351938819406769</c:v>
                </c:pt>
                <c:pt idx="7">
                  <c:v>7.4234162266517387</c:v>
                </c:pt>
                <c:pt idx="8">
                  <c:v>8.2165239360501801</c:v>
                </c:pt>
                <c:pt idx="9">
                  <c:v>10.310843017834429</c:v>
                </c:pt>
                <c:pt idx="10">
                  <c:v>11.662248613971201</c:v>
                </c:pt>
                <c:pt idx="11">
                  <c:v>14.841893321013799</c:v>
                </c:pt>
                <c:pt idx="12">
                  <c:v>16.448038333067103</c:v>
                </c:pt>
                <c:pt idx="13">
                  <c:v>21.176430467194677</c:v>
                </c:pt>
                <c:pt idx="14">
                  <c:v>24.399388219856519</c:v>
                </c:pt>
                <c:pt idx="15">
                  <c:v>32.111980459282449</c:v>
                </c:pt>
                <c:pt idx="16">
                  <c:v>45.850553436626569</c:v>
                </c:pt>
                <c:pt idx="17">
                  <c:v>46.794444914072074</c:v>
                </c:pt>
                <c:pt idx="18">
                  <c:v>116.68598242759344</c:v>
                </c:pt>
              </c:numCache>
            </c:numRef>
          </c:val>
          <c:extLst>
            <c:ext xmlns:c16="http://schemas.microsoft.com/office/drawing/2014/chart" uri="{C3380CC4-5D6E-409C-BE32-E72D297353CC}">
              <c16:uniqueId val="{00000000-231E-4CC3-909D-3EF221AE9783}"/>
            </c:ext>
          </c:extLst>
        </c:ser>
        <c:dLbls>
          <c:showLegendKey val="0"/>
          <c:showVal val="0"/>
          <c:showCatName val="0"/>
          <c:showSerName val="0"/>
          <c:showPercent val="0"/>
          <c:showBubbleSize val="0"/>
        </c:dLbls>
        <c:gapWidth val="182"/>
        <c:axId val="809945024"/>
        <c:axId val="812499152"/>
      </c:barChart>
      <c:catAx>
        <c:axId val="809945024"/>
        <c:scaling>
          <c:orientation val="minMax"/>
        </c:scaling>
        <c:delete val="0"/>
        <c:axPos val="l"/>
        <c:numFmt formatCode="General" sourceLinked="1"/>
        <c:majorTickMark val="none"/>
        <c:minorTickMark val="none"/>
        <c:tickLblPos val="high"/>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812499152"/>
        <c:crosses val="autoZero"/>
        <c:auto val="1"/>
        <c:lblAlgn val="ctr"/>
        <c:lblOffset val="100"/>
        <c:noMultiLvlLbl val="0"/>
      </c:catAx>
      <c:valAx>
        <c:axId val="812499152"/>
        <c:scaling>
          <c:orientation val="minMax"/>
        </c:scaling>
        <c:delete val="0"/>
        <c:axPos val="b"/>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8099450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012007168458781"/>
          <c:y val="4.6296296296296294E-2"/>
          <c:w val="0.83690591397849445"/>
          <c:h val="0.85818638888888887"/>
        </c:manualLayout>
      </c:layout>
      <c:lineChart>
        <c:grouping val="standard"/>
        <c:varyColors val="0"/>
        <c:ser>
          <c:idx val="0"/>
          <c:order val="0"/>
          <c:tx>
            <c:strRef>
              <c:f>'ERSA - Fig.4'!$B$3</c:f>
              <c:strCache>
                <c:ptCount val="1"/>
                <c:pt idx="0">
                  <c:v>Recruitment rate</c:v>
                </c:pt>
              </c:strCache>
            </c:strRef>
          </c:tx>
          <c:spPr>
            <a:ln w="28575" cap="rnd">
              <a:solidFill>
                <a:schemeClr val="accent1"/>
              </a:solidFill>
              <a:round/>
            </a:ln>
            <a:effectLst/>
          </c:spPr>
          <c:marker>
            <c:symbol val="none"/>
          </c:marker>
          <c:dPt>
            <c:idx val="4"/>
            <c:marker>
              <c:symbol val="circle"/>
              <c:size val="10"/>
              <c:spPr>
                <a:solidFill>
                  <a:schemeClr val="accent1"/>
                </a:solidFill>
                <a:ln w="9525">
                  <a:solidFill>
                    <a:schemeClr val="accent1"/>
                  </a:solidFill>
                </a:ln>
                <a:effectLst/>
              </c:spPr>
            </c:marker>
            <c:bubble3D val="0"/>
            <c:extLst>
              <c:ext xmlns:c16="http://schemas.microsoft.com/office/drawing/2014/chart" uri="{C3380CC4-5D6E-409C-BE32-E72D297353CC}">
                <c16:uniqueId val="{00000000-4417-440B-888E-702C14EA2055}"/>
              </c:ext>
            </c:extLst>
          </c:dPt>
          <c:dPt>
            <c:idx val="12"/>
            <c:marker>
              <c:symbol val="circle"/>
              <c:size val="10"/>
              <c:spPr>
                <a:solidFill>
                  <a:schemeClr val="accent1"/>
                </a:solidFill>
                <a:ln w="9525">
                  <a:solidFill>
                    <a:schemeClr val="accent1"/>
                  </a:solidFill>
                </a:ln>
                <a:effectLst/>
              </c:spPr>
            </c:marker>
            <c:bubble3D val="0"/>
            <c:extLst>
              <c:ext xmlns:c16="http://schemas.microsoft.com/office/drawing/2014/chart" uri="{C3380CC4-5D6E-409C-BE32-E72D297353CC}">
                <c16:uniqueId val="{00000001-4417-440B-888E-702C14EA2055}"/>
              </c:ext>
            </c:extLst>
          </c:dPt>
          <c:dLbls>
            <c:dLbl>
              <c:idx val="4"/>
              <c:layout>
                <c:manualLayout>
                  <c:x val="-4.32724014336918E-2"/>
                  <c:y val="-5.73250000000000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417-440B-888E-702C14EA2055}"/>
                </c:ext>
              </c:extLst>
            </c:dLbl>
            <c:dLbl>
              <c:idx val="12"/>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417-440B-888E-702C14EA2055}"/>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noFill/>
                      <a:round/>
                    </a:ln>
                    <a:effectLst/>
                  </c:spPr>
                </c15:leaderLines>
              </c:ext>
            </c:extLst>
          </c:dLbls>
          <c:cat>
            <c:numRef>
              <c:f>'ERSA - Fig.4'!$A$4:$A$16</c:f>
              <c:numCache>
                <c:formatCode>mmm\-yy</c:formatCode>
                <c:ptCount val="13"/>
                <c:pt idx="0">
                  <c:v>44348</c:v>
                </c:pt>
                <c:pt idx="1">
                  <c:v>44440</c:v>
                </c:pt>
                <c:pt idx="2">
                  <c:v>44531</c:v>
                </c:pt>
                <c:pt idx="3">
                  <c:v>44621</c:v>
                </c:pt>
                <c:pt idx="4">
                  <c:v>44713</c:v>
                </c:pt>
                <c:pt idx="5">
                  <c:v>44805</c:v>
                </c:pt>
                <c:pt idx="6">
                  <c:v>44896</c:v>
                </c:pt>
                <c:pt idx="7">
                  <c:v>44986</c:v>
                </c:pt>
                <c:pt idx="8">
                  <c:v>45078</c:v>
                </c:pt>
                <c:pt idx="9">
                  <c:v>45170</c:v>
                </c:pt>
                <c:pt idx="10">
                  <c:v>45261</c:v>
                </c:pt>
                <c:pt idx="11">
                  <c:v>45352</c:v>
                </c:pt>
                <c:pt idx="12">
                  <c:v>45444</c:v>
                </c:pt>
              </c:numCache>
            </c:numRef>
          </c:cat>
          <c:val>
            <c:numRef>
              <c:f>'ERSA - Fig.4'!$B$4:$B$16</c:f>
              <c:numCache>
                <c:formatCode>0%</c:formatCode>
                <c:ptCount val="13"/>
                <c:pt idx="0">
                  <c:v>0.48</c:v>
                </c:pt>
                <c:pt idx="1">
                  <c:v>0.39</c:v>
                </c:pt>
                <c:pt idx="2">
                  <c:v>0.48</c:v>
                </c:pt>
                <c:pt idx="3">
                  <c:v>0.53</c:v>
                </c:pt>
                <c:pt idx="4">
                  <c:v>0.57999999999999996</c:v>
                </c:pt>
                <c:pt idx="5">
                  <c:v>0.56999999999999995</c:v>
                </c:pt>
                <c:pt idx="6">
                  <c:v>0.56000000000000005</c:v>
                </c:pt>
                <c:pt idx="7">
                  <c:v>0.55000000000000004</c:v>
                </c:pt>
                <c:pt idx="8">
                  <c:v>0.5</c:v>
                </c:pt>
                <c:pt idx="9">
                  <c:v>0.48</c:v>
                </c:pt>
                <c:pt idx="10">
                  <c:v>0.5</c:v>
                </c:pt>
                <c:pt idx="11">
                  <c:v>0.49</c:v>
                </c:pt>
                <c:pt idx="12">
                  <c:v>0.45</c:v>
                </c:pt>
              </c:numCache>
            </c:numRef>
          </c:val>
          <c:smooth val="0"/>
          <c:extLst>
            <c:ext xmlns:c16="http://schemas.microsoft.com/office/drawing/2014/chart" uri="{C3380CC4-5D6E-409C-BE32-E72D297353CC}">
              <c16:uniqueId val="{00000002-4417-440B-888E-702C14EA2055}"/>
            </c:ext>
          </c:extLst>
        </c:ser>
        <c:dLbls>
          <c:showLegendKey val="0"/>
          <c:showVal val="0"/>
          <c:showCatName val="0"/>
          <c:showSerName val="0"/>
          <c:showPercent val="0"/>
          <c:showBubbleSize val="0"/>
        </c:dLbls>
        <c:smooth val="0"/>
        <c:axId val="347802271"/>
        <c:axId val="347802751"/>
      </c:lineChart>
      <c:dateAx>
        <c:axId val="347802271"/>
        <c:scaling>
          <c:orientation val="minMax"/>
        </c:scaling>
        <c:delete val="0"/>
        <c:axPos val="b"/>
        <c:numFmt formatCode="mmm\-yy"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347802751"/>
        <c:crosses val="autoZero"/>
        <c:auto val="1"/>
        <c:lblOffset val="100"/>
        <c:baseTimeUnit val="months"/>
        <c:majorUnit val="12"/>
        <c:majorTimeUnit val="months"/>
      </c:dateAx>
      <c:valAx>
        <c:axId val="347802751"/>
        <c:scaling>
          <c:orientation val="minMax"/>
          <c:max val="0.8"/>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Proportion of all employers</a:t>
                </a:r>
              </a:p>
            </c:rich>
          </c:tx>
          <c:layout>
            <c:manualLayout>
              <c:xMode val="edge"/>
              <c:yMode val="edge"/>
              <c:x val="3.4868848347230277E-3"/>
              <c:y val="0.2190367394871318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0%"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347802271"/>
        <c:crosses val="autoZero"/>
        <c:crossBetween val="midCat"/>
        <c:majorUnit val="0.2"/>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'NLIV UE timeseries plot (Fig.5)'!$F$1</c:f>
              <c:strCache>
                <c:ptCount val="1"/>
                <c:pt idx="0">
                  <c:v>Seasonally adjusted job advertisements (LHS)</c:v>
                </c:pt>
              </c:strCache>
            </c:strRef>
          </c:tx>
          <c:spPr>
            <a:solidFill>
              <a:srgbClr val="6929C4"/>
            </a:solidFill>
            <a:ln>
              <a:noFill/>
            </a:ln>
            <a:effectLst/>
          </c:spPr>
          <c:invertIfNegative val="0"/>
          <c:cat>
            <c:numRef>
              <c:f>'NLIV UE timeseries plot (Fig.5)'!$A$2:$A$223</c:f>
              <c:numCache>
                <c:formatCode>mmm\-yy</c:formatCode>
                <c:ptCount val="222"/>
                <c:pt idx="0">
                  <c:v>38718</c:v>
                </c:pt>
                <c:pt idx="1">
                  <c:v>38749</c:v>
                </c:pt>
                <c:pt idx="2">
                  <c:v>38777</c:v>
                </c:pt>
                <c:pt idx="3">
                  <c:v>38808</c:v>
                </c:pt>
                <c:pt idx="4">
                  <c:v>38838</c:v>
                </c:pt>
                <c:pt idx="5">
                  <c:v>38869</c:v>
                </c:pt>
                <c:pt idx="6">
                  <c:v>38899</c:v>
                </c:pt>
                <c:pt idx="7">
                  <c:v>38930</c:v>
                </c:pt>
                <c:pt idx="8">
                  <c:v>38961</c:v>
                </c:pt>
                <c:pt idx="9">
                  <c:v>38991</c:v>
                </c:pt>
                <c:pt idx="10">
                  <c:v>39022</c:v>
                </c:pt>
                <c:pt idx="11">
                  <c:v>39052</c:v>
                </c:pt>
                <c:pt idx="12">
                  <c:v>39083</c:v>
                </c:pt>
                <c:pt idx="13">
                  <c:v>39114</c:v>
                </c:pt>
                <c:pt idx="14">
                  <c:v>39142</c:v>
                </c:pt>
                <c:pt idx="15">
                  <c:v>39173</c:v>
                </c:pt>
                <c:pt idx="16">
                  <c:v>39203</c:v>
                </c:pt>
                <c:pt idx="17">
                  <c:v>39234</c:v>
                </c:pt>
                <c:pt idx="18">
                  <c:v>39264</c:v>
                </c:pt>
                <c:pt idx="19">
                  <c:v>39295</c:v>
                </c:pt>
                <c:pt idx="20">
                  <c:v>39326</c:v>
                </c:pt>
                <c:pt idx="21">
                  <c:v>39356</c:v>
                </c:pt>
                <c:pt idx="22">
                  <c:v>39387</c:v>
                </c:pt>
                <c:pt idx="23">
                  <c:v>39417</c:v>
                </c:pt>
                <c:pt idx="24">
                  <c:v>39448</c:v>
                </c:pt>
                <c:pt idx="25">
                  <c:v>39479</c:v>
                </c:pt>
                <c:pt idx="26">
                  <c:v>39508</c:v>
                </c:pt>
                <c:pt idx="27">
                  <c:v>39539</c:v>
                </c:pt>
                <c:pt idx="28">
                  <c:v>39569</c:v>
                </c:pt>
                <c:pt idx="29">
                  <c:v>39600</c:v>
                </c:pt>
                <c:pt idx="30">
                  <c:v>39630</c:v>
                </c:pt>
                <c:pt idx="31">
                  <c:v>39661</c:v>
                </c:pt>
                <c:pt idx="32">
                  <c:v>39692</c:v>
                </c:pt>
                <c:pt idx="33">
                  <c:v>39722</c:v>
                </c:pt>
                <c:pt idx="34">
                  <c:v>39753</c:v>
                </c:pt>
                <c:pt idx="35">
                  <c:v>39783</c:v>
                </c:pt>
                <c:pt idx="36">
                  <c:v>39814</c:v>
                </c:pt>
                <c:pt idx="37">
                  <c:v>39845</c:v>
                </c:pt>
                <c:pt idx="38">
                  <c:v>39873</c:v>
                </c:pt>
                <c:pt idx="39">
                  <c:v>39904</c:v>
                </c:pt>
                <c:pt idx="40">
                  <c:v>39934</c:v>
                </c:pt>
                <c:pt idx="41">
                  <c:v>39965</c:v>
                </c:pt>
                <c:pt idx="42">
                  <c:v>39995</c:v>
                </c:pt>
                <c:pt idx="43">
                  <c:v>40026</c:v>
                </c:pt>
                <c:pt idx="44">
                  <c:v>40057</c:v>
                </c:pt>
                <c:pt idx="45">
                  <c:v>40087</c:v>
                </c:pt>
                <c:pt idx="46">
                  <c:v>40118</c:v>
                </c:pt>
                <c:pt idx="47">
                  <c:v>40148</c:v>
                </c:pt>
                <c:pt idx="48">
                  <c:v>40179</c:v>
                </c:pt>
                <c:pt idx="49">
                  <c:v>40210</c:v>
                </c:pt>
                <c:pt idx="50">
                  <c:v>40238</c:v>
                </c:pt>
                <c:pt idx="51">
                  <c:v>40269</c:v>
                </c:pt>
                <c:pt idx="52">
                  <c:v>40299</c:v>
                </c:pt>
                <c:pt idx="53">
                  <c:v>40330</c:v>
                </c:pt>
                <c:pt idx="54">
                  <c:v>40360</c:v>
                </c:pt>
                <c:pt idx="55">
                  <c:v>40391</c:v>
                </c:pt>
                <c:pt idx="56">
                  <c:v>40422</c:v>
                </c:pt>
                <c:pt idx="57">
                  <c:v>40452</c:v>
                </c:pt>
                <c:pt idx="58">
                  <c:v>40483</c:v>
                </c:pt>
                <c:pt idx="59">
                  <c:v>40513</c:v>
                </c:pt>
                <c:pt idx="60">
                  <c:v>40544</c:v>
                </c:pt>
                <c:pt idx="61">
                  <c:v>40575</c:v>
                </c:pt>
                <c:pt idx="62">
                  <c:v>40603</c:v>
                </c:pt>
                <c:pt idx="63">
                  <c:v>40634</c:v>
                </c:pt>
                <c:pt idx="64">
                  <c:v>40664</c:v>
                </c:pt>
                <c:pt idx="65">
                  <c:v>40695</c:v>
                </c:pt>
                <c:pt idx="66">
                  <c:v>40725</c:v>
                </c:pt>
                <c:pt idx="67">
                  <c:v>40756</c:v>
                </c:pt>
                <c:pt idx="68">
                  <c:v>40787</c:v>
                </c:pt>
                <c:pt idx="69">
                  <c:v>40817</c:v>
                </c:pt>
                <c:pt idx="70">
                  <c:v>40848</c:v>
                </c:pt>
                <c:pt idx="71">
                  <c:v>40878</c:v>
                </c:pt>
                <c:pt idx="72">
                  <c:v>40909</c:v>
                </c:pt>
                <c:pt idx="73">
                  <c:v>40940</c:v>
                </c:pt>
                <c:pt idx="74">
                  <c:v>40969</c:v>
                </c:pt>
                <c:pt idx="75">
                  <c:v>41000</c:v>
                </c:pt>
                <c:pt idx="76">
                  <c:v>41030</c:v>
                </c:pt>
                <c:pt idx="77">
                  <c:v>41061</c:v>
                </c:pt>
                <c:pt idx="78">
                  <c:v>41091</c:v>
                </c:pt>
                <c:pt idx="79">
                  <c:v>41122</c:v>
                </c:pt>
                <c:pt idx="80">
                  <c:v>41153</c:v>
                </c:pt>
                <c:pt idx="81">
                  <c:v>41183</c:v>
                </c:pt>
                <c:pt idx="82">
                  <c:v>41214</c:v>
                </c:pt>
                <c:pt idx="83">
                  <c:v>41244</c:v>
                </c:pt>
                <c:pt idx="84">
                  <c:v>41275</c:v>
                </c:pt>
                <c:pt idx="85">
                  <c:v>41306</c:v>
                </c:pt>
                <c:pt idx="86">
                  <c:v>41334</c:v>
                </c:pt>
                <c:pt idx="87">
                  <c:v>41365</c:v>
                </c:pt>
                <c:pt idx="88">
                  <c:v>41395</c:v>
                </c:pt>
                <c:pt idx="89">
                  <c:v>41426</c:v>
                </c:pt>
                <c:pt idx="90">
                  <c:v>41456</c:v>
                </c:pt>
                <c:pt idx="91">
                  <c:v>41487</c:v>
                </c:pt>
                <c:pt idx="92">
                  <c:v>41518</c:v>
                </c:pt>
                <c:pt idx="93">
                  <c:v>41548</c:v>
                </c:pt>
                <c:pt idx="94">
                  <c:v>41579</c:v>
                </c:pt>
                <c:pt idx="95">
                  <c:v>41609</c:v>
                </c:pt>
                <c:pt idx="96">
                  <c:v>41640</c:v>
                </c:pt>
                <c:pt idx="97">
                  <c:v>41671</c:v>
                </c:pt>
                <c:pt idx="98">
                  <c:v>41699</c:v>
                </c:pt>
                <c:pt idx="99">
                  <c:v>41730</c:v>
                </c:pt>
                <c:pt idx="100">
                  <c:v>41760</c:v>
                </c:pt>
                <c:pt idx="101">
                  <c:v>41791</c:v>
                </c:pt>
                <c:pt idx="102">
                  <c:v>41821</c:v>
                </c:pt>
                <c:pt idx="103">
                  <c:v>41852</c:v>
                </c:pt>
                <c:pt idx="104">
                  <c:v>41883</c:v>
                </c:pt>
                <c:pt idx="105">
                  <c:v>41913</c:v>
                </c:pt>
                <c:pt idx="106">
                  <c:v>41944</c:v>
                </c:pt>
                <c:pt idx="107">
                  <c:v>41974</c:v>
                </c:pt>
                <c:pt idx="108">
                  <c:v>42005</c:v>
                </c:pt>
                <c:pt idx="109">
                  <c:v>42036</c:v>
                </c:pt>
                <c:pt idx="110">
                  <c:v>42064</c:v>
                </c:pt>
                <c:pt idx="111">
                  <c:v>42095</c:v>
                </c:pt>
                <c:pt idx="112">
                  <c:v>42125</c:v>
                </c:pt>
                <c:pt idx="113">
                  <c:v>42156</c:v>
                </c:pt>
                <c:pt idx="114">
                  <c:v>42186</c:v>
                </c:pt>
                <c:pt idx="115">
                  <c:v>42217</c:v>
                </c:pt>
                <c:pt idx="116">
                  <c:v>42248</c:v>
                </c:pt>
                <c:pt idx="117">
                  <c:v>42278</c:v>
                </c:pt>
                <c:pt idx="118">
                  <c:v>42309</c:v>
                </c:pt>
                <c:pt idx="119">
                  <c:v>42339</c:v>
                </c:pt>
                <c:pt idx="120">
                  <c:v>42370</c:v>
                </c:pt>
                <c:pt idx="121">
                  <c:v>42401</c:v>
                </c:pt>
                <c:pt idx="122">
                  <c:v>42430</c:v>
                </c:pt>
                <c:pt idx="123">
                  <c:v>42461</c:v>
                </c:pt>
                <c:pt idx="124">
                  <c:v>42491</c:v>
                </c:pt>
                <c:pt idx="125">
                  <c:v>42522</c:v>
                </c:pt>
                <c:pt idx="126">
                  <c:v>42552</c:v>
                </c:pt>
                <c:pt idx="127">
                  <c:v>42583</c:v>
                </c:pt>
                <c:pt idx="128">
                  <c:v>42614</c:v>
                </c:pt>
                <c:pt idx="129">
                  <c:v>42644</c:v>
                </c:pt>
                <c:pt idx="130">
                  <c:v>42675</c:v>
                </c:pt>
                <c:pt idx="131">
                  <c:v>42705</c:v>
                </c:pt>
                <c:pt idx="132">
                  <c:v>42736</c:v>
                </c:pt>
                <c:pt idx="133">
                  <c:v>42767</c:v>
                </c:pt>
                <c:pt idx="134">
                  <c:v>42795</c:v>
                </c:pt>
                <c:pt idx="135">
                  <c:v>42826</c:v>
                </c:pt>
                <c:pt idx="136">
                  <c:v>42856</c:v>
                </c:pt>
                <c:pt idx="137">
                  <c:v>42887</c:v>
                </c:pt>
                <c:pt idx="138">
                  <c:v>42917</c:v>
                </c:pt>
                <c:pt idx="139">
                  <c:v>42948</c:v>
                </c:pt>
                <c:pt idx="140">
                  <c:v>42979</c:v>
                </c:pt>
                <c:pt idx="141">
                  <c:v>43009</c:v>
                </c:pt>
                <c:pt idx="142">
                  <c:v>43040</c:v>
                </c:pt>
                <c:pt idx="143">
                  <c:v>43070</c:v>
                </c:pt>
                <c:pt idx="144">
                  <c:v>43101</c:v>
                </c:pt>
                <c:pt idx="145">
                  <c:v>43132</c:v>
                </c:pt>
                <c:pt idx="146">
                  <c:v>43160</c:v>
                </c:pt>
                <c:pt idx="147">
                  <c:v>43191</c:v>
                </c:pt>
                <c:pt idx="148">
                  <c:v>43221</c:v>
                </c:pt>
                <c:pt idx="149">
                  <c:v>43252</c:v>
                </c:pt>
                <c:pt idx="150">
                  <c:v>43282</c:v>
                </c:pt>
                <c:pt idx="151">
                  <c:v>43313</c:v>
                </c:pt>
                <c:pt idx="152">
                  <c:v>43344</c:v>
                </c:pt>
                <c:pt idx="153">
                  <c:v>43374</c:v>
                </c:pt>
                <c:pt idx="154">
                  <c:v>43405</c:v>
                </c:pt>
                <c:pt idx="155">
                  <c:v>43435</c:v>
                </c:pt>
                <c:pt idx="156">
                  <c:v>43466</c:v>
                </c:pt>
                <c:pt idx="157">
                  <c:v>43497</c:v>
                </c:pt>
                <c:pt idx="158">
                  <c:v>43525</c:v>
                </c:pt>
                <c:pt idx="159">
                  <c:v>43556</c:v>
                </c:pt>
                <c:pt idx="160">
                  <c:v>43586</c:v>
                </c:pt>
                <c:pt idx="161">
                  <c:v>43617</c:v>
                </c:pt>
                <c:pt idx="162">
                  <c:v>43647</c:v>
                </c:pt>
                <c:pt idx="163">
                  <c:v>43678</c:v>
                </c:pt>
                <c:pt idx="164">
                  <c:v>43709</c:v>
                </c:pt>
                <c:pt idx="165">
                  <c:v>43739</c:v>
                </c:pt>
                <c:pt idx="166">
                  <c:v>43770</c:v>
                </c:pt>
                <c:pt idx="167">
                  <c:v>43800</c:v>
                </c:pt>
                <c:pt idx="168">
                  <c:v>43831</c:v>
                </c:pt>
                <c:pt idx="169">
                  <c:v>43862</c:v>
                </c:pt>
                <c:pt idx="170">
                  <c:v>43891</c:v>
                </c:pt>
                <c:pt idx="171">
                  <c:v>43922</c:v>
                </c:pt>
                <c:pt idx="172">
                  <c:v>43952</c:v>
                </c:pt>
                <c:pt idx="173">
                  <c:v>43983</c:v>
                </c:pt>
                <c:pt idx="174">
                  <c:v>44013</c:v>
                </c:pt>
                <c:pt idx="175">
                  <c:v>44044</c:v>
                </c:pt>
                <c:pt idx="176">
                  <c:v>44075</c:v>
                </c:pt>
                <c:pt idx="177">
                  <c:v>44105</c:v>
                </c:pt>
                <c:pt idx="178">
                  <c:v>44136</c:v>
                </c:pt>
                <c:pt idx="179">
                  <c:v>44166</c:v>
                </c:pt>
                <c:pt idx="180">
                  <c:v>44197</c:v>
                </c:pt>
                <c:pt idx="181">
                  <c:v>44228</c:v>
                </c:pt>
                <c:pt idx="182">
                  <c:v>44256</c:v>
                </c:pt>
                <c:pt idx="183">
                  <c:v>44287</c:v>
                </c:pt>
                <c:pt idx="184">
                  <c:v>44317</c:v>
                </c:pt>
                <c:pt idx="185">
                  <c:v>44348</c:v>
                </c:pt>
                <c:pt idx="186">
                  <c:v>44378</c:v>
                </c:pt>
                <c:pt idx="187">
                  <c:v>44409</c:v>
                </c:pt>
                <c:pt idx="188">
                  <c:v>44440</c:v>
                </c:pt>
                <c:pt idx="189">
                  <c:v>44470</c:v>
                </c:pt>
                <c:pt idx="190">
                  <c:v>44501</c:v>
                </c:pt>
                <c:pt idx="191">
                  <c:v>44531</c:v>
                </c:pt>
                <c:pt idx="192">
                  <c:v>44562</c:v>
                </c:pt>
                <c:pt idx="193">
                  <c:v>44593</c:v>
                </c:pt>
                <c:pt idx="194">
                  <c:v>44621</c:v>
                </c:pt>
                <c:pt idx="195">
                  <c:v>44652</c:v>
                </c:pt>
                <c:pt idx="196">
                  <c:v>44682</c:v>
                </c:pt>
                <c:pt idx="197">
                  <c:v>44713</c:v>
                </c:pt>
                <c:pt idx="198">
                  <c:v>44743</c:v>
                </c:pt>
                <c:pt idx="199">
                  <c:v>44774</c:v>
                </c:pt>
                <c:pt idx="200">
                  <c:v>44805</c:v>
                </c:pt>
                <c:pt idx="201">
                  <c:v>44835</c:v>
                </c:pt>
                <c:pt idx="202">
                  <c:v>44866</c:v>
                </c:pt>
                <c:pt idx="203">
                  <c:v>44896</c:v>
                </c:pt>
                <c:pt idx="204">
                  <c:v>44927</c:v>
                </c:pt>
                <c:pt idx="205">
                  <c:v>44958</c:v>
                </c:pt>
                <c:pt idx="206">
                  <c:v>44986</c:v>
                </c:pt>
                <c:pt idx="207">
                  <c:v>45017</c:v>
                </c:pt>
                <c:pt idx="208">
                  <c:v>45047</c:v>
                </c:pt>
                <c:pt idx="209">
                  <c:v>45078</c:v>
                </c:pt>
                <c:pt idx="210">
                  <c:v>45108</c:v>
                </c:pt>
                <c:pt idx="211">
                  <c:v>45139</c:v>
                </c:pt>
                <c:pt idx="212">
                  <c:v>45170</c:v>
                </c:pt>
                <c:pt idx="213">
                  <c:v>45200</c:v>
                </c:pt>
                <c:pt idx="214">
                  <c:v>45231</c:v>
                </c:pt>
                <c:pt idx="215">
                  <c:v>45261</c:v>
                </c:pt>
                <c:pt idx="216">
                  <c:v>45292</c:v>
                </c:pt>
                <c:pt idx="217">
                  <c:v>45323</c:v>
                </c:pt>
                <c:pt idx="218">
                  <c:v>45352</c:v>
                </c:pt>
                <c:pt idx="219">
                  <c:v>45383</c:v>
                </c:pt>
                <c:pt idx="220">
                  <c:v>45413</c:v>
                </c:pt>
                <c:pt idx="221">
                  <c:v>45444</c:v>
                </c:pt>
              </c:numCache>
            </c:numRef>
          </c:cat>
          <c:val>
            <c:numRef>
              <c:f>'NLIV UE timeseries plot (Fig.5)'!$F$2:$F$223</c:f>
              <c:numCache>
                <c:formatCode>General</c:formatCode>
                <c:ptCount val="222"/>
                <c:pt idx="0">
                  <c:v>211.88900000000001</c:v>
                </c:pt>
                <c:pt idx="1">
                  <c:v>216.39099999999999</c:v>
                </c:pt>
                <c:pt idx="2">
                  <c:v>220.65199999999999</c:v>
                </c:pt>
                <c:pt idx="3">
                  <c:v>221.68</c:v>
                </c:pt>
                <c:pt idx="4">
                  <c:v>218.755</c:v>
                </c:pt>
                <c:pt idx="5">
                  <c:v>237.72300000000001</c:v>
                </c:pt>
                <c:pt idx="6">
                  <c:v>219.751</c:v>
                </c:pt>
                <c:pt idx="7">
                  <c:v>226.53399999999999</c:v>
                </c:pt>
                <c:pt idx="8">
                  <c:v>219.95500000000001</c:v>
                </c:pt>
                <c:pt idx="9">
                  <c:v>238.38399999999999</c:v>
                </c:pt>
                <c:pt idx="10">
                  <c:v>238.374</c:v>
                </c:pt>
                <c:pt idx="11">
                  <c:v>233.566</c:v>
                </c:pt>
                <c:pt idx="12">
                  <c:v>249.005</c:v>
                </c:pt>
                <c:pt idx="13">
                  <c:v>256.608</c:v>
                </c:pt>
                <c:pt idx="14">
                  <c:v>266.88</c:v>
                </c:pt>
                <c:pt idx="15">
                  <c:v>265.827</c:v>
                </c:pt>
                <c:pt idx="16">
                  <c:v>272.57799999999997</c:v>
                </c:pt>
                <c:pt idx="17">
                  <c:v>269.08</c:v>
                </c:pt>
                <c:pt idx="18">
                  <c:v>281.81599999999997</c:v>
                </c:pt>
                <c:pt idx="19">
                  <c:v>281.13400000000001</c:v>
                </c:pt>
                <c:pt idx="20">
                  <c:v>285.887</c:v>
                </c:pt>
                <c:pt idx="21">
                  <c:v>283.267</c:v>
                </c:pt>
                <c:pt idx="22">
                  <c:v>294.44799999999998</c:v>
                </c:pt>
                <c:pt idx="23">
                  <c:v>300.60599999999999</c:v>
                </c:pt>
                <c:pt idx="24">
                  <c:v>305.84500000000003</c:v>
                </c:pt>
                <c:pt idx="25">
                  <c:v>305.88499999999999</c:v>
                </c:pt>
                <c:pt idx="26">
                  <c:v>301.113</c:v>
                </c:pt>
                <c:pt idx="27">
                  <c:v>306.35899999999998</c:v>
                </c:pt>
                <c:pt idx="28">
                  <c:v>300.92899999999997</c:v>
                </c:pt>
                <c:pt idx="29">
                  <c:v>301.31299999999999</c:v>
                </c:pt>
                <c:pt idx="30">
                  <c:v>288.142</c:v>
                </c:pt>
                <c:pt idx="31">
                  <c:v>273.47000000000003</c:v>
                </c:pt>
                <c:pt idx="32">
                  <c:v>260.11500000000001</c:v>
                </c:pt>
                <c:pt idx="33">
                  <c:v>251.01400000000001</c:v>
                </c:pt>
                <c:pt idx="34">
                  <c:v>234.49199999999999</c:v>
                </c:pt>
                <c:pt idx="35">
                  <c:v>216.41900000000001</c:v>
                </c:pt>
                <c:pt idx="36">
                  <c:v>196.42599999999999</c:v>
                </c:pt>
                <c:pt idx="37">
                  <c:v>181.99299999999999</c:v>
                </c:pt>
                <c:pt idx="38">
                  <c:v>160.572</c:v>
                </c:pt>
                <c:pt idx="39">
                  <c:v>164.38900000000001</c:v>
                </c:pt>
                <c:pt idx="40">
                  <c:v>157.43100000000001</c:v>
                </c:pt>
                <c:pt idx="41">
                  <c:v>171.73500000000001</c:v>
                </c:pt>
                <c:pt idx="42">
                  <c:v>158.453</c:v>
                </c:pt>
                <c:pt idx="43">
                  <c:v>165.18100000000001</c:v>
                </c:pt>
                <c:pt idx="44">
                  <c:v>165.791</c:v>
                </c:pt>
                <c:pt idx="45">
                  <c:v>166.48599999999999</c:v>
                </c:pt>
                <c:pt idx="46">
                  <c:v>169.74</c:v>
                </c:pt>
                <c:pt idx="47">
                  <c:v>171.01900000000001</c:v>
                </c:pt>
                <c:pt idx="48">
                  <c:v>183.54</c:v>
                </c:pt>
                <c:pt idx="49">
                  <c:v>188.55600000000001</c:v>
                </c:pt>
                <c:pt idx="50">
                  <c:v>176.476</c:v>
                </c:pt>
                <c:pt idx="51">
                  <c:v>170.839</c:v>
                </c:pt>
                <c:pt idx="52">
                  <c:v>186.82</c:v>
                </c:pt>
                <c:pt idx="53">
                  <c:v>184.78</c:v>
                </c:pt>
                <c:pt idx="54">
                  <c:v>191.17699999999999</c:v>
                </c:pt>
                <c:pt idx="55">
                  <c:v>191.96899999999999</c:v>
                </c:pt>
                <c:pt idx="56">
                  <c:v>200.387</c:v>
                </c:pt>
                <c:pt idx="57">
                  <c:v>204.96799999999999</c:v>
                </c:pt>
                <c:pt idx="58">
                  <c:v>205.66800000000001</c:v>
                </c:pt>
                <c:pt idx="59">
                  <c:v>210.786</c:v>
                </c:pt>
                <c:pt idx="60">
                  <c:v>212.703</c:v>
                </c:pt>
                <c:pt idx="61">
                  <c:v>213.232</c:v>
                </c:pt>
                <c:pt idx="62">
                  <c:v>215.47300000000001</c:v>
                </c:pt>
                <c:pt idx="63">
                  <c:v>213.79499999999999</c:v>
                </c:pt>
                <c:pt idx="64">
                  <c:v>209.131</c:v>
                </c:pt>
                <c:pt idx="65">
                  <c:v>202.87799999999999</c:v>
                </c:pt>
                <c:pt idx="66">
                  <c:v>208.285</c:v>
                </c:pt>
                <c:pt idx="67">
                  <c:v>202.303</c:v>
                </c:pt>
                <c:pt idx="68">
                  <c:v>196.166</c:v>
                </c:pt>
                <c:pt idx="69">
                  <c:v>196.14099999999999</c:v>
                </c:pt>
                <c:pt idx="70">
                  <c:v>196.268</c:v>
                </c:pt>
                <c:pt idx="71">
                  <c:v>198.708</c:v>
                </c:pt>
                <c:pt idx="72">
                  <c:v>189.94399999999999</c:v>
                </c:pt>
                <c:pt idx="73">
                  <c:v>193.58600000000001</c:v>
                </c:pt>
                <c:pt idx="74">
                  <c:v>192.77099999999999</c:v>
                </c:pt>
                <c:pt idx="75">
                  <c:v>187.399</c:v>
                </c:pt>
                <c:pt idx="76">
                  <c:v>181.49700000000001</c:v>
                </c:pt>
                <c:pt idx="77">
                  <c:v>177.67099999999999</c:v>
                </c:pt>
                <c:pt idx="78">
                  <c:v>168.87899999999999</c:v>
                </c:pt>
                <c:pt idx="79">
                  <c:v>168.60300000000001</c:v>
                </c:pt>
                <c:pt idx="80">
                  <c:v>168.39400000000001</c:v>
                </c:pt>
                <c:pt idx="81">
                  <c:v>159.185</c:v>
                </c:pt>
                <c:pt idx="82">
                  <c:v>154.84899999999999</c:v>
                </c:pt>
                <c:pt idx="83">
                  <c:v>151.404</c:v>
                </c:pt>
                <c:pt idx="84">
                  <c:v>148.82900000000001</c:v>
                </c:pt>
                <c:pt idx="85">
                  <c:v>144.88300000000001</c:v>
                </c:pt>
                <c:pt idx="86">
                  <c:v>150.696</c:v>
                </c:pt>
                <c:pt idx="87">
                  <c:v>139.46100000000001</c:v>
                </c:pt>
                <c:pt idx="88">
                  <c:v>142.41999999999999</c:v>
                </c:pt>
                <c:pt idx="89">
                  <c:v>139.96</c:v>
                </c:pt>
                <c:pt idx="90">
                  <c:v>141.82499999999999</c:v>
                </c:pt>
                <c:pt idx="91">
                  <c:v>140.27099999999999</c:v>
                </c:pt>
                <c:pt idx="92">
                  <c:v>138.97999999999999</c:v>
                </c:pt>
                <c:pt idx="93">
                  <c:v>139.953</c:v>
                </c:pt>
                <c:pt idx="94">
                  <c:v>140.989</c:v>
                </c:pt>
                <c:pt idx="95">
                  <c:v>138.79599999999999</c:v>
                </c:pt>
                <c:pt idx="96">
                  <c:v>149.42400000000001</c:v>
                </c:pt>
                <c:pt idx="97">
                  <c:v>147.18899999999999</c:v>
                </c:pt>
                <c:pt idx="98">
                  <c:v>144.904</c:v>
                </c:pt>
                <c:pt idx="99">
                  <c:v>143.59399999999999</c:v>
                </c:pt>
                <c:pt idx="100">
                  <c:v>151.80600000000001</c:v>
                </c:pt>
                <c:pt idx="101">
                  <c:v>155.65899999999999</c:v>
                </c:pt>
                <c:pt idx="102">
                  <c:v>151.69</c:v>
                </c:pt>
                <c:pt idx="103">
                  <c:v>156.77600000000001</c:v>
                </c:pt>
                <c:pt idx="104">
                  <c:v>154.21100000000001</c:v>
                </c:pt>
                <c:pt idx="105">
                  <c:v>156.91300000000001</c:v>
                </c:pt>
                <c:pt idx="106">
                  <c:v>151.95500000000001</c:v>
                </c:pt>
                <c:pt idx="107">
                  <c:v>149.517</c:v>
                </c:pt>
                <c:pt idx="108">
                  <c:v>156.62200000000001</c:v>
                </c:pt>
                <c:pt idx="109">
                  <c:v>154.56299999999999</c:v>
                </c:pt>
                <c:pt idx="110">
                  <c:v>157.93700000000001</c:v>
                </c:pt>
                <c:pt idx="111">
                  <c:v>158.268</c:v>
                </c:pt>
                <c:pt idx="112">
                  <c:v>151.08199999999999</c:v>
                </c:pt>
                <c:pt idx="113">
                  <c:v>151.78200000000001</c:v>
                </c:pt>
                <c:pt idx="114">
                  <c:v>156.94200000000001</c:v>
                </c:pt>
                <c:pt idx="115">
                  <c:v>154.56100000000001</c:v>
                </c:pt>
                <c:pt idx="116">
                  <c:v>163.15700000000001</c:v>
                </c:pt>
                <c:pt idx="117">
                  <c:v>159.89699999999999</c:v>
                </c:pt>
                <c:pt idx="118">
                  <c:v>164.846</c:v>
                </c:pt>
                <c:pt idx="119">
                  <c:v>164.49299999999999</c:v>
                </c:pt>
                <c:pt idx="120">
                  <c:v>162.982</c:v>
                </c:pt>
                <c:pt idx="121">
                  <c:v>161.23099999999999</c:v>
                </c:pt>
                <c:pt idx="122">
                  <c:v>162.6</c:v>
                </c:pt>
                <c:pt idx="123">
                  <c:v>165.297</c:v>
                </c:pt>
                <c:pt idx="124">
                  <c:v>166.048</c:v>
                </c:pt>
                <c:pt idx="125">
                  <c:v>173.18</c:v>
                </c:pt>
                <c:pt idx="126">
                  <c:v>164.52799999999999</c:v>
                </c:pt>
                <c:pt idx="127">
                  <c:v>165.404</c:v>
                </c:pt>
                <c:pt idx="128">
                  <c:v>162.976</c:v>
                </c:pt>
                <c:pt idx="129">
                  <c:v>163.28</c:v>
                </c:pt>
                <c:pt idx="130">
                  <c:v>161.98699999999999</c:v>
                </c:pt>
                <c:pt idx="131">
                  <c:v>163.53299999999999</c:v>
                </c:pt>
                <c:pt idx="132">
                  <c:v>162.16200000000001</c:v>
                </c:pt>
                <c:pt idx="133">
                  <c:v>165.84200000000001</c:v>
                </c:pt>
                <c:pt idx="134">
                  <c:v>165.18100000000001</c:v>
                </c:pt>
                <c:pt idx="135">
                  <c:v>170.45599999999999</c:v>
                </c:pt>
                <c:pt idx="136">
                  <c:v>173.43899999999999</c:v>
                </c:pt>
                <c:pt idx="137">
                  <c:v>177.12200000000001</c:v>
                </c:pt>
                <c:pt idx="138">
                  <c:v>176.489</c:v>
                </c:pt>
                <c:pt idx="139">
                  <c:v>175.61500000000001</c:v>
                </c:pt>
                <c:pt idx="140">
                  <c:v>175.607</c:v>
                </c:pt>
                <c:pt idx="141">
                  <c:v>177.12100000000001</c:v>
                </c:pt>
                <c:pt idx="142">
                  <c:v>178.27699999999999</c:v>
                </c:pt>
                <c:pt idx="143">
                  <c:v>174.357</c:v>
                </c:pt>
                <c:pt idx="144">
                  <c:v>178.12899999999999</c:v>
                </c:pt>
                <c:pt idx="145">
                  <c:v>181.25800000000001</c:v>
                </c:pt>
                <c:pt idx="146">
                  <c:v>189.96199999999999</c:v>
                </c:pt>
                <c:pt idx="147">
                  <c:v>186.78</c:v>
                </c:pt>
                <c:pt idx="148">
                  <c:v>187.11</c:v>
                </c:pt>
                <c:pt idx="149">
                  <c:v>182.952</c:v>
                </c:pt>
                <c:pt idx="150">
                  <c:v>184.727</c:v>
                </c:pt>
                <c:pt idx="151">
                  <c:v>185.25700000000001</c:v>
                </c:pt>
                <c:pt idx="152">
                  <c:v>179.57499999999999</c:v>
                </c:pt>
                <c:pt idx="153">
                  <c:v>177.215</c:v>
                </c:pt>
                <c:pt idx="154">
                  <c:v>177.36099999999999</c:v>
                </c:pt>
                <c:pt idx="155">
                  <c:v>178.31299999999999</c:v>
                </c:pt>
                <c:pt idx="156">
                  <c:v>185.15899999999999</c:v>
                </c:pt>
                <c:pt idx="157">
                  <c:v>181.69399999999999</c:v>
                </c:pt>
                <c:pt idx="158">
                  <c:v>172.69800000000001</c:v>
                </c:pt>
                <c:pt idx="159">
                  <c:v>175.239</c:v>
                </c:pt>
                <c:pt idx="160">
                  <c:v>177.53800000000001</c:v>
                </c:pt>
                <c:pt idx="161">
                  <c:v>172.136</c:v>
                </c:pt>
                <c:pt idx="162">
                  <c:v>174.029</c:v>
                </c:pt>
                <c:pt idx="163">
                  <c:v>169.02</c:v>
                </c:pt>
                <c:pt idx="164">
                  <c:v>169.81800000000001</c:v>
                </c:pt>
                <c:pt idx="165">
                  <c:v>162.38200000000001</c:v>
                </c:pt>
                <c:pt idx="166">
                  <c:v>155.77099999999999</c:v>
                </c:pt>
                <c:pt idx="167">
                  <c:v>164.14699999999999</c:v>
                </c:pt>
                <c:pt idx="168">
                  <c:v>167.67500000000001</c:v>
                </c:pt>
                <c:pt idx="169">
                  <c:v>160.33099999999999</c:v>
                </c:pt>
                <c:pt idx="170">
                  <c:v>117.81</c:v>
                </c:pt>
                <c:pt idx="171">
                  <c:v>67.353999999999999</c:v>
                </c:pt>
                <c:pt idx="172">
                  <c:v>90.275999999999996</c:v>
                </c:pt>
                <c:pt idx="173">
                  <c:v>119.83199999999999</c:v>
                </c:pt>
                <c:pt idx="174">
                  <c:v>134.49799999999999</c:v>
                </c:pt>
                <c:pt idx="175">
                  <c:v>136.24700000000001</c:v>
                </c:pt>
                <c:pt idx="176">
                  <c:v>151.227</c:v>
                </c:pt>
                <c:pt idx="177">
                  <c:v>160.54900000000001</c:v>
                </c:pt>
                <c:pt idx="178">
                  <c:v>175.88</c:v>
                </c:pt>
                <c:pt idx="179">
                  <c:v>185.208</c:v>
                </c:pt>
                <c:pt idx="180">
                  <c:v>189.25399999999999</c:v>
                </c:pt>
                <c:pt idx="181">
                  <c:v>202.667</c:v>
                </c:pt>
                <c:pt idx="182">
                  <c:v>227.49</c:v>
                </c:pt>
                <c:pt idx="183">
                  <c:v>230.61699999999999</c:v>
                </c:pt>
                <c:pt idx="184">
                  <c:v>235.04599999999999</c:v>
                </c:pt>
                <c:pt idx="185">
                  <c:v>231.554</c:v>
                </c:pt>
                <c:pt idx="186">
                  <c:v>229.90799999999999</c:v>
                </c:pt>
                <c:pt idx="187">
                  <c:v>211.38300000000001</c:v>
                </c:pt>
                <c:pt idx="188">
                  <c:v>236.00899999999999</c:v>
                </c:pt>
                <c:pt idx="189">
                  <c:v>255.364</c:v>
                </c:pt>
                <c:pt idx="190">
                  <c:v>261.572</c:v>
                </c:pt>
                <c:pt idx="191">
                  <c:v>258.23500000000001</c:v>
                </c:pt>
                <c:pt idx="192">
                  <c:v>268.67599999999999</c:v>
                </c:pt>
                <c:pt idx="193">
                  <c:v>277.25</c:v>
                </c:pt>
                <c:pt idx="194">
                  <c:v>283.43200000000002</c:v>
                </c:pt>
                <c:pt idx="195">
                  <c:v>288.84899999999999</c:v>
                </c:pt>
                <c:pt idx="196">
                  <c:v>294.57400000000001</c:v>
                </c:pt>
                <c:pt idx="197">
                  <c:v>304.72500000000002</c:v>
                </c:pt>
                <c:pt idx="198">
                  <c:v>294.00400000000002</c:v>
                </c:pt>
                <c:pt idx="199">
                  <c:v>296.935</c:v>
                </c:pt>
                <c:pt idx="200">
                  <c:v>283.22000000000003</c:v>
                </c:pt>
                <c:pt idx="201">
                  <c:v>286.24700000000001</c:v>
                </c:pt>
                <c:pt idx="202">
                  <c:v>276.75099999999998</c:v>
                </c:pt>
                <c:pt idx="203">
                  <c:v>275.85700000000003</c:v>
                </c:pt>
                <c:pt idx="204">
                  <c:v>281.00700000000001</c:v>
                </c:pt>
                <c:pt idx="205">
                  <c:v>282.77600000000001</c:v>
                </c:pt>
                <c:pt idx="206">
                  <c:v>281.28699999999998</c:v>
                </c:pt>
                <c:pt idx="207">
                  <c:v>290.33999999999997</c:v>
                </c:pt>
                <c:pt idx="208">
                  <c:v>281.15499999999997</c:v>
                </c:pt>
                <c:pt idx="209">
                  <c:v>277.76600000000002</c:v>
                </c:pt>
                <c:pt idx="210">
                  <c:v>282.51799999999997</c:v>
                </c:pt>
                <c:pt idx="211">
                  <c:v>278.24</c:v>
                </c:pt>
                <c:pt idx="212">
                  <c:v>270.59199999999998</c:v>
                </c:pt>
                <c:pt idx="213">
                  <c:v>259.452</c:v>
                </c:pt>
                <c:pt idx="214">
                  <c:v>258.24400000000003</c:v>
                </c:pt>
                <c:pt idx="215">
                  <c:v>259.13900000000001</c:v>
                </c:pt>
                <c:pt idx="216">
                  <c:v>253.286</c:v>
                </c:pt>
                <c:pt idx="217">
                  <c:v>246.46</c:v>
                </c:pt>
                <c:pt idx="218">
                  <c:v>245.59200000000001</c:v>
                </c:pt>
                <c:pt idx="219">
                  <c:v>237.55199999999999</c:v>
                </c:pt>
                <c:pt idx="220">
                  <c:v>237.59</c:v>
                </c:pt>
                <c:pt idx="221">
                  <c:v>227.523</c:v>
                </c:pt>
              </c:numCache>
            </c:numRef>
          </c:val>
          <c:extLst>
            <c:ext xmlns:c16="http://schemas.microsoft.com/office/drawing/2014/chart" uri="{C3380CC4-5D6E-409C-BE32-E72D297353CC}">
              <c16:uniqueId val="{00000000-48F8-4589-BEFB-E329B769C7F8}"/>
            </c:ext>
          </c:extLst>
        </c:ser>
        <c:dLbls>
          <c:showLegendKey val="0"/>
          <c:showVal val="0"/>
          <c:showCatName val="0"/>
          <c:showSerName val="0"/>
          <c:showPercent val="0"/>
          <c:showBubbleSize val="0"/>
        </c:dLbls>
        <c:gapWidth val="150"/>
        <c:axId val="1615677536"/>
        <c:axId val="989843920"/>
      </c:barChart>
      <c:lineChart>
        <c:grouping val="standard"/>
        <c:varyColors val="0"/>
        <c:ser>
          <c:idx val="1"/>
          <c:order val="1"/>
          <c:tx>
            <c:strRef>
              <c:f>'NLIV UE timeseries plot (Fig.5)'!$G$1</c:f>
              <c:strCache>
                <c:ptCount val="1"/>
                <c:pt idx="0">
                  <c:v>Seasonally adjusted unemployment rate (RHS)</c:v>
                </c:pt>
              </c:strCache>
            </c:strRef>
          </c:tx>
          <c:spPr>
            <a:ln w="28575" cap="rnd">
              <a:solidFill>
                <a:srgbClr val="009D9A"/>
              </a:solidFill>
              <a:round/>
            </a:ln>
            <a:effectLst/>
          </c:spPr>
          <c:marker>
            <c:symbol val="none"/>
          </c:marker>
          <c:cat>
            <c:numRef>
              <c:f>'NLIV UE timeseries plot (Fig.5)'!$A$2:$A$223</c:f>
              <c:numCache>
                <c:formatCode>mmm\-yy</c:formatCode>
                <c:ptCount val="222"/>
                <c:pt idx="0">
                  <c:v>38718</c:v>
                </c:pt>
                <c:pt idx="1">
                  <c:v>38749</c:v>
                </c:pt>
                <c:pt idx="2">
                  <c:v>38777</c:v>
                </c:pt>
                <c:pt idx="3">
                  <c:v>38808</c:v>
                </c:pt>
                <c:pt idx="4">
                  <c:v>38838</c:v>
                </c:pt>
                <c:pt idx="5">
                  <c:v>38869</c:v>
                </c:pt>
                <c:pt idx="6">
                  <c:v>38899</c:v>
                </c:pt>
                <c:pt idx="7">
                  <c:v>38930</c:v>
                </c:pt>
                <c:pt idx="8">
                  <c:v>38961</c:v>
                </c:pt>
                <c:pt idx="9">
                  <c:v>38991</c:v>
                </c:pt>
                <c:pt idx="10">
                  <c:v>39022</c:v>
                </c:pt>
                <c:pt idx="11">
                  <c:v>39052</c:v>
                </c:pt>
                <c:pt idx="12">
                  <c:v>39083</c:v>
                </c:pt>
                <c:pt idx="13">
                  <c:v>39114</c:v>
                </c:pt>
                <c:pt idx="14">
                  <c:v>39142</c:v>
                </c:pt>
                <c:pt idx="15">
                  <c:v>39173</c:v>
                </c:pt>
                <c:pt idx="16">
                  <c:v>39203</c:v>
                </c:pt>
                <c:pt idx="17">
                  <c:v>39234</c:v>
                </c:pt>
                <c:pt idx="18">
                  <c:v>39264</c:v>
                </c:pt>
                <c:pt idx="19">
                  <c:v>39295</c:v>
                </c:pt>
                <c:pt idx="20">
                  <c:v>39326</c:v>
                </c:pt>
                <c:pt idx="21">
                  <c:v>39356</c:v>
                </c:pt>
                <c:pt idx="22">
                  <c:v>39387</c:v>
                </c:pt>
                <c:pt idx="23">
                  <c:v>39417</c:v>
                </c:pt>
                <c:pt idx="24">
                  <c:v>39448</c:v>
                </c:pt>
                <c:pt idx="25">
                  <c:v>39479</c:v>
                </c:pt>
                <c:pt idx="26">
                  <c:v>39508</c:v>
                </c:pt>
                <c:pt idx="27">
                  <c:v>39539</c:v>
                </c:pt>
                <c:pt idx="28">
                  <c:v>39569</c:v>
                </c:pt>
                <c:pt idx="29">
                  <c:v>39600</c:v>
                </c:pt>
                <c:pt idx="30">
                  <c:v>39630</c:v>
                </c:pt>
                <c:pt idx="31">
                  <c:v>39661</c:v>
                </c:pt>
                <c:pt idx="32">
                  <c:v>39692</c:v>
                </c:pt>
                <c:pt idx="33">
                  <c:v>39722</c:v>
                </c:pt>
                <c:pt idx="34">
                  <c:v>39753</c:v>
                </c:pt>
                <c:pt idx="35">
                  <c:v>39783</c:v>
                </c:pt>
                <c:pt idx="36">
                  <c:v>39814</c:v>
                </c:pt>
                <c:pt idx="37">
                  <c:v>39845</c:v>
                </c:pt>
                <c:pt idx="38">
                  <c:v>39873</c:v>
                </c:pt>
                <c:pt idx="39">
                  <c:v>39904</c:v>
                </c:pt>
                <c:pt idx="40">
                  <c:v>39934</c:v>
                </c:pt>
                <c:pt idx="41">
                  <c:v>39965</c:v>
                </c:pt>
                <c:pt idx="42">
                  <c:v>39995</c:v>
                </c:pt>
                <c:pt idx="43">
                  <c:v>40026</c:v>
                </c:pt>
                <c:pt idx="44">
                  <c:v>40057</c:v>
                </c:pt>
                <c:pt idx="45">
                  <c:v>40087</c:v>
                </c:pt>
                <c:pt idx="46">
                  <c:v>40118</c:v>
                </c:pt>
                <c:pt idx="47">
                  <c:v>40148</c:v>
                </c:pt>
                <c:pt idx="48">
                  <c:v>40179</c:v>
                </c:pt>
                <c:pt idx="49">
                  <c:v>40210</c:v>
                </c:pt>
                <c:pt idx="50">
                  <c:v>40238</c:v>
                </c:pt>
                <c:pt idx="51">
                  <c:v>40269</c:v>
                </c:pt>
                <c:pt idx="52">
                  <c:v>40299</c:v>
                </c:pt>
                <c:pt idx="53">
                  <c:v>40330</c:v>
                </c:pt>
                <c:pt idx="54">
                  <c:v>40360</c:v>
                </c:pt>
                <c:pt idx="55">
                  <c:v>40391</c:v>
                </c:pt>
                <c:pt idx="56">
                  <c:v>40422</c:v>
                </c:pt>
                <c:pt idx="57">
                  <c:v>40452</c:v>
                </c:pt>
                <c:pt idx="58">
                  <c:v>40483</c:v>
                </c:pt>
                <c:pt idx="59">
                  <c:v>40513</c:v>
                </c:pt>
                <c:pt idx="60">
                  <c:v>40544</c:v>
                </c:pt>
                <c:pt idx="61">
                  <c:v>40575</c:v>
                </c:pt>
                <c:pt idx="62">
                  <c:v>40603</c:v>
                </c:pt>
                <c:pt idx="63">
                  <c:v>40634</c:v>
                </c:pt>
                <c:pt idx="64">
                  <c:v>40664</c:v>
                </c:pt>
                <c:pt idx="65">
                  <c:v>40695</c:v>
                </c:pt>
                <c:pt idx="66">
                  <c:v>40725</c:v>
                </c:pt>
                <c:pt idx="67">
                  <c:v>40756</c:v>
                </c:pt>
                <c:pt idx="68">
                  <c:v>40787</c:v>
                </c:pt>
                <c:pt idx="69">
                  <c:v>40817</c:v>
                </c:pt>
                <c:pt idx="70">
                  <c:v>40848</c:v>
                </c:pt>
                <c:pt idx="71">
                  <c:v>40878</c:v>
                </c:pt>
                <c:pt idx="72">
                  <c:v>40909</c:v>
                </c:pt>
                <c:pt idx="73">
                  <c:v>40940</c:v>
                </c:pt>
                <c:pt idx="74">
                  <c:v>40969</c:v>
                </c:pt>
                <c:pt idx="75">
                  <c:v>41000</c:v>
                </c:pt>
                <c:pt idx="76">
                  <c:v>41030</c:v>
                </c:pt>
                <c:pt idx="77">
                  <c:v>41061</c:v>
                </c:pt>
                <c:pt idx="78">
                  <c:v>41091</c:v>
                </c:pt>
                <c:pt idx="79">
                  <c:v>41122</c:v>
                </c:pt>
                <c:pt idx="80">
                  <c:v>41153</c:v>
                </c:pt>
                <c:pt idx="81">
                  <c:v>41183</c:v>
                </c:pt>
                <c:pt idx="82">
                  <c:v>41214</c:v>
                </c:pt>
                <c:pt idx="83">
                  <c:v>41244</c:v>
                </c:pt>
                <c:pt idx="84">
                  <c:v>41275</c:v>
                </c:pt>
                <c:pt idx="85">
                  <c:v>41306</c:v>
                </c:pt>
                <c:pt idx="86">
                  <c:v>41334</c:v>
                </c:pt>
                <c:pt idx="87">
                  <c:v>41365</c:v>
                </c:pt>
                <c:pt idx="88">
                  <c:v>41395</c:v>
                </c:pt>
                <c:pt idx="89">
                  <c:v>41426</c:v>
                </c:pt>
                <c:pt idx="90">
                  <c:v>41456</c:v>
                </c:pt>
                <c:pt idx="91">
                  <c:v>41487</c:v>
                </c:pt>
                <c:pt idx="92">
                  <c:v>41518</c:v>
                </c:pt>
                <c:pt idx="93">
                  <c:v>41548</c:v>
                </c:pt>
                <c:pt idx="94">
                  <c:v>41579</c:v>
                </c:pt>
                <c:pt idx="95">
                  <c:v>41609</c:v>
                </c:pt>
                <c:pt idx="96">
                  <c:v>41640</c:v>
                </c:pt>
                <c:pt idx="97">
                  <c:v>41671</c:v>
                </c:pt>
                <c:pt idx="98">
                  <c:v>41699</c:v>
                </c:pt>
                <c:pt idx="99">
                  <c:v>41730</c:v>
                </c:pt>
                <c:pt idx="100">
                  <c:v>41760</c:v>
                </c:pt>
                <c:pt idx="101">
                  <c:v>41791</c:v>
                </c:pt>
                <c:pt idx="102">
                  <c:v>41821</c:v>
                </c:pt>
                <c:pt idx="103">
                  <c:v>41852</c:v>
                </c:pt>
                <c:pt idx="104">
                  <c:v>41883</c:v>
                </c:pt>
                <c:pt idx="105">
                  <c:v>41913</c:v>
                </c:pt>
                <c:pt idx="106">
                  <c:v>41944</c:v>
                </c:pt>
                <c:pt idx="107">
                  <c:v>41974</c:v>
                </c:pt>
                <c:pt idx="108">
                  <c:v>42005</c:v>
                </c:pt>
                <c:pt idx="109">
                  <c:v>42036</c:v>
                </c:pt>
                <c:pt idx="110">
                  <c:v>42064</c:v>
                </c:pt>
                <c:pt idx="111">
                  <c:v>42095</c:v>
                </c:pt>
                <c:pt idx="112">
                  <c:v>42125</c:v>
                </c:pt>
                <c:pt idx="113">
                  <c:v>42156</c:v>
                </c:pt>
                <c:pt idx="114">
                  <c:v>42186</c:v>
                </c:pt>
                <c:pt idx="115">
                  <c:v>42217</c:v>
                </c:pt>
                <c:pt idx="116">
                  <c:v>42248</c:v>
                </c:pt>
                <c:pt idx="117">
                  <c:v>42278</c:v>
                </c:pt>
                <c:pt idx="118">
                  <c:v>42309</c:v>
                </c:pt>
                <c:pt idx="119">
                  <c:v>42339</c:v>
                </c:pt>
                <c:pt idx="120">
                  <c:v>42370</c:v>
                </c:pt>
                <c:pt idx="121">
                  <c:v>42401</c:v>
                </c:pt>
                <c:pt idx="122">
                  <c:v>42430</c:v>
                </c:pt>
                <c:pt idx="123">
                  <c:v>42461</c:v>
                </c:pt>
                <c:pt idx="124">
                  <c:v>42491</c:v>
                </c:pt>
                <c:pt idx="125">
                  <c:v>42522</c:v>
                </c:pt>
                <c:pt idx="126">
                  <c:v>42552</c:v>
                </c:pt>
                <c:pt idx="127">
                  <c:v>42583</c:v>
                </c:pt>
                <c:pt idx="128">
                  <c:v>42614</c:v>
                </c:pt>
                <c:pt idx="129">
                  <c:v>42644</c:v>
                </c:pt>
                <c:pt idx="130">
                  <c:v>42675</c:v>
                </c:pt>
                <c:pt idx="131">
                  <c:v>42705</c:v>
                </c:pt>
                <c:pt idx="132">
                  <c:v>42736</c:v>
                </c:pt>
                <c:pt idx="133">
                  <c:v>42767</c:v>
                </c:pt>
                <c:pt idx="134">
                  <c:v>42795</c:v>
                </c:pt>
                <c:pt idx="135">
                  <c:v>42826</c:v>
                </c:pt>
                <c:pt idx="136">
                  <c:v>42856</c:v>
                </c:pt>
                <c:pt idx="137">
                  <c:v>42887</c:v>
                </c:pt>
                <c:pt idx="138">
                  <c:v>42917</c:v>
                </c:pt>
                <c:pt idx="139">
                  <c:v>42948</c:v>
                </c:pt>
                <c:pt idx="140">
                  <c:v>42979</c:v>
                </c:pt>
                <c:pt idx="141">
                  <c:v>43009</c:v>
                </c:pt>
                <c:pt idx="142">
                  <c:v>43040</c:v>
                </c:pt>
                <c:pt idx="143">
                  <c:v>43070</c:v>
                </c:pt>
                <c:pt idx="144">
                  <c:v>43101</c:v>
                </c:pt>
                <c:pt idx="145">
                  <c:v>43132</c:v>
                </c:pt>
                <c:pt idx="146">
                  <c:v>43160</c:v>
                </c:pt>
                <c:pt idx="147">
                  <c:v>43191</c:v>
                </c:pt>
                <c:pt idx="148">
                  <c:v>43221</c:v>
                </c:pt>
                <c:pt idx="149">
                  <c:v>43252</c:v>
                </c:pt>
                <c:pt idx="150">
                  <c:v>43282</c:v>
                </c:pt>
                <c:pt idx="151">
                  <c:v>43313</c:v>
                </c:pt>
                <c:pt idx="152">
                  <c:v>43344</c:v>
                </c:pt>
                <c:pt idx="153">
                  <c:v>43374</c:v>
                </c:pt>
                <c:pt idx="154">
                  <c:v>43405</c:v>
                </c:pt>
                <c:pt idx="155">
                  <c:v>43435</c:v>
                </c:pt>
                <c:pt idx="156">
                  <c:v>43466</c:v>
                </c:pt>
                <c:pt idx="157">
                  <c:v>43497</c:v>
                </c:pt>
                <c:pt idx="158">
                  <c:v>43525</c:v>
                </c:pt>
                <c:pt idx="159">
                  <c:v>43556</c:v>
                </c:pt>
                <c:pt idx="160">
                  <c:v>43586</c:v>
                </c:pt>
                <c:pt idx="161">
                  <c:v>43617</c:v>
                </c:pt>
                <c:pt idx="162">
                  <c:v>43647</c:v>
                </c:pt>
                <c:pt idx="163">
                  <c:v>43678</c:v>
                </c:pt>
                <c:pt idx="164">
                  <c:v>43709</c:v>
                </c:pt>
                <c:pt idx="165">
                  <c:v>43739</c:v>
                </c:pt>
                <c:pt idx="166">
                  <c:v>43770</c:v>
                </c:pt>
                <c:pt idx="167">
                  <c:v>43800</c:v>
                </c:pt>
                <c:pt idx="168">
                  <c:v>43831</c:v>
                </c:pt>
                <c:pt idx="169">
                  <c:v>43862</c:v>
                </c:pt>
                <c:pt idx="170">
                  <c:v>43891</c:v>
                </c:pt>
                <c:pt idx="171">
                  <c:v>43922</c:v>
                </c:pt>
                <c:pt idx="172">
                  <c:v>43952</c:v>
                </c:pt>
                <c:pt idx="173">
                  <c:v>43983</c:v>
                </c:pt>
                <c:pt idx="174">
                  <c:v>44013</c:v>
                </c:pt>
                <c:pt idx="175">
                  <c:v>44044</c:v>
                </c:pt>
                <c:pt idx="176">
                  <c:v>44075</c:v>
                </c:pt>
                <c:pt idx="177">
                  <c:v>44105</c:v>
                </c:pt>
                <c:pt idx="178">
                  <c:v>44136</c:v>
                </c:pt>
                <c:pt idx="179">
                  <c:v>44166</c:v>
                </c:pt>
                <c:pt idx="180">
                  <c:v>44197</c:v>
                </c:pt>
                <c:pt idx="181">
                  <c:v>44228</c:v>
                </c:pt>
                <c:pt idx="182">
                  <c:v>44256</c:v>
                </c:pt>
                <c:pt idx="183">
                  <c:v>44287</c:v>
                </c:pt>
                <c:pt idx="184">
                  <c:v>44317</c:v>
                </c:pt>
                <c:pt idx="185">
                  <c:v>44348</c:v>
                </c:pt>
                <c:pt idx="186">
                  <c:v>44378</c:v>
                </c:pt>
                <c:pt idx="187">
                  <c:v>44409</c:v>
                </c:pt>
                <c:pt idx="188">
                  <c:v>44440</c:v>
                </c:pt>
                <c:pt idx="189">
                  <c:v>44470</c:v>
                </c:pt>
                <c:pt idx="190">
                  <c:v>44501</c:v>
                </c:pt>
                <c:pt idx="191">
                  <c:v>44531</c:v>
                </c:pt>
                <c:pt idx="192">
                  <c:v>44562</c:v>
                </c:pt>
                <c:pt idx="193">
                  <c:v>44593</c:v>
                </c:pt>
                <c:pt idx="194">
                  <c:v>44621</c:v>
                </c:pt>
                <c:pt idx="195">
                  <c:v>44652</c:v>
                </c:pt>
                <c:pt idx="196">
                  <c:v>44682</c:v>
                </c:pt>
                <c:pt idx="197">
                  <c:v>44713</c:v>
                </c:pt>
                <c:pt idx="198">
                  <c:v>44743</c:v>
                </c:pt>
                <c:pt idx="199">
                  <c:v>44774</c:v>
                </c:pt>
                <c:pt idx="200">
                  <c:v>44805</c:v>
                </c:pt>
                <c:pt idx="201">
                  <c:v>44835</c:v>
                </c:pt>
                <c:pt idx="202">
                  <c:v>44866</c:v>
                </c:pt>
                <c:pt idx="203">
                  <c:v>44896</c:v>
                </c:pt>
                <c:pt idx="204">
                  <c:v>44927</c:v>
                </c:pt>
                <c:pt idx="205">
                  <c:v>44958</c:v>
                </c:pt>
                <c:pt idx="206">
                  <c:v>44986</c:v>
                </c:pt>
                <c:pt idx="207">
                  <c:v>45017</c:v>
                </c:pt>
                <c:pt idx="208">
                  <c:v>45047</c:v>
                </c:pt>
                <c:pt idx="209">
                  <c:v>45078</c:v>
                </c:pt>
                <c:pt idx="210">
                  <c:v>45108</c:v>
                </c:pt>
                <c:pt idx="211">
                  <c:v>45139</c:v>
                </c:pt>
                <c:pt idx="212">
                  <c:v>45170</c:v>
                </c:pt>
                <c:pt idx="213">
                  <c:v>45200</c:v>
                </c:pt>
                <c:pt idx="214">
                  <c:v>45231</c:v>
                </c:pt>
                <c:pt idx="215">
                  <c:v>45261</c:v>
                </c:pt>
                <c:pt idx="216">
                  <c:v>45292</c:v>
                </c:pt>
                <c:pt idx="217">
                  <c:v>45323</c:v>
                </c:pt>
                <c:pt idx="218">
                  <c:v>45352</c:v>
                </c:pt>
                <c:pt idx="219">
                  <c:v>45383</c:v>
                </c:pt>
                <c:pt idx="220">
                  <c:v>45413</c:v>
                </c:pt>
                <c:pt idx="221">
                  <c:v>45444</c:v>
                </c:pt>
              </c:numCache>
            </c:numRef>
          </c:cat>
          <c:val>
            <c:numRef>
              <c:f>'NLIV UE timeseries plot (Fig.5)'!$G$2:$G$223</c:f>
              <c:numCache>
                <c:formatCode>0.0%</c:formatCode>
                <c:ptCount val="222"/>
                <c:pt idx="0">
                  <c:v>5.1612694000000001E-2</c:v>
                </c:pt>
                <c:pt idx="1">
                  <c:v>5.1025467999999997E-2</c:v>
                </c:pt>
                <c:pt idx="2">
                  <c:v>4.8663714999999996E-2</c:v>
                </c:pt>
                <c:pt idx="3">
                  <c:v>4.9646017000000001E-2</c:v>
                </c:pt>
                <c:pt idx="4">
                  <c:v>4.7974712999999995E-2</c:v>
                </c:pt>
                <c:pt idx="5">
                  <c:v>4.8074475999999998E-2</c:v>
                </c:pt>
                <c:pt idx="6">
                  <c:v>4.6558173000000001E-2</c:v>
                </c:pt>
                <c:pt idx="7">
                  <c:v>4.7117274000000001E-2</c:v>
                </c:pt>
                <c:pt idx="8">
                  <c:v>4.6652307000000004E-2</c:v>
                </c:pt>
                <c:pt idx="9">
                  <c:v>4.4624929000000001E-2</c:v>
                </c:pt>
                <c:pt idx="10">
                  <c:v>4.5143270999999999E-2</c:v>
                </c:pt>
                <c:pt idx="11">
                  <c:v>4.5672414000000001E-2</c:v>
                </c:pt>
                <c:pt idx="12">
                  <c:v>4.5528703999999996E-2</c:v>
                </c:pt>
                <c:pt idx="13">
                  <c:v>4.6335971999999996E-2</c:v>
                </c:pt>
                <c:pt idx="14">
                  <c:v>4.4590041999999996E-2</c:v>
                </c:pt>
                <c:pt idx="15">
                  <c:v>4.3851680999999997E-2</c:v>
                </c:pt>
                <c:pt idx="16">
                  <c:v>4.2638162E-2</c:v>
                </c:pt>
                <c:pt idx="17">
                  <c:v>4.3235439000000001E-2</c:v>
                </c:pt>
                <c:pt idx="18">
                  <c:v>4.2523581999999997E-2</c:v>
                </c:pt>
                <c:pt idx="19">
                  <c:v>4.2986239000000002E-2</c:v>
                </c:pt>
                <c:pt idx="20">
                  <c:v>4.2126096000000002E-2</c:v>
                </c:pt>
                <c:pt idx="21">
                  <c:v>4.3254568000000007E-2</c:v>
                </c:pt>
                <c:pt idx="22">
                  <c:v>4.4261000000000002E-2</c:v>
                </c:pt>
                <c:pt idx="23">
                  <c:v>4.3076252999999995E-2</c:v>
                </c:pt>
                <c:pt idx="24">
                  <c:v>4.2212473E-2</c:v>
                </c:pt>
                <c:pt idx="25">
                  <c:v>3.9781440000000001E-2</c:v>
                </c:pt>
                <c:pt idx="26">
                  <c:v>4.0565084999999994E-2</c:v>
                </c:pt>
                <c:pt idx="27">
                  <c:v>4.2647127999999999E-2</c:v>
                </c:pt>
                <c:pt idx="28">
                  <c:v>4.2658135E-2</c:v>
                </c:pt>
                <c:pt idx="29">
                  <c:v>4.2430518E-2</c:v>
                </c:pt>
                <c:pt idx="30">
                  <c:v>4.2493908999999996E-2</c:v>
                </c:pt>
                <c:pt idx="31">
                  <c:v>4.0150066000000005E-2</c:v>
                </c:pt>
                <c:pt idx="32">
                  <c:v>4.2884469000000001E-2</c:v>
                </c:pt>
                <c:pt idx="33">
                  <c:v>4.2893169000000002E-2</c:v>
                </c:pt>
                <c:pt idx="34">
                  <c:v>4.4621885999999999E-2</c:v>
                </c:pt>
                <c:pt idx="35">
                  <c:v>4.5693020000000001E-2</c:v>
                </c:pt>
                <c:pt idx="36">
                  <c:v>4.9070840999999997E-2</c:v>
                </c:pt>
                <c:pt idx="37">
                  <c:v>5.3010504999999999E-2</c:v>
                </c:pt>
                <c:pt idx="38">
                  <c:v>5.7105474999999996E-2</c:v>
                </c:pt>
                <c:pt idx="39">
                  <c:v>5.5120637E-2</c:v>
                </c:pt>
                <c:pt idx="40">
                  <c:v>5.8114223E-2</c:v>
                </c:pt>
                <c:pt idx="41">
                  <c:v>5.8611597000000001E-2</c:v>
                </c:pt>
                <c:pt idx="42">
                  <c:v>5.6712257000000002E-2</c:v>
                </c:pt>
                <c:pt idx="43">
                  <c:v>5.7143371999999998E-2</c:v>
                </c:pt>
                <c:pt idx="44">
                  <c:v>5.6609769999999997E-2</c:v>
                </c:pt>
                <c:pt idx="45">
                  <c:v>5.6226583000000004E-2</c:v>
                </c:pt>
                <c:pt idx="46">
                  <c:v>5.5578590999999997E-2</c:v>
                </c:pt>
                <c:pt idx="47">
                  <c:v>5.4903801000000002E-2</c:v>
                </c:pt>
                <c:pt idx="48">
                  <c:v>5.2650401999999999E-2</c:v>
                </c:pt>
                <c:pt idx="49">
                  <c:v>5.2963707999999998E-2</c:v>
                </c:pt>
                <c:pt idx="50">
                  <c:v>5.4219616000000005E-2</c:v>
                </c:pt>
                <c:pt idx="51">
                  <c:v>5.4976561000000007E-2</c:v>
                </c:pt>
                <c:pt idx="52">
                  <c:v>5.2292911999999997E-2</c:v>
                </c:pt>
                <c:pt idx="53">
                  <c:v>5.1439943000000002E-2</c:v>
                </c:pt>
                <c:pt idx="54">
                  <c:v>5.2862017999999997E-2</c:v>
                </c:pt>
                <c:pt idx="55">
                  <c:v>5.0319298000000005E-2</c:v>
                </c:pt>
                <c:pt idx="56">
                  <c:v>5.0534603999999997E-2</c:v>
                </c:pt>
                <c:pt idx="57">
                  <c:v>5.2838016000000002E-2</c:v>
                </c:pt>
                <c:pt idx="58">
                  <c:v>5.1084645999999997E-2</c:v>
                </c:pt>
                <c:pt idx="59">
                  <c:v>4.8761444999999994E-2</c:v>
                </c:pt>
                <c:pt idx="60">
                  <c:v>5.0022319000000003E-2</c:v>
                </c:pt>
                <c:pt idx="61">
                  <c:v>4.9702178000000007E-2</c:v>
                </c:pt>
                <c:pt idx="62">
                  <c:v>4.9258629000000005E-2</c:v>
                </c:pt>
                <c:pt idx="63">
                  <c:v>4.9583829000000003E-2</c:v>
                </c:pt>
                <c:pt idx="64">
                  <c:v>5.0132877999999999E-2</c:v>
                </c:pt>
                <c:pt idx="65">
                  <c:v>4.9168155000000005E-2</c:v>
                </c:pt>
                <c:pt idx="66">
                  <c:v>5.0904062999999999E-2</c:v>
                </c:pt>
                <c:pt idx="67">
                  <c:v>5.2699869000000003E-2</c:v>
                </c:pt>
                <c:pt idx="68">
                  <c:v>5.2208392999999999E-2</c:v>
                </c:pt>
                <c:pt idx="69">
                  <c:v>5.1868407000000005E-2</c:v>
                </c:pt>
                <c:pt idx="70">
                  <c:v>5.2305735999999999E-2</c:v>
                </c:pt>
                <c:pt idx="71">
                  <c:v>5.1958882999999997E-2</c:v>
                </c:pt>
                <c:pt idx="72">
                  <c:v>5.0465527999999996E-2</c:v>
                </c:pt>
                <c:pt idx="73">
                  <c:v>5.1902042000000002E-2</c:v>
                </c:pt>
                <c:pt idx="74">
                  <c:v>5.1825533000000007E-2</c:v>
                </c:pt>
                <c:pt idx="75">
                  <c:v>4.9934333999999997E-2</c:v>
                </c:pt>
                <c:pt idx="76">
                  <c:v>5.2006626E-2</c:v>
                </c:pt>
                <c:pt idx="77">
                  <c:v>5.1627951999999998E-2</c:v>
                </c:pt>
                <c:pt idx="78">
                  <c:v>5.1794162999999997E-2</c:v>
                </c:pt>
                <c:pt idx="79">
                  <c:v>5.1567610999999999E-2</c:v>
                </c:pt>
                <c:pt idx="80">
                  <c:v>5.4873485999999999E-2</c:v>
                </c:pt>
                <c:pt idx="81">
                  <c:v>5.4096164000000002E-2</c:v>
                </c:pt>
                <c:pt idx="82">
                  <c:v>5.2563313E-2</c:v>
                </c:pt>
                <c:pt idx="83">
                  <c:v>5.4312592999999999E-2</c:v>
                </c:pt>
                <c:pt idx="84">
                  <c:v>5.3881582000000004E-2</c:v>
                </c:pt>
                <c:pt idx="85">
                  <c:v>5.3927880999999997E-2</c:v>
                </c:pt>
                <c:pt idx="86">
                  <c:v>5.6397415999999999E-2</c:v>
                </c:pt>
                <c:pt idx="87">
                  <c:v>5.5873647999999998E-2</c:v>
                </c:pt>
                <c:pt idx="88">
                  <c:v>5.6102945000000001E-2</c:v>
                </c:pt>
                <c:pt idx="89">
                  <c:v>5.6955671999999999E-2</c:v>
                </c:pt>
                <c:pt idx="90">
                  <c:v>5.6324807999999997E-2</c:v>
                </c:pt>
                <c:pt idx="91">
                  <c:v>5.8433571999999996E-2</c:v>
                </c:pt>
                <c:pt idx="92">
                  <c:v>5.7049631999999996E-2</c:v>
                </c:pt>
                <c:pt idx="93">
                  <c:v>5.8229106000000003E-2</c:v>
                </c:pt>
                <c:pt idx="94">
                  <c:v>5.7961558000000003E-2</c:v>
                </c:pt>
                <c:pt idx="95">
                  <c:v>5.8991230999999998E-2</c:v>
                </c:pt>
                <c:pt idx="96">
                  <c:v>5.9442899999999993E-2</c:v>
                </c:pt>
                <c:pt idx="97">
                  <c:v>5.8753837999999996E-2</c:v>
                </c:pt>
                <c:pt idx="98">
                  <c:v>5.874269E-2</c:v>
                </c:pt>
                <c:pt idx="99">
                  <c:v>5.8027052000000003E-2</c:v>
                </c:pt>
                <c:pt idx="100">
                  <c:v>5.9307964000000005E-2</c:v>
                </c:pt>
                <c:pt idx="101">
                  <c:v>6.0490096E-2</c:v>
                </c:pt>
                <c:pt idx="102">
                  <c:v>6.1805276999999999E-2</c:v>
                </c:pt>
                <c:pt idx="103">
                  <c:v>6.1068844999999997E-2</c:v>
                </c:pt>
                <c:pt idx="104">
                  <c:v>6.2369290000000001E-2</c:v>
                </c:pt>
                <c:pt idx="105">
                  <c:v>6.3580291000000011E-2</c:v>
                </c:pt>
                <c:pt idx="106">
                  <c:v>6.2964891999999995E-2</c:v>
                </c:pt>
                <c:pt idx="107">
                  <c:v>6.1026977999999996E-2</c:v>
                </c:pt>
                <c:pt idx="108">
                  <c:v>6.3485348999999996E-2</c:v>
                </c:pt>
                <c:pt idx="109">
                  <c:v>6.1529493000000005E-2</c:v>
                </c:pt>
                <c:pt idx="110">
                  <c:v>6.1023811999999997E-2</c:v>
                </c:pt>
                <c:pt idx="111">
                  <c:v>6.1104421999999999E-2</c:v>
                </c:pt>
                <c:pt idx="112">
                  <c:v>5.9318141999999997E-2</c:v>
                </c:pt>
                <c:pt idx="113">
                  <c:v>6.0083523999999999E-2</c:v>
                </c:pt>
                <c:pt idx="114">
                  <c:v>6.2841127999999996E-2</c:v>
                </c:pt>
                <c:pt idx="115">
                  <c:v>6.0897256999999996E-2</c:v>
                </c:pt>
                <c:pt idx="116">
                  <c:v>6.1740863999999999E-2</c:v>
                </c:pt>
                <c:pt idx="117">
                  <c:v>5.9145966000000001E-2</c:v>
                </c:pt>
                <c:pt idx="118">
                  <c:v>5.8500191999999999E-2</c:v>
                </c:pt>
                <c:pt idx="119">
                  <c:v>5.7364717000000003E-2</c:v>
                </c:pt>
                <c:pt idx="120">
                  <c:v>6.0375759999999994E-2</c:v>
                </c:pt>
                <c:pt idx="121">
                  <c:v>5.6930139000000005E-2</c:v>
                </c:pt>
                <c:pt idx="122">
                  <c:v>5.6520747000000003E-2</c:v>
                </c:pt>
                <c:pt idx="123">
                  <c:v>5.6431407000000003E-2</c:v>
                </c:pt>
                <c:pt idx="124">
                  <c:v>5.7218471E-2</c:v>
                </c:pt>
                <c:pt idx="125">
                  <c:v>5.6961291999999997E-2</c:v>
                </c:pt>
                <c:pt idx="126">
                  <c:v>5.7053732000000003E-2</c:v>
                </c:pt>
                <c:pt idx="127">
                  <c:v>5.6202145000000002E-2</c:v>
                </c:pt>
                <c:pt idx="128">
                  <c:v>5.6673128000000003E-2</c:v>
                </c:pt>
                <c:pt idx="129">
                  <c:v>5.6029555000000002E-2</c:v>
                </c:pt>
                <c:pt idx="130">
                  <c:v>5.7678558000000005E-2</c:v>
                </c:pt>
                <c:pt idx="131">
                  <c:v>5.8295275000000001E-2</c:v>
                </c:pt>
                <c:pt idx="132">
                  <c:v>5.6795094999999997E-2</c:v>
                </c:pt>
                <c:pt idx="133">
                  <c:v>5.8906802999999994E-2</c:v>
                </c:pt>
                <c:pt idx="134">
                  <c:v>5.8464600999999998E-2</c:v>
                </c:pt>
                <c:pt idx="135">
                  <c:v>5.6045211999999997E-2</c:v>
                </c:pt>
                <c:pt idx="136">
                  <c:v>5.5470288E-2</c:v>
                </c:pt>
                <c:pt idx="137">
                  <c:v>5.6243130000000002E-2</c:v>
                </c:pt>
                <c:pt idx="138">
                  <c:v>5.6206854999999993E-2</c:v>
                </c:pt>
                <c:pt idx="139">
                  <c:v>5.5325884999999998E-2</c:v>
                </c:pt>
                <c:pt idx="140">
                  <c:v>5.4635734999999998E-2</c:v>
                </c:pt>
                <c:pt idx="141">
                  <c:v>5.4089764999999998E-2</c:v>
                </c:pt>
                <c:pt idx="142">
                  <c:v>5.4526519999999995E-2</c:v>
                </c:pt>
                <c:pt idx="143">
                  <c:v>5.6040032999999996E-2</c:v>
                </c:pt>
                <c:pt idx="144">
                  <c:v>5.5179125999999995E-2</c:v>
                </c:pt>
                <c:pt idx="145">
                  <c:v>5.5773680999999999E-2</c:v>
                </c:pt>
                <c:pt idx="146">
                  <c:v>5.5316483E-2</c:v>
                </c:pt>
                <c:pt idx="147">
                  <c:v>5.5361425000000006E-2</c:v>
                </c:pt>
                <c:pt idx="148">
                  <c:v>5.4340282000000004E-2</c:v>
                </c:pt>
                <c:pt idx="149">
                  <c:v>5.3411353999999994E-2</c:v>
                </c:pt>
                <c:pt idx="150">
                  <c:v>5.3192899000000002E-2</c:v>
                </c:pt>
                <c:pt idx="151">
                  <c:v>5.2497771999999998E-2</c:v>
                </c:pt>
                <c:pt idx="152">
                  <c:v>5.0188838E-2</c:v>
                </c:pt>
                <c:pt idx="153">
                  <c:v>5.0107011000000007E-2</c:v>
                </c:pt>
                <c:pt idx="154">
                  <c:v>5.1052362000000004E-2</c:v>
                </c:pt>
                <c:pt idx="155">
                  <c:v>5.0042438999999994E-2</c:v>
                </c:pt>
                <c:pt idx="156">
                  <c:v>5.0423023999999997E-2</c:v>
                </c:pt>
                <c:pt idx="157">
                  <c:v>4.9856865E-2</c:v>
                </c:pt>
                <c:pt idx="158">
                  <c:v>5.0919332999999997E-2</c:v>
                </c:pt>
                <c:pt idx="159">
                  <c:v>5.2092080000000006E-2</c:v>
                </c:pt>
                <c:pt idx="160">
                  <c:v>5.1943958999999998E-2</c:v>
                </c:pt>
                <c:pt idx="161">
                  <c:v>5.2565293999999999E-2</c:v>
                </c:pt>
                <c:pt idx="162">
                  <c:v>5.3117302999999998E-2</c:v>
                </c:pt>
                <c:pt idx="163">
                  <c:v>5.2705155000000004E-2</c:v>
                </c:pt>
                <c:pt idx="164">
                  <c:v>5.2239819E-2</c:v>
                </c:pt>
                <c:pt idx="165">
                  <c:v>5.3161516999999998E-2</c:v>
                </c:pt>
                <c:pt idx="166">
                  <c:v>5.1644828000000004E-2</c:v>
                </c:pt>
                <c:pt idx="167">
                  <c:v>5.0232989000000006E-2</c:v>
                </c:pt>
                <c:pt idx="168">
                  <c:v>5.2401514000000003E-2</c:v>
                </c:pt>
                <c:pt idx="169">
                  <c:v>5.1048185999999995E-2</c:v>
                </c:pt>
                <c:pt idx="170">
                  <c:v>5.1971755000000001E-2</c:v>
                </c:pt>
                <c:pt idx="171">
                  <c:v>6.2889061999999996E-2</c:v>
                </c:pt>
                <c:pt idx="172">
                  <c:v>6.9805148999999997E-2</c:v>
                </c:pt>
                <c:pt idx="173">
                  <c:v>7.4158876999999998E-2</c:v>
                </c:pt>
                <c:pt idx="174">
                  <c:v>7.5031766999999999E-2</c:v>
                </c:pt>
                <c:pt idx="175">
                  <c:v>6.8172767999999995E-2</c:v>
                </c:pt>
                <c:pt idx="176">
                  <c:v>6.9223767000000005E-2</c:v>
                </c:pt>
                <c:pt idx="177">
                  <c:v>6.9764253999999998E-2</c:v>
                </c:pt>
                <c:pt idx="178">
                  <c:v>6.7915930999999999E-2</c:v>
                </c:pt>
                <c:pt idx="179">
                  <c:v>6.5311958000000003E-2</c:v>
                </c:pt>
                <c:pt idx="180">
                  <c:v>6.2699892000000007E-2</c:v>
                </c:pt>
                <c:pt idx="181">
                  <c:v>5.8366950000000001E-2</c:v>
                </c:pt>
                <c:pt idx="182">
                  <c:v>5.6658799000000003E-2</c:v>
                </c:pt>
                <c:pt idx="183">
                  <c:v>5.4543741E-2</c:v>
                </c:pt>
                <c:pt idx="184">
                  <c:v>5.0956564999999995E-2</c:v>
                </c:pt>
                <c:pt idx="185">
                  <c:v>5.0209981000000001E-2</c:v>
                </c:pt>
                <c:pt idx="186">
                  <c:v>4.7759776000000004E-2</c:v>
                </c:pt>
                <c:pt idx="187">
                  <c:v>4.5948350999999998E-2</c:v>
                </c:pt>
                <c:pt idx="188">
                  <c:v>4.7067681E-2</c:v>
                </c:pt>
                <c:pt idx="189">
                  <c:v>5.2678029000000001E-2</c:v>
                </c:pt>
                <c:pt idx="190">
                  <c:v>4.6136341999999997E-2</c:v>
                </c:pt>
                <c:pt idx="191">
                  <c:v>4.1789491999999998E-2</c:v>
                </c:pt>
                <c:pt idx="192">
                  <c:v>4.1623574999999996E-2</c:v>
                </c:pt>
                <c:pt idx="193">
                  <c:v>4.0222477000000006E-2</c:v>
                </c:pt>
                <c:pt idx="194">
                  <c:v>3.9727549000000001E-2</c:v>
                </c:pt>
                <c:pt idx="195">
                  <c:v>3.8449882999999997E-2</c:v>
                </c:pt>
                <c:pt idx="196">
                  <c:v>3.9259467999999999E-2</c:v>
                </c:pt>
                <c:pt idx="197">
                  <c:v>3.6078078E-2</c:v>
                </c:pt>
                <c:pt idx="198">
                  <c:v>3.4951225000000002E-2</c:v>
                </c:pt>
                <c:pt idx="199">
                  <c:v>3.5504823999999997E-2</c:v>
                </c:pt>
                <c:pt idx="200">
                  <c:v>3.6036114000000001E-2</c:v>
                </c:pt>
                <c:pt idx="201">
                  <c:v>3.4580833000000005E-2</c:v>
                </c:pt>
                <c:pt idx="202">
                  <c:v>3.4968647999999998E-2</c:v>
                </c:pt>
                <c:pt idx="203">
                  <c:v>3.4930485999999997E-2</c:v>
                </c:pt>
                <c:pt idx="204">
                  <c:v>3.6560836999999999E-2</c:v>
                </c:pt>
                <c:pt idx="205">
                  <c:v>3.5962507000000005E-2</c:v>
                </c:pt>
                <c:pt idx="206">
                  <c:v>3.5777801999999997E-2</c:v>
                </c:pt>
                <c:pt idx="207">
                  <c:v>3.6957021E-2</c:v>
                </c:pt>
                <c:pt idx="208">
                  <c:v>3.5737663999999995E-2</c:v>
                </c:pt>
                <c:pt idx="209">
                  <c:v>3.5268082999999999E-2</c:v>
                </c:pt>
                <c:pt idx="210">
                  <c:v>3.7712938000000001E-2</c:v>
                </c:pt>
                <c:pt idx="211">
                  <c:v>3.7064952999999998E-2</c:v>
                </c:pt>
                <c:pt idx="212">
                  <c:v>3.5714652999999999E-2</c:v>
                </c:pt>
                <c:pt idx="213">
                  <c:v>3.7996705999999998E-2</c:v>
                </c:pt>
                <c:pt idx="214">
                  <c:v>3.9076028999999998E-2</c:v>
                </c:pt>
                <c:pt idx="215">
                  <c:v>3.9459988000000001E-2</c:v>
                </c:pt>
                <c:pt idx="216">
                  <c:v>4.0814823E-2</c:v>
                </c:pt>
                <c:pt idx="217">
                  <c:v>3.7227151999999999E-2</c:v>
                </c:pt>
                <c:pt idx="218">
                  <c:v>3.8754129999999998E-2</c:v>
                </c:pt>
                <c:pt idx="219">
                  <c:v>4.0721822000000005E-2</c:v>
                </c:pt>
                <c:pt idx="220">
                  <c:v>4.0024007E-2</c:v>
                </c:pt>
                <c:pt idx="221">
                  <c:v>4.0509074999999999E-2</c:v>
                </c:pt>
              </c:numCache>
            </c:numRef>
          </c:val>
          <c:smooth val="0"/>
          <c:extLst>
            <c:ext xmlns:c16="http://schemas.microsoft.com/office/drawing/2014/chart" uri="{C3380CC4-5D6E-409C-BE32-E72D297353CC}">
              <c16:uniqueId val="{00000001-48F8-4589-BEFB-E329B769C7F8}"/>
            </c:ext>
          </c:extLst>
        </c:ser>
        <c:dLbls>
          <c:showLegendKey val="0"/>
          <c:showVal val="0"/>
          <c:showCatName val="0"/>
          <c:showSerName val="0"/>
          <c:showPercent val="0"/>
          <c:showBubbleSize val="0"/>
        </c:dLbls>
        <c:marker val="1"/>
        <c:smooth val="0"/>
        <c:axId val="1624072144"/>
        <c:axId val="1040526544"/>
      </c:lineChart>
      <c:dateAx>
        <c:axId val="1615677536"/>
        <c:scaling>
          <c:orientation val="minMax"/>
          <c:max val="45444"/>
          <c:min val="39600"/>
        </c:scaling>
        <c:delete val="0"/>
        <c:axPos val="b"/>
        <c:numFmt formatCode="mmm\-yy" sourceLinked="0"/>
        <c:majorTickMark val="out"/>
        <c:minorTickMark val="none"/>
        <c:tickLblPos val="nextTo"/>
        <c:spPr>
          <a:noFill/>
          <a:ln w="9525" cap="flat" cmpd="sng" algn="ctr">
            <a:solidFill>
              <a:schemeClr val="tx1"/>
            </a:solidFill>
            <a:round/>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989843920"/>
        <c:crosses val="autoZero"/>
        <c:auto val="1"/>
        <c:lblOffset val="100"/>
        <c:baseTimeUnit val="months"/>
        <c:majorUnit val="4"/>
        <c:majorTimeUnit val="years"/>
      </c:dateAx>
      <c:valAx>
        <c:axId val="989843920"/>
        <c:scaling>
          <c:orientation val="minMax"/>
          <c:max val="400"/>
        </c:scaling>
        <c:delete val="0"/>
        <c:axPos val="l"/>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AU"/>
                  <a:t>Job advertisements ('000s)</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 sourceLinked="0"/>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615677536"/>
        <c:crosses val="autoZero"/>
        <c:crossBetween val="between"/>
        <c:majorUnit val="100"/>
      </c:valAx>
      <c:valAx>
        <c:axId val="1040526544"/>
        <c:scaling>
          <c:orientation val="minMax"/>
          <c:min val="0"/>
        </c:scaling>
        <c:delete val="0"/>
        <c:axPos val="r"/>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AU"/>
                  <a:t>Unemployment rate</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 sourceLinked="0"/>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624072144"/>
        <c:crosses val="max"/>
        <c:crossBetween val="between"/>
        <c:majorUnit val="2.0000000000000004E-2"/>
      </c:valAx>
      <c:dateAx>
        <c:axId val="1624072144"/>
        <c:scaling>
          <c:orientation val="minMax"/>
        </c:scaling>
        <c:delete val="1"/>
        <c:axPos val="b"/>
        <c:numFmt formatCode="mmm\-yy" sourceLinked="1"/>
        <c:majorTickMark val="out"/>
        <c:minorTickMark val="none"/>
        <c:tickLblPos val="nextTo"/>
        <c:crossAx val="1040526544"/>
        <c:crosses val="autoZero"/>
        <c:auto val="1"/>
        <c:lblOffset val="100"/>
        <c:baseTimeUnit val="months"/>
      </c:dateAx>
      <c:spPr>
        <a:noFill/>
        <a:ln>
          <a:noFill/>
        </a:ln>
        <a:effectLst/>
      </c:spPr>
    </c:plotArea>
    <c:legend>
      <c:legendPos val="b"/>
      <c:layout>
        <c:manualLayout>
          <c:xMode val="edge"/>
          <c:yMode val="edge"/>
          <c:x val="7.5890563930764932E-2"/>
          <c:y val="0.83714557988645588"/>
          <c:w val="0.85046604550530425"/>
          <c:h val="0.1189809407948094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900">
          <a:latin typeface="Arial" panose="020B0604020202020204" pitchFamily="34" charset="0"/>
          <a:cs typeface="Arial" panose="020B0604020202020204" pitchFamily="34"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5918214563123138E-2"/>
          <c:y val="6.947007815114957E-2"/>
          <c:w val="0.80998569235064211"/>
          <c:h val="0.75829417017476719"/>
        </c:manualLayout>
      </c:layout>
      <c:lineChart>
        <c:grouping val="standard"/>
        <c:varyColors val="0"/>
        <c:ser>
          <c:idx val="1"/>
          <c:order val="1"/>
          <c:tx>
            <c:strRef>
              <c:f>'Figure 2'!$D$2</c:f>
              <c:strCache>
                <c:ptCount val="1"/>
                <c:pt idx="0">
                  <c:v>Recruitment difficulty rate (REOS) - monthly (LHS)</c:v>
                </c:pt>
              </c:strCache>
            </c:strRef>
          </c:tx>
          <c:spPr>
            <a:ln w="28575" cap="rnd">
              <a:solidFill>
                <a:srgbClr val="012749"/>
              </a:solidFill>
              <a:round/>
            </a:ln>
            <a:effectLst/>
          </c:spPr>
          <c:marker>
            <c:symbol val="none"/>
          </c:marker>
          <c:cat>
            <c:numRef>
              <c:f>'Figure 2'!$A$3:$A$27</c:f>
              <c:numCache>
                <c:formatCode>mmm\-yy</c:formatCode>
                <c:ptCount val="25"/>
                <c:pt idx="0">
                  <c:v>44713</c:v>
                </c:pt>
                <c:pt idx="1">
                  <c:v>44743</c:v>
                </c:pt>
                <c:pt idx="2">
                  <c:v>44774</c:v>
                </c:pt>
                <c:pt idx="3">
                  <c:v>44805</c:v>
                </c:pt>
                <c:pt idx="4">
                  <c:v>44835</c:v>
                </c:pt>
                <c:pt idx="5">
                  <c:v>44866</c:v>
                </c:pt>
                <c:pt idx="6">
                  <c:v>44896</c:v>
                </c:pt>
                <c:pt idx="7">
                  <c:v>44927</c:v>
                </c:pt>
                <c:pt idx="8">
                  <c:v>44958</c:v>
                </c:pt>
                <c:pt idx="9">
                  <c:v>44986</c:v>
                </c:pt>
                <c:pt idx="10">
                  <c:v>45017</c:v>
                </c:pt>
                <c:pt idx="11">
                  <c:v>45047</c:v>
                </c:pt>
                <c:pt idx="12">
                  <c:v>45078</c:v>
                </c:pt>
                <c:pt idx="13">
                  <c:v>45108</c:v>
                </c:pt>
                <c:pt idx="14">
                  <c:v>45139</c:v>
                </c:pt>
                <c:pt idx="15">
                  <c:v>45170</c:v>
                </c:pt>
                <c:pt idx="16">
                  <c:v>45200</c:v>
                </c:pt>
                <c:pt idx="17">
                  <c:v>45231</c:v>
                </c:pt>
                <c:pt idx="18">
                  <c:v>45261</c:v>
                </c:pt>
                <c:pt idx="19">
                  <c:v>45292</c:v>
                </c:pt>
                <c:pt idx="20">
                  <c:v>45323</c:v>
                </c:pt>
                <c:pt idx="21">
                  <c:v>45352</c:v>
                </c:pt>
                <c:pt idx="22">
                  <c:v>45383</c:v>
                </c:pt>
                <c:pt idx="23">
                  <c:v>45413</c:v>
                </c:pt>
                <c:pt idx="24">
                  <c:v>45444</c:v>
                </c:pt>
              </c:numCache>
            </c:numRef>
          </c:cat>
          <c:val>
            <c:numRef>
              <c:f>'Figure 2'!$D$3:$D$27</c:f>
              <c:numCache>
                <c:formatCode>0%</c:formatCode>
                <c:ptCount val="25"/>
                <c:pt idx="0">
                  <c:v>0.67</c:v>
                </c:pt>
                <c:pt idx="1">
                  <c:v>0.75</c:v>
                </c:pt>
                <c:pt idx="2">
                  <c:v>0.74</c:v>
                </c:pt>
                <c:pt idx="3">
                  <c:v>0.67</c:v>
                </c:pt>
                <c:pt idx="4">
                  <c:v>0.7</c:v>
                </c:pt>
                <c:pt idx="5">
                  <c:v>0.69</c:v>
                </c:pt>
                <c:pt idx="6">
                  <c:v>0.65</c:v>
                </c:pt>
                <c:pt idx="7">
                  <c:v>0.56000000000000005</c:v>
                </c:pt>
                <c:pt idx="8">
                  <c:v>0.61</c:v>
                </c:pt>
                <c:pt idx="9">
                  <c:v>0.64</c:v>
                </c:pt>
                <c:pt idx="10">
                  <c:v>0.62</c:v>
                </c:pt>
                <c:pt idx="11">
                  <c:v>0.67</c:v>
                </c:pt>
                <c:pt idx="12">
                  <c:v>0.63</c:v>
                </c:pt>
                <c:pt idx="13">
                  <c:v>0.59</c:v>
                </c:pt>
                <c:pt idx="14">
                  <c:v>0.61</c:v>
                </c:pt>
                <c:pt idx="15">
                  <c:v>0.59</c:v>
                </c:pt>
                <c:pt idx="16">
                  <c:v>0.56000000000000005</c:v>
                </c:pt>
                <c:pt idx="17">
                  <c:v>0.56000000000000005</c:v>
                </c:pt>
                <c:pt idx="18">
                  <c:v>0.51</c:v>
                </c:pt>
                <c:pt idx="19">
                  <c:v>0.55000000000000004</c:v>
                </c:pt>
                <c:pt idx="20">
                  <c:v>0.54</c:v>
                </c:pt>
                <c:pt idx="21">
                  <c:v>0.5</c:v>
                </c:pt>
                <c:pt idx="22">
                  <c:v>0.53</c:v>
                </c:pt>
                <c:pt idx="23">
                  <c:v>0.56000000000000005</c:v>
                </c:pt>
                <c:pt idx="24">
                  <c:v>0.55000000000000004</c:v>
                </c:pt>
              </c:numCache>
            </c:numRef>
          </c:val>
          <c:smooth val="0"/>
          <c:extLst>
            <c:ext xmlns:c16="http://schemas.microsoft.com/office/drawing/2014/chart" uri="{C3380CC4-5D6E-409C-BE32-E72D297353CC}">
              <c16:uniqueId val="{00000000-2037-4BE4-82CF-33DB87342429}"/>
            </c:ext>
          </c:extLst>
        </c:ser>
        <c:ser>
          <c:idx val="2"/>
          <c:order val="2"/>
          <c:tx>
            <c:strRef>
              <c:f>'Figure 2'!$E$2</c:f>
              <c:strCache>
                <c:ptCount val="1"/>
                <c:pt idx="0">
                  <c:v>Fill rate (SERA) - quarterly (LHS)</c:v>
                </c:pt>
              </c:strCache>
            </c:strRef>
          </c:tx>
          <c:spPr>
            <a:ln w="28575" cap="rnd">
              <a:solidFill>
                <a:srgbClr val="6929C4"/>
              </a:solidFill>
              <a:round/>
            </a:ln>
            <a:effectLst/>
          </c:spPr>
          <c:marker>
            <c:symbol val="none"/>
          </c:marker>
          <c:cat>
            <c:numRef>
              <c:f>'Figure 2'!$A$3:$A$27</c:f>
              <c:numCache>
                <c:formatCode>mmm\-yy</c:formatCode>
                <c:ptCount val="25"/>
                <c:pt idx="0">
                  <c:v>44713</c:v>
                </c:pt>
                <c:pt idx="1">
                  <c:v>44743</c:v>
                </c:pt>
                <c:pt idx="2">
                  <c:v>44774</c:v>
                </c:pt>
                <c:pt idx="3">
                  <c:v>44805</c:v>
                </c:pt>
                <c:pt idx="4">
                  <c:v>44835</c:v>
                </c:pt>
                <c:pt idx="5">
                  <c:v>44866</c:v>
                </c:pt>
                <c:pt idx="6">
                  <c:v>44896</c:v>
                </c:pt>
                <c:pt idx="7">
                  <c:v>44927</c:v>
                </c:pt>
                <c:pt idx="8">
                  <c:v>44958</c:v>
                </c:pt>
                <c:pt idx="9">
                  <c:v>44986</c:v>
                </c:pt>
                <c:pt idx="10">
                  <c:v>45017</c:v>
                </c:pt>
                <c:pt idx="11">
                  <c:v>45047</c:v>
                </c:pt>
                <c:pt idx="12">
                  <c:v>45078</c:v>
                </c:pt>
                <c:pt idx="13">
                  <c:v>45108</c:v>
                </c:pt>
                <c:pt idx="14">
                  <c:v>45139</c:v>
                </c:pt>
                <c:pt idx="15">
                  <c:v>45170</c:v>
                </c:pt>
                <c:pt idx="16">
                  <c:v>45200</c:v>
                </c:pt>
                <c:pt idx="17">
                  <c:v>45231</c:v>
                </c:pt>
                <c:pt idx="18">
                  <c:v>45261</c:v>
                </c:pt>
                <c:pt idx="19">
                  <c:v>45292</c:v>
                </c:pt>
                <c:pt idx="20">
                  <c:v>45323</c:v>
                </c:pt>
                <c:pt idx="21">
                  <c:v>45352</c:v>
                </c:pt>
                <c:pt idx="22">
                  <c:v>45383</c:v>
                </c:pt>
                <c:pt idx="23">
                  <c:v>45413</c:v>
                </c:pt>
                <c:pt idx="24">
                  <c:v>45444</c:v>
                </c:pt>
              </c:numCache>
            </c:numRef>
          </c:cat>
          <c:val>
            <c:numRef>
              <c:f>'Figure 2'!$E$3:$E$27</c:f>
              <c:numCache>
                <c:formatCode>General</c:formatCode>
                <c:ptCount val="25"/>
                <c:pt idx="0" formatCode="0.0%">
                  <c:v>0.5951591277962035</c:v>
                </c:pt>
                <c:pt idx="3" formatCode="0.0%">
                  <c:v>0.58049609242269795</c:v>
                </c:pt>
                <c:pt idx="6" formatCode="0.0%">
                  <c:v>0.58494758036520167</c:v>
                </c:pt>
                <c:pt idx="9" formatCode="0.0%">
                  <c:v>0.60165916760404947</c:v>
                </c:pt>
                <c:pt idx="12" formatCode="0.0%">
                  <c:v>0.61367775005058345</c:v>
                </c:pt>
                <c:pt idx="15" formatCode="0.0%">
                  <c:v>0.62063436737539213</c:v>
                </c:pt>
                <c:pt idx="18" formatCode="0.0%">
                  <c:v>0.63456130483689543</c:v>
                </c:pt>
                <c:pt idx="21" formatCode="0.0%">
                  <c:v>0.6446894365182303</c:v>
                </c:pt>
                <c:pt idx="24" formatCode="0.0%">
                  <c:v>0.66170402136095152</c:v>
                </c:pt>
              </c:numCache>
            </c:numRef>
          </c:val>
          <c:smooth val="0"/>
          <c:extLst>
            <c:ext xmlns:c16="http://schemas.microsoft.com/office/drawing/2014/chart" uri="{C3380CC4-5D6E-409C-BE32-E72D297353CC}">
              <c16:uniqueId val="{00000001-2037-4BE4-82CF-33DB87342429}"/>
            </c:ext>
          </c:extLst>
        </c:ser>
        <c:dLbls>
          <c:showLegendKey val="0"/>
          <c:showVal val="0"/>
          <c:showCatName val="0"/>
          <c:showSerName val="0"/>
          <c:showPercent val="0"/>
          <c:showBubbleSize val="0"/>
        </c:dLbls>
        <c:marker val="1"/>
        <c:smooth val="0"/>
        <c:axId val="932218352"/>
        <c:axId val="932219184"/>
      </c:lineChart>
      <c:lineChart>
        <c:grouping val="standard"/>
        <c:varyColors val="0"/>
        <c:ser>
          <c:idx val="3"/>
          <c:order val="3"/>
          <c:tx>
            <c:strRef>
              <c:f>'Figure 2'!$C$2</c:f>
              <c:strCache>
                <c:ptCount val="1"/>
                <c:pt idx="0">
                  <c:v>Internet vacancies - monthly (RHS)</c:v>
                </c:pt>
              </c:strCache>
            </c:strRef>
          </c:tx>
          <c:spPr>
            <a:ln w="28575" cap="rnd">
              <a:solidFill>
                <a:srgbClr val="009D9A"/>
              </a:solidFill>
              <a:round/>
            </a:ln>
            <a:effectLst/>
          </c:spPr>
          <c:marker>
            <c:symbol val="none"/>
          </c:marker>
          <c:val>
            <c:numRef>
              <c:f>'Figure 2'!$C$3:$C$27</c:f>
              <c:numCache>
                <c:formatCode>#,##0</c:formatCode>
                <c:ptCount val="25"/>
                <c:pt idx="0">
                  <c:v>304725.20500000002</c:v>
                </c:pt>
                <c:pt idx="1">
                  <c:v>294004.08399999997</c:v>
                </c:pt>
                <c:pt idx="2">
                  <c:v>296934.84000000003</c:v>
                </c:pt>
                <c:pt idx="3">
                  <c:v>283220.08299999998</c:v>
                </c:pt>
                <c:pt idx="4">
                  <c:v>286247.45699999999</c:v>
                </c:pt>
                <c:pt idx="5">
                  <c:v>276751.49800000002</c:v>
                </c:pt>
                <c:pt idx="6">
                  <c:v>275857.26400000002</c:v>
                </c:pt>
                <c:pt idx="7">
                  <c:v>281007.22700000001</c:v>
                </c:pt>
                <c:pt idx="8">
                  <c:v>282776.473</c:v>
                </c:pt>
                <c:pt idx="9">
                  <c:v>281287.21399999998</c:v>
                </c:pt>
                <c:pt idx="10">
                  <c:v>290339.59000000003</c:v>
                </c:pt>
                <c:pt idx="11">
                  <c:v>281154.73200000002</c:v>
                </c:pt>
                <c:pt idx="12">
                  <c:v>277765.837</c:v>
                </c:pt>
                <c:pt idx="13">
                  <c:v>282517.95</c:v>
                </c:pt>
                <c:pt idx="14">
                  <c:v>278239.967</c:v>
                </c:pt>
                <c:pt idx="15">
                  <c:v>270591.57500000001</c:v>
                </c:pt>
                <c:pt idx="16">
                  <c:v>259451.62299999999</c:v>
                </c:pt>
                <c:pt idx="17">
                  <c:v>258243.948</c:v>
                </c:pt>
                <c:pt idx="18">
                  <c:v>259139.17300000001</c:v>
                </c:pt>
                <c:pt idx="19">
                  <c:v>253285.78</c:v>
                </c:pt>
                <c:pt idx="20">
                  <c:v>246460.44399999999</c:v>
                </c:pt>
                <c:pt idx="21">
                  <c:v>245591.90599999999</c:v>
                </c:pt>
                <c:pt idx="22">
                  <c:v>237552.18299999999</c:v>
                </c:pt>
                <c:pt idx="23">
                  <c:v>237589.73</c:v>
                </c:pt>
                <c:pt idx="24">
                  <c:v>227523.041</c:v>
                </c:pt>
              </c:numCache>
            </c:numRef>
          </c:val>
          <c:smooth val="0"/>
          <c:extLst>
            <c:ext xmlns:c16="http://schemas.microsoft.com/office/drawing/2014/chart" uri="{C3380CC4-5D6E-409C-BE32-E72D297353CC}">
              <c16:uniqueId val="{00000002-2037-4BE4-82CF-33DB87342429}"/>
            </c:ext>
          </c:extLst>
        </c:ser>
        <c:dLbls>
          <c:showLegendKey val="0"/>
          <c:showVal val="0"/>
          <c:showCatName val="0"/>
          <c:showSerName val="0"/>
          <c:showPercent val="0"/>
          <c:showBubbleSize val="0"/>
        </c:dLbls>
        <c:marker val="1"/>
        <c:smooth val="0"/>
        <c:axId val="855454288"/>
        <c:axId val="855463856"/>
        <c:extLst>
          <c:ext xmlns:c15="http://schemas.microsoft.com/office/drawing/2012/chart" uri="{02D57815-91ED-43cb-92C2-25804820EDAC}">
            <c15:filteredLineSeries>
              <c15:ser>
                <c:idx val="0"/>
                <c:order val="0"/>
                <c:tx>
                  <c:strRef>
                    <c:extLst>
                      <c:ext uri="{02D57815-91ED-43cb-92C2-25804820EDAC}">
                        <c15:formulaRef>
                          <c15:sqref>'Figure 2'!$B$2</c15:sqref>
                        </c15:formulaRef>
                      </c:ext>
                    </c:extLst>
                    <c:strCache>
                      <c:ptCount val="1"/>
                      <c:pt idx="0">
                        <c:v>Internet vacancies </c:v>
                      </c:pt>
                    </c:strCache>
                  </c:strRef>
                </c:tx>
                <c:spPr>
                  <a:ln w="28575" cap="rnd">
                    <a:solidFill>
                      <a:srgbClr val="009D9A"/>
                    </a:solidFill>
                    <a:round/>
                  </a:ln>
                  <a:effectLst/>
                </c:spPr>
                <c:marker>
                  <c:symbol val="none"/>
                </c:marker>
                <c:cat>
                  <c:numRef>
                    <c:extLst>
                      <c:ext uri="{02D57815-91ED-43cb-92C2-25804820EDAC}">
                        <c15:formulaRef>
                          <c15:sqref>'Figure 2'!$A$3:$A$27</c15:sqref>
                        </c15:formulaRef>
                      </c:ext>
                    </c:extLst>
                    <c:numCache>
                      <c:formatCode>mmm\-yy</c:formatCode>
                      <c:ptCount val="25"/>
                      <c:pt idx="0">
                        <c:v>44713</c:v>
                      </c:pt>
                      <c:pt idx="1">
                        <c:v>44743</c:v>
                      </c:pt>
                      <c:pt idx="2">
                        <c:v>44774</c:v>
                      </c:pt>
                      <c:pt idx="3">
                        <c:v>44805</c:v>
                      </c:pt>
                      <c:pt idx="4">
                        <c:v>44835</c:v>
                      </c:pt>
                      <c:pt idx="5">
                        <c:v>44866</c:v>
                      </c:pt>
                      <c:pt idx="6">
                        <c:v>44896</c:v>
                      </c:pt>
                      <c:pt idx="7">
                        <c:v>44927</c:v>
                      </c:pt>
                      <c:pt idx="8">
                        <c:v>44958</c:v>
                      </c:pt>
                      <c:pt idx="9">
                        <c:v>44986</c:v>
                      </c:pt>
                      <c:pt idx="10">
                        <c:v>45017</c:v>
                      </c:pt>
                      <c:pt idx="11">
                        <c:v>45047</c:v>
                      </c:pt>
                      <c:pt idx="12">
                        <c:v>45078</c:v>
                      </c:pt>
                      <c:pt idx="13">
                        <c:v>45108</c:v>
                      </c:pt>
                      <c:pt idx="14">
                        <c:v>45139</c:v>
                      </c:pt>
                      <c:pt idx="15">
                        <c:v>45170</c:v>
                      </c:pt>
                      <c:pt idx="16">
                        <c:v>45200</c:v>
                      </c:pt>
                      <c:pt idx="17">
                        <c:v>45231</c:v>
                      </c:pt>
                      <c:pt idx="18">
                        <c:v>45261</c:v>
                      </c:pt>
                      <c:pt idx="19">
                        <c:v>45292</c:v>
                      </c:pt>
                      <c:pt idx="20">
                        <c:v>45323</c:v>
                      </c:pt>
                      <c:pt idx="21">
                        <c:v>45352</c:v>
                      </c:pt>
                      <c:pt idx="22">
                        <c:v>45383</c:v>
                      </c:pt>
                      <c:pt idx="23">
                        <c:v>45413</c:v>
                      </c:pt>
                      <c:pt idx="24">
                        <c:v>45444</c:v>
                      </c:pt>
                    </c:numCache>
                  </c:numRef>
                </c:cat>
                <c:val>
                  <c:numRef>
                    <c:extLst>
                      <c:ext uri="{02D57815-91ED-43cb-92C2-25804820EDAC}">
                        <c15:formulaRef>
                          <c15:sqref>'Figure 2'!$B$3:$B$27</c15:sqref>
                        </c15:formulaRef>
                      </c:ext>
                    </c:extLst>
                    <c:numCache>
                      <c:formatCode>#,##0</c:formatCode>
                      <c:ptCount val="25"/>
                      <c:pt idx="0">
                        <c:v>304121.79499999998</c:v>
                      </c:pt>
                      <c:pt idx="1">
                        <c:v>292351.27500000002</c:v>
                      </c:pt>
                      <c:pt idx="2">
                        <c:v>295479.09000000003</c:v>
                      </c:pt>
                      <c:pt idx="3">
                        <c:v>282505.33100000001</c:v>
                      </c:pt>
                      <c:pt idx="4">
                        <c:v>285558.31099999999</c:v>
                      </c:pt>
                      <c:pt idx="5">
                        <c:v>276352.79300000001</c:v>
                      </c:pt>
                      <c:pt idx="6">
                        <c:v>275883.016</c:v>
                      </c:pt>
                      <c:pt idx="7">
                        <c:v>281508.02100000001</c:v>
                      </c:pt>
                      <c:pt idx="8">
                        <c:v>283766.44</c:v>
                      </c:pt>
                      <c:pt idx="9">
                        <c:v>282779.3</c:v>
                      </c:pt>
                      <c:pt idx="10">
                        <c:v>292010.201</c:v>
                      </c:pt>
                      <c:pt idx="11">
                        <c:v>283181.20899999997</c:v>
                      </c:pt>
                      <c:pt idx="12">
                        <c:v>277293.30900000001</c:v>
                      </c:pt>
                      <c:pt idx="13">
                        <c:v>280269.28000000003</c:v>
                      </c:pt>
                      <c:pt idx="14">
                        <c:v>276365.10200000001</c:v>
                      </c:pt>
                      <c:pt idx="15">
                        <c:v>269333.37300000002</c:v>
                      </c:pt>
                      <c:pt idx="16">
                        <c:v>258707.99799999999</c:v>
                      </c:pt>
                      <c:pt idx="17">
                        <c:v>257993.31299999999</c:v>
                      </c:pt>
                      <c:pt idx="18">
                        <c:v>259205.495</c:v>
                      </c:pt>
                      <c:pt idx="19">
                        <c:v>253918.41500000001</c:v>
                      </c:pt>
                      <c:pt idx="20">
                        <c:v>247528.42199999999</c:v>
                      </c:pt>
                      <c:pt idx="21">
                        <c:v>247080.185</c:v>
                      </c:pt>
                      <c:pt idx="22">
                        <c:v>239185.76500000001</c:v>
                      </c:pt>
                      <c:pt idx="23">
                        <c:v>239610.51300000001</c:v>
                      </c:pt>
                      <c:pt idx="24">
                        <c:v>227523.041</c:v>
                      </c:pt>
                    </c:numCache>
                  </c:numRef>
                </c:val>
                <c:smooth val="0"/>
                <c:extLst>
                  <c:ext xmlns:c16="http://schemas.microsoft.com/office/drawing/2014/chart" uri="{C3380CC4-5D6E-409C-BE32-E72D297353CC}">
                    <c16:uniqueId val="{00000003-2037-4BE4-82CF-33DB87342429}"/>
                  </c:ext>
                </c:extLst>
              </c15:ser>
            </c15:filteredLineSeries>
          </c:ext>
        </c:extLst>
      </c:lineChart>
      <c:dateAx>
        <c:axId val="932218352"/>
        <c:scaling>
          <c:orientation val="minMax"/>
        </c:scaling>
        <c:delete val="0"/>
        <c:axPos val="b"/>
        <c:numFmt formatCode="mmm\-yy"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32219184"/>
        <c:crosses val="autoZero"/>
        <c:auto val="1"/>
        <c:lblOffset val="100"/>
        <c:baseTimeUnit val="months"/>
        <c:majorUnit val="3"/>
        <c:majorTimeUnit val="months"/>
      </c:dateAx>
      <c:valAx>
        <c:axId val="932219184"/>
        <c:scaling>
          <c:orientation val="minMax"/>
          <c:max val="0.9"/>
          <c:min val="0.30000000000000004"/>
        </c:scaling>
        <c:delete val="0"/>
        <c:axPos val="l"/>
        <c:majorGridlines>
          <c:spPr>
            <a:ln w="9525" cap="flat" cmpd="sng" algn="ctr">
              <a:noFill/>
              <a:round/>
            </a:ln>
            <a:effectLst/>
          </c:spPr>
        </c:majorGridlines>
        <c:numFmt formatCode="0%"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32218352"/>
        <c:crosses val="autoZero"/>
        <c:crossBetween val="midCat"/>
      </c:valAx>
      <c:valAx>
        <c:axId val="855463856"/>
        <c:scaling>
          <c:orientation val="minMax"/>
          <c:max val="350000"/>
          <c:min val="200000"/>
        </c:scaling>
        <c:delete val="0"/>
        <c:axPos val="r"/>
        <c:numFmt formatCode="#,##0"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55454288"/>
        <c:crosses val="max"/>
        <c:crossBetween val="between"/>
        <c:majorUnit val="20000"/>
        <c:dispUnits>
          <c:builtInUnit val="thousands"/>
          <c:dispUnitsLbl>
            <c:layout>
              <c:manualLayout>
                <c:xMode val="edge"/>
                <c:yMode val="edge"/>
                <c:x val="0.95681783683531918"/>
                <c:y val="0.41758054559008528"/>
              </c:manualLayout>
            </c:layout>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r>
                    <a:rPr lang="en-AU" sz="800"/>
                    <a:t>'000s</a:t>
                  </a:r>
                </a:p>
              </c:rich>
            </c:tx>
            <c:spPr>
              <a:noFill/>
              <a:ln>
                <a:noFill/>
              </a:ln>
              <a:effectLst/>
            </c:spPr>
            <c:txPr>
              <a:bodyPr rot="-54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dispUnitsLbl>
        </c:dispUnits>
      </c:valAx>
      <c:catAx>
        <c:axId val="855454288"/>
        <c:scaling>
          <c:orientation val="minMax"/>
        </c:scaling>
        <c:delete val="1"/>
        <c:axPos val="b"/>
        <c:numFmt formatCode="mmm\-yy" sourceLinked="1"/>
        <c:majorTickMark val="out"/>
        <c:minorTickMark val="none"/>
        <c:tickLblPos val="nextTo"/>
        <c:crossAx val="855463856"/>
        <c:crosses val="autoZero"/>
        <c:auto val="1"/>
        <c:lblAlgn val="ctr"/>
        <c:lblOffset val="100"/>
        <c:tickLblSkip val="1"/>
        <c:tickMarkSkip val="1"/>
        <c:noMultiLvlLbl val="1"/>
      </c:catAx>
      <c:spPr>
        <a:noFill/>
        <a:ln>
          <a:noFill/>
        </a:ln>
        <a:effectLst/>
      </c:spPr>
    </c:plotArea>
    <c:legend>
      <c:legendPos val="b"/>
      <c:layout>
        <c:manualLayout>
          <c:xMode val="edge"/>
          <c:yMode val="edge"/>
          <c:x val="6.8514030712643337E-2"/>
          <c:y val="0.90860011722299772"/>
          <c:w val="0.90447317806313843"/>
          <c:h val="9.1399882777002062E-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
    <c:plotVisOnly val="1"/>
    <c:dispBlanksAs val="span"/>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700"/>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'WA - Figure 5'!$A$1</c:f>
              <c:strCache>
                <c:ptCount val="1"/>
                <c:pt idx="0">
                  <c:v>Skill Level 1</c:v>
                </c:pt>
              </c:strCache>
            </c:strRef>
          </c:tx>
          <c:spPr>
            <a:ln w="28575" cap="rnd">
              <a:solidFill>
                <a:schemeClr val="accent1"/>
              </a:solidFill>
              <a:round/>
            </a:ln>
            <a:effectLst/>
          </c:spPr>
          <c:marker>
            <c:symbol val="none"/>
          </c:marker>
          <c:cat>
            <c:numRef>
              <c:f>'WA - Figure 5'!$A$3:$A$11</c:f>
              <c:numCache>
                <c:formatCode>mmm\-yy</c:formatCode>
                <c:ptCount val="9"/>
                <c:pt idx="0">
                  <c:v>44713</c:v>
                </c:pt>
                <c:pt idx="1">
                  <c:v>44805</c:v>
                </c:pt>
                <c:pt idx="2">
                  <c:v>44896</c:v>
                </c:pt>
                <c:pt idx="3">
                  <c:v>44986</c:v>
                </c:pt>
                <c:pt idx="4">
                  <c:v>45078</c:v>
                </c:pt>
                <c:pt idx="5">
                  <c:v>45170</c:v>
                </c:pt>
                <c:pt idx="6">
                  <c:v>45261</c:v>
                </c:pt>
                <c:pt idx="7">
                  <c:v>45352</c:v>
                </c:pt>
                <c:pt idx="8">
                  <c:v>45444</c:v>
                </c:pt>
              </c:numCache>
            </c:numRef>
          </c:cat>
          <c:val>
            <c:numRef>
              <c:f>'WA - Figure 5'!$B$3:$B$11</c:f>
              <c:numCache>
                <c:formatCode>0.0%</c:formatCode>
                <c:ptCount val="9"/>
                <c:pt idx="0">
                  <c:v>0.62100019160758768</c:v>
                </c:pt>
                <c:pt idx="1">
                  <c:v>0.60574268360022088</c:v>
                </c:pt>
                <c:pt idx="2">
                  <c:v>0.60886718016156305</c:v>
                </c:pt>
                <c:pt idx="3">
                  <c:v>0.6280247608328644</c:v>
                </c:pt>
                <c:pt idx="4">
                  <c:v>0.63814396612561752</c:v>
                </c:pt>
                <c:pt idx="5">
                  <c:v>0.64296081277213357</c:v>
                </c:pt>
                <c:pt idx="6">
                  <c:v>0.65063337617036898</c:v>
                </c:pt>
                <c:pt idx="7">
                  <c:v>0.6594594594594595</c:v>
                </c:pt>
                <c:pt idx="8">
                  <c:v>0.67335955288760097</c:v>
                </c:pt>
              </c:numCache>
            </c:numRef>
          </c:val>
          <c:smooth val="0"/>
          <c:extLst>
            <c:ext xmlns:c16="http://schemas.microsoft.com/office/drawing/2014/chart" uri="{C3380CC4-5D6E-409C-BE32-E72D297353CC}">
              <c16:uniqueId val="{00000000-9CBA-4701-846A-6442917796B2}"/>
            </c:ext>
          </c:extLst>
        </c:ser>
        <c:ser>
          <c:idx val="1"/>
          <c:order val="1"/>
          <c:tx>
            <c:strRef>
              <c:f>'WA - Figure 5'!$A$15</c:f>
              <c:strCache>
                <c:ptCount val="1"/>
                <c:pt idx="0">
                  <c:v>Skill Level 2</c:v>
                </c:pt>
              </c:strCache>
            </c:strRef>
          </c:tx>
          <c:spPr>
            <a:ln w="28575" cap="rnd">
              <a:solidFill>
                <a:schemeClr val="accent2"/>
              </a:solidFill>
              <a:round/>
            </a:ln>
            <a:effectLst/>
          </c:spPr>
          <c:marker>
            <c:symbol val="none"/>
          </c:marker>
          <c:val>
            <c:numRef>
              <c:f>'WA - Figure 5'!$B$17:$B$25</c:f>
              <c:numCache>
                <c:formatCode>0.0%</c:formatCode>
                <c:ptCount val="9"/>
                <c:pt idx="0">
                  <c:v>0.68099173553719006</c:v>
                </c:pt>
                <c:pt idx="1">
                  <c:v>0.65966046887631369</c:v>
                </c:pt>
                <c:pt idx="2">
                  <c:v>0.67072675598863174</c:v>
                </c:pt>
                <c:pt idx="3">
                  <c:v>0.67700875099443114</c:v>
                </c:pt>
                <c:pt idx="4">
                  <c:v>0.69829297340214369</c:v>
                </c:pt>
                <c:pt idx="5">
                  <c:v>0.70899470899470896</c:v>
                </c:pt>
                <c:pt idx="6">
                  <c:v>0.72460776218001655</c:v>
                </c:pt>
                <c:pt idx="7">
                  <c:v>0.73347547974413652</c:v>
                </c:pt>
                <c:pt idx="8">
                  <c:v>0.73549000951474786</c:v>
                </c:pt>
              </c:numCache>
            </c:numRef>
          </c:val>
          <c:smooth val="0"/>
          <c:extLst>
            <c:ext xmlns:c16="http://schemas.microsoft.com/office/drawing/2014/chart" uri="{C3380CC4-5D6E-409C-BE32-E72D297353CC}">
              <c16:uniqueId val="{00000001-9CBA-4701-846A-6442917796B2}"/>
            </c:ext>
          </c:extLst>
        </c:ser>
        <c:ser>
          <c:idx val="2"/>
          <c:order val="2"/>
          <c:tx>
            <c:strRef>
              <c:f>'WA - Figure 5'!$A$28</c:f>
              <c:strCache>
                <c:ptCount val="1"/>
                <c:pt idx="0">
                  <c:v>Skill Level 3</c:v>
                </c:pt>
              </c:strCache>
            </c:strRef>
          </c:tx>
          <c:spPr>
            <a:ln w="28575" cap="rnd">
              <a:solidFill>
                <a:schemeClr val="accent3"/>
              </a:solidFill>
              <a:round/>
            </a:ln>
            <a:effectLst/>
          </c:spPr>
          <c:marker>
            <c:symbol val="none"/>
          </c:marker>
          <c:val>
            <c:numRef>
              <c:f>'WA - Figure 5'!$B$30:$B$38</c:f>
              <c:numCache>
                <c:formatCode>0.0%</c:formatCode>
                <c:ptCount val="9"/>
                <c:pt idx="0">
                  <c:v>0.4559932942162615</c:v>
                </c:pt>
                <c:pt idx="1">
                  <c:v>0.42907898332877836</c:v>
                </c:pt>
                <c:pt idx="2">
                  <c:v>0.43612460703058015</c:v>
                </c:pt>
                <c:pt idx="3">
                  <c:v>0.44864189822041833</c:v>
                </c:pt>
                <c:pt idx="4">
                  <c:v>0.46098056280823907</c:v>
                </c:pt>
                <c:pt idx="5">
                  <c:v>0.47144592952612396</c:v>
                </c:pt>
                <c:pt idx="6">
                  <c:v>0.4828215262997872</c:v>
                </c:pt>
                <c:pt idx="7">
                  <c:v>0.49753542821934688</c:v>
                </c:pt>
                <c:pt idx="8">
                  <c:v>0.51907847372210225</c:v>
                </c:pt>
              </c:numCache>
            </c:numRef>
          </c:val>
          <c:smooth val="0"/>
          <c:extLst>
            <c:ext xmlns:c16="http://schemas.microsoft.com/office/drawing/2014/chart" uri="{C3380CC4-5D6E-409C-BE32-E72D297353CC}">
              <c16:uniqueId val="{00000002-9CBA-4701-846A-6442917796B2}"/>
            </c:ext>
          </c:extLst>
        </c:ser>
        <c:ser>
          <c:idx val="3"/>
          <c:order val="3"/>
          <c:tx>
            <c:strRef>
              <c:f>'WA - Figure 5'!$A$41</c:f>
              <c:strCache>
                <c:ptCount val="1"/>
                <c:pt idx="0">
                  <c:v>Skill Level 4</c:v>
                </c:pt>
              </c:strCache>
            </c:strRef>
          </c:tx>
          <c:spPr>
            <a:ln w="28575" cap="rnd">
              <a:solidFill>
                <a:schemeClr val="accent4"/>
              </a:solidFill>
              <a:round/>
            </a:ln>
            <a:effectLst/>
          </c:spPr>
          <c:marker>
            <c:symbol val="none"/>
          </c:marker>
          <c:val>
            <c:numRef>
              <c:f>'WA - Figure 5'!$B$43:$B$51</c:f>
              <c:numCache>
                <c:formatCode>0.0%</c:formatCode>
                <c:ptCount val="9"/>
                <c:pt idx="0">
                  <c:v>0.64781578056214018</c:v>
                </c:pt>
                <c:pt idx="1">
                  <c:v>0.65068275643061291</c:v>
                </c:pt>
                <c:pt idx="2">
                  <c:v>0.64336112892880049</c:v>
                </c:pt>
                <c:pt idx="3">
                  <c:v>0.6520780856423174</c:v>
                </c:pt>
                <c:pt idx="4">
                  <c:v>0.66833698715941126</c:v>
                </c:pt>
                <c:pt idx="5">
                  <c:v>0.66958495460440981</c:v>
                </c:pt>
                <c:pt idx="6">
                  <c:v>0.69765166340508811</c:v>
                </c:pt>
                <c:pt idx="7">
                  <c:v>0.70978781656399725</c:v>
                </c:pt>
                <c:pt idx="8">
                  <c:v>0.73149546827794565</c:v>
                </c:pt>
              </c:numCache>
            </c:numRef>
          </c:val>
          <c:smooth val="0"/>
          <c:extLst>
            <c:ext xmlns:c16="http://schemas.microsoft.com/office/drawing/2014/chart" uri="{C3380CC4-5D6E-409C-BE32-E72D297353CC}">
              <c16:uniqueId val="{00000003-9CBA-4701-846A-6442917796B2}"/>
            </c:ext>
          </c:extLst>
        </c:ser>
        <c:dLbls>
          <c:showLegendKey val="0"/>
          <c:showVal val="0"/>
          <c:showCatName val="0"/>
          <c:showSerName val="0"/>
          <c:showPercent val="0"/>
          <c:showBubbleSize val="0"/>
        </c:dLbls>
        <c:smooth val="0"/>
        <c:axId val="357192384"/>
        <c:axId val="649238064"/>
      </c:lineChart>
      <c:dateAx>
        <c:axId val="357192384"/>
        <c:scaling>
          <c:orientation val="minMax"/>
        </c:scaling>
        <c:delete val="0"/>
        <c:axPos val="b"/>
        <c:numFmt formatCode="mmm\-yy" sourceLinked="1"/>
        <c:majorTickMark val="out"/>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9238064"/>
        <c:crosses val="autoZero"/>
        <c:auto val="1"/>
        <c:lblOffset val="100"/>
        <c:baseTimeUnit val="months"/>
        <c:majorUnit val="3"/>
        <c:majorTimeUnit val="months"/>
      </c:dateAx>
      <c:valAx>
        <c:axId val="649238064"/>
        <c:scaling>
          <c:orientation val="minMax"/>
          <c:max val="0.9"/>
        </c:scaling>
        <c:delete val="0"/>
        <c:axPos val="l"/>
        <c:majorGridlines>
          <c:spPr>
            <a:ln w="9525" cap="flat" cmpd="sng" algn="ctr">
              <a:noFill/>
              <a:round/>
            </a:ln>
            <a:effectLst/>
          </c:spPr>
        </c:majorGridlines>
        <c:numFmt formatCode="0.0%" sourceLinked="1"/>
        <c:majorTickMark val="out"/>
        <c:minorTickMark val="none"/>
        <c:tickLblPos val="nextTo"/>
        <c:spPr>
          <a:noFill/>
          <a:ln w="12700">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7192384"/>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ocumenttasks/documenttasks1.xml><?xml version="1.0" encoding="utf-8"?>
<t:Tasks xmlns:t="http://schemas.microsoft.com/office/tasks/2019/documenttasks" xmlns:oel="http://schemas.microsoft.com/office/2019/extlst">
  <t:Task id="{A3DBA928-58D1-4870-A7CC-565650C9962B}">
    <t:Anchor>
      <t:Comment id="400116399"/>
    </t:Anchor>
    <t:History>
      <t:Event id="{A9CF2BDE-1A83-46E2-BE7D-286902A38B9B}" time="2024-02-02T01:21:57.641Z">
        <t:Attribution userId="S::Marjorie.Rego@jobsandskills.gov.au::e6769e50-e291-4b7a-a6f8-5b392519ad55" userProvider="AD" userName="REGO,Marjorie"/>
        <t:Anchor>
          <t:Comment id="400116399"/>
        </t:Anchor>
        <t:Create/>
      </t:Event>
      <t:Event id="{3272A713-C015-454F-B643-F544C22EC9A3}" time="2024-02-02T01:21:57.641Z">
        <t:Attribution userId="S::Marjorie.Rego@jobsandskills.gov.au::e6769e50-e291-4b7a-a6f8-5b392519ad55" userProvider="AD" userName="REGO,Marjorie"/>
        <t:Anchor>
          <t:Comment id="400116399"/>
        </t:Anchor>
        <t:Assign userId="S::Vivienne.CHENG@jobsandskills.gov.au::3b7b7fcd-bce3-46c2-88ab-6792f1310e5e" userProvider="AD" userName="CHENG,Vivienne"/>
      </t:Event>
      <t:Event id="{2A180B78-8B47-48BD-9AAB-1BA14B568A72}" time="2024-02-02T01:21:57.641Z">
        <t:Attribution userId="S::Marjorie.Rego@jobsandskills.gov.au::e6769e50-e291-4b7a-a6f8-5b392519ad55" userProvider="AD" userName="REGO,Marjorie"/>
        <t:Anchor>
          <t:Comment id="400116399"/>
        </t:Anchor>
        <t:SetTitle title="@CHENG,Vivienne should the axis be 1DP because of the data points?"/>
      </t:Event>
      <t:Event id="{F985F5FF-633E-424A-A550-166930CC09B1}" time="2024-02-02T07:30:49.643Z">
        <t:Attribution userId="S::Marjorie.Rego@jobsandskills.gov.au::e6769e50-e291-4b7a-a6f8-5b392519ad55" userProvider="AD" userName="REGO,Marjorie"/>
        <t:Anchor>
          <t:Comment id="1594039020"/>
        </t:Anchor>
        <t:UnassignAll/>
      </t:Event>
      <t:Event id="{30045961-BC7F-4D83-9D65-56ADF5A98509}" time="2024-02-02T07:30:49.643Z">
        <t:Attribution userId="S::Marjorie.Rego@jobsandskills.gov.au::e6769e50-e291-4b7a-a6f8-5b392519ad55" userProvider="AD" userName="REGO,Marjorie"/>
        <t:Anchor>
          <t:Comment id="1594039020"/>
        </t:Anchor>
        <t:Assign userId="S::Alexander.Vilagosh@jobsandskills.gov.au::3ec888d7-3b3b-4aea-ac1a-b220fb0a5659" userProvider="AD" userName="VILAGOSH,Alexander"/>
      </t:Event>
    </t:History>
  </t:Task>
</t:Tasks>
</file>

<file path=word/theme/theme1.xml><?xml version="1.0" encoding="utf-8"?>
<a:theme xmlns:a="http://schemas.openxmlformats.org/drawingml/2006/main" name="Office Theme">
  <a:themeElements>
    <a:clrScheme name="New JSA purple fix">
      <a:dk1>
        <a:sysClr val="windowText" lastClr="000000"/>
      </a:dk1>
      <a:lt1>
        <a:sysClr val="window" lastClr="FFFFFF"/>
      </a:lt1>
      <a:dk2>
        <a:srgbClr val="4B0885"/>
      </a:dk2>
      <a:lt2>
        <a:srgbClr val="D2DE5A"/>
      </a:lt2>
      <a:accent1>
        <a:srgbClr val="6929C4"/>
      </a:accent1>
      <a:accent2>
        <a:srgbClr val="009D9A"/>
      </a:accent2>
      <a:accent3>
        <a:srgbClr val="012749"/>
      </a:accent3>
      <a:accent4>
        <a:srgbClr val="EE538B"/>
      </a:accent4>
      <a:accent5>
        <a:srgbClr val="1192E8"/>
      </a:accent5>
      <a:accent6>
        <a:srgbClr val="9F1853"/>
      </a:accent6>
      <a:hlink>
        <a:srgbClr val="013D74"/>
      </a:hlink>
      <a:folHlink>
        <a:srgbClr val="4B088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3F34836EA3F784AB5A1E15E26B43A6C" ma:contentTypeVersion="15" ma:contentTypeDescription="Create a new document." ma:contentTypeScope="" ma:versionID="0ff038528137ef8039f73f00cf91bb95">
  <xsd:schema xmlns:xsd="http://www.w3.org/2001/XMLSchema" xmlns:xs="http://www.w3.org/2001/XMLSchema" xmlns:p="http://schemas.microsoft.com/office/2006/metadata/properties" xmlns:ns2="1f6a489c-5e20-41d8-abe5-d6fc991e4b5e" xmlns:ns3="e59156b7-e154-4504-96ef-5b0195e873a0" targetNamespace="http://schemas.microsoft.com/office/2006/metadata/properties" ma:root="true" ma:fieldsID="32ef458850b2a4e43189bba976471275" ns2:_="" ns3:_="">
    <xsd:import namespace="1f6a489c-5e20-41d8-abe5-d6fc991e4b5e"/>
    <xsd:import namespace="e59156b7-e154-4504-96ef-5b0195e873a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bjectDetectorVersions" minOccurs="0"/>
                <xsd:element ref="ns2:MediaServiceLocation"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6a489c-5e20-41d8-abe5-d6fc991e4b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9156b7-e154-4504-96ef-5b0195e873a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51eab69-db08-4a22-95f2-7833c778c5ab}" ma:internalName="TaxCatchAll" ma:showField="CatchAllData" ma:web="e59156b7-e154-4504-96ef-5b0195e873a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59156b7-e154-4504-96ef-5b0195e873a0" xsi:nil="true"/>
    <lcf76f155ced4ddcb4097134ff3c332f xmlns="1f6a489c-5e20-41d8-abe5-d6fc991e4b5e">
      <Terms xmlns="http://schemas.microsoft.com/office/infopath/2007/PartnerControls"/>
    </lcf76f155ced4ddcb4097134ff3c332f>
    <SharedWithUsers xmlns="e59156b7-e154-4504-96ef-5b0195e873a0">
      <UserInfo>
        <DisplayName>SIROTICH,Christina</DisplayName>
        <AccountId>64</AccountId>
        <AccountType/>
      </UserInfo>
    </SharedWithUsers>
  </documentManagement>
</p:properties>
</file>

<file path=customXml/itemProps1.xml><?xml version="1.0" encoding="utf-8"?>
<ds:datastoreItem xmlns:ds="http://schemas.openxmlformats.org/officeDocument/2006/customXml" ds:itemID="{EE501082-E5B3-49A0-AFD7-A3513B487821}">
  <ds:schemaRefs>
    <ds:schemaRef ds:uri="http://schemas.microsoft.com/sharepoint/v3/contenttype/forms"/>
  </ds:schemaRefs>
</ds:datastoreItem>
</file>

<file path=customXml/itemProps2.xml><?xml version="1.0" encoding="utf-8"?>
<ds:datastoreItem xmlns:ds="http://schemas.openxmlformats.org/officeDocument/2006/customXml" ds:itemID="{F14CE4EB-35B3-48ED-B42F-23E6A5FD733F}">
  <ds:schemaRefs>
    <ds:schemaRef ds:uri="http://schemas.openxmlformats.org/officeDocument/2006/bibliography"/>
  </ds:schemaRefs>
</ds:datastoreItem>
</file>

<file path=customXml/itemProps3.xml><?xml version="1.0" encoding="utf-8"?>
<ds:datastoreItem xmlns:ds="http://schemas.openxmlformats.org/officeDocument/2006/customXml" ds:itemID="{DE80F125-B3F2-4B72-A774-0E1782E5E4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6a489c-5e20-41d8-abe5-d6fc991e4b5e"/>
    <ds:schemaRef ds:uri="e59156b7-e154-4504-96ef-5b0195e873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C13C45-35B6-4328-902D-9D971E6BC7F7}">
  <ds:schemaRefs>
    <ds:schemaRef ds:uri="e59156b7-e154-4504-96ef-5b0195e873a0"/>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1f6a489c-5e20-41d8-abe5-d6fc991e4b5e"/>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17</Pages>
  <Words>4397</Words>
  <Characters>25064</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29403</CharactersWithSpaces>
  <SharedDoc>false</SharedDoc>
  <HLinks>
    <vt:vector size="246" baseType="variant">
      <vt:variant>
        <vt:i4>8323189</vt:i4>
      </vt:variant>
      <vt:variant>
        <vt:i4>186</vt:i4>
      </vt:variant>
      <vt:variant>
        <vt:i4>0</vt:i4>
      </vt:variant>
      <vt:variant>
        <vt:i4>5</vt:i4>
      </vt:variant>
      <vt:variant>
        <vt:lpwstr>https://www.jobsandskills.gov.au/publications/international-labour-market-update-september-2023</vt:lpwstr>
      </vt:variant>
      <vt:variant>
        <vt:lpwstr/>
      </vt:variant>
      <vt:variant>
        <vt:i4>6488186</vt:i4>
      </vt:variant>
      <vt:variant>
        <vt:i4>183</vt:i4>
      </vt:variant>
      <vt:variant>
        <vt:i4>0</vt:i4>
      </vt:variant>
      <vt:variant>
        <vt:i4>5</vt:i4>
      </vt:variant>
      <vt:variant>
        <vt:lpwstr>https://www.jobsandskills.gov.au/data/nero</vt:lpwstr>
      </vt:variant>
      <vt:variant>
        <vt:lpwstr/>
      </vt:variant>
      <vt:variant>
        <vt:i4>2490422</vt:i4>
      </vt:variant>
      <vt:variant>
        <vt:i4>180</vt:i4>
      </vt:variant>
      <vt:variant>
        <vt:i4>0</vt:i4>
      </vt:variant>
      <vt:variant>
        <vt:i4>5</vt:i4>
      </vt:variant>
      <vt:variant>
        <vt:lpwstr>https://www.jobsandskills.gov.au/data/employment-region-dashboards-and-profiles</vt:lpwstr>
      </vt:variant>
      <vt:variant>
        <vt:lpwstr/>
      </vt:variant>
      <vt:variant>
        <vt:i4>4063353</vt:i4>
      </vt:variant>
      <vt:variant>
        <vt:i4>177</vt:i4>
      </vt:variant>
      <vt:variant>
        <vt:i4>0</vt:i4>
      </vt:variant>
      <vt:variant>
        <vt:i4>5</vt:i4>
      </vt:variant>
      <vt:variant>
        <vt:lpwstr>https://www.jobsandskills.gov.au/data/jobs-and-skills-atlas</vt:lpwstr>
      </vt:variant>
      <vt:variant>
        <vt:lpwstr/>
      </vt:variant>
      <vt:variant>
        <vt:i4>2883645</vt:i4>
      </vt:variant>
      <vt:variant>
        <vt:i4>174</vt:i4>
      </vt:variant>
      <vt:variant>
        <vt:i4>0</vt:i4>
      </vt:variant>
      <vt:variant>
        <vt:i4>5</vt:i4>
      </vt:variant>
      <vt:variant>
        <vt:lpwstr>https://www.jobsandskills.gov.au/data/australian-skills-classification</vt:lpwstr>
      </vt:variant>
      <vt:variant>
        <vt:lpwstr/>
      </vt:variant>
      <vt:variant>
        <vt:i4>8257591</vt:i4>
      </vt:variant>
      <vt:variant>
        <vt:i4>171</vt:i4>
      </vt:variant>
      <vt:variant>
        <vt:i4>0</vt:i4>
      </vt:variant>
      <vt:variant>
        <vt:i4>5</vt:i4>
      </vt:variant>
      <vt:variant>
        <vt:lpwstr>https://www.jobsandskills.gov.au/data/small-area-labour-markets</vt:lpwstr>
      </vt:variant>
      <vt:variant>
        <vt:lpwstr/>
      </vt:variant>
      <vt:variant>
        <vt:i4>7405695</vt:i4>
      </vt:variant>
      <vt:variant>
        <vt:i4>168</vt:i4>
      </vt:variant>
      <vt:variant>
        <vt:i4>0</vt:i4>
      </vt:variant>
      <vt:variant>
        <vt:i4>5</vt:i4>
      </vt:variant>
      <vt:variant>
        <vt:lpwstr>https://www.jobsandskills.gov.au/data/skills-shortages-analysis</vt:lpwstr>
      </vt:variant>
      <vt:variant>
        <vt:lpwstr/>
      </vt:variant>
      <vt:variant>
        <vt:i4>589835</vt:i4>
      </vt:variant>
      <vt:variant>
        <vt:i4>165</vt:i4>
      </vt:variant>
      <vt:variant>
        <vt:i4>0</vt:i4>
      </vt:variant>
      <vt:variant>
        <vt:i4>5</vt:i4>
      </vt:variant>
      <vt:variant>
        <vt:lpwstr>https://www.jobsandskills.gov.au/data/recruitment-experiences-and-outlook-survey</vt:lpwstr>
      </vt:variant>
      <vt:variant>
        <vt:lpwstr/>
      </vt:variant>
      <vt:variant>
        <vt:i4>983044</vt:i4>
      </vt:variant>
      <vt:variant>
        <vt:i4>162</vt:i4>
      </vt:variant>
      <vt:variant>
        <vt:i4>0</vt:i4>
      </vt:variant>
      <vt:variant>
        <vt:i4>5</vt:i4>
      </vt:variant>
      <vt:variant>
        <vt:lpwstr>https://www.jobsandskills.gov.au/data/internet-vacancy-index</vt:lpwstr>
      </vt:variant>
      <vt:variant>
        <vt:lpwstr/>
      </vt:variant>
      <vt:variant>
        <vt:i4>5636169</vt:i4>
      </vt:variant>
      <vt:variant>
        <vt:i4>159</vt:i4>
      </vt:variant>
      <vt:variant>
        <vt:i4>0</vt:i4>
      </vt:variant>
      <vt:variant>
        <vt:i4>5</vt:i4>
      </vt:variant>
      <vt:variant>
        <vt:lpwstr>https://www.jobsandskills.gov.au/</vt:lpwstr>
      </vt:variant>
      <vt:variant>
        <vt:lpwstr/>
      </vt:variant>
      <vt:variant>
        <vt:i4>1310780</vt:i4>
      </vt:variant>
      <vt:variant>
        <vt:i4>152</vt:i4>
      </vt:variant>
      <vt:variant>
        <vt:i4>0</vt:i4>
      </vt:variant>
      <vt:variant>
        <vt:i4>5</vt:i4>
      </vt:variant>
      <vt:variant>
        <vt:lpwstr/>
      </vt:variant>
      <vt:variant>
        <vt:lpwstr>_Toc158648188</vt:lpwstr>
      </vt:variant>
      <vt:variant>
        <vt:i4>1310780</vt:i4>
      </vt:variant>
      <vt:variant>
        <vt:i4>146</vt:i4>
      </vt:variant>
      <vt:variant>
        <vt:i4>0</vt:i4>
      </vt:variant>
      <vt:variant>
        <vt:i4>5</vt:i4>
      </vt:variant>
      <vt:variant>
        <vt:lpwstr/>
      </vt:variant>
      <vt:variant>
        <vt:lpwstr>_Toc158648187</vt:lpwstr>
      </vt:variant>
      <vt:variant>
        <vt:i4>1310780</vt:i4>
      </vt:variant>
      <vt:variant>
        <vt:i4>140</vt:i4>
      </vt:variant>
      <vt:variant>
        <vt:i4>0</vt:i4>
      </vt:variant>
      <vt:variant>
        <vt:i4>5</vt:i4>
      </vt:variant>
      <vt:variant>
        <vt:lpwstr/>
      </vt:variant>
      <vt:variant>
        <vt:lpwstr>_Toc158648186</vt:lpwstr>
      </vt:variant>
      <vt:variant>
        <vt:i4>1310780</vt:i4>
      </vt:variant>
      <vt:variant>
        <vt:i4>134</vt:i4>
      </vt:variant>
      <vt:variant>
        <vt:i4>0</vt:i4>
      </vt:variant>
      <vt:variant>
        <vt:i4>5</vt:i4>
      </vt:variant>
      <vt:variant>
        <vt:lpwstr/>
      </vt:variant>
      <vt:variant>
        <vt:lpwstr>_Toc158648185</vt:lpwstr>
      </vt:variant>
      <vt:variant>
        <vt:i4>1310780</vt:i4>
      </vt:variant>
      <vt:variant>
        <vt:i4>128</vt:i4>
      </vt:variant>
      <vt:variant>
        <vt:i4>0</vt:i4>
      </vt:variant>
      <vt:variant>
        <vt:i4>5</vt:i4>
      </vt:variant>
      <vt:variant>
        <vt:lpwstr/>
      </vt:variant>
      <vt:variant>
        <vt:lpwstr>_Toc158648184</vt:lpwstr>
      </vt:variant>
      <vt:variant>
        <vt:i4>1310780</vt:i4>
      </vt:variant>
      <vt:variant>
        <vt:i4>122</vt:i4>
      </vt:variant>
      <vt:variant>
        <vt:i4>0</vt:i4>
      </vt:variant>
      <vt:variant>
        <vt:i4>5</vt:i4>
      </vt:variant>
      <vt:variant>
        <vt:lpwstr/>
      </vt:variant>
      <vt:variant>
        <vt:lpwstr>_Toc158648183</vt:lpwstr>
      </vt:variant>
      <vt:variant>
        <vt:i4>1310780</vt:i4>
      </vt:variant>
      <vt:variant>
        <vt:i4>116</vt:i4>
      </vt:variant>
      <vt:variant>
        <vt:i4>0</vt:i4>
      </vt:variant>
      <vt:variant>
        <vt:i4>5</vt:i4>
      </vt:variant>
      <vt:variant>
        <vt:lpwstr/>
      </vt:variant>
      <vt:variant>
        <vt:lpwstr>_Toc158648182</vt:lpwstr>
      </vt:variant>
      <vt:variant>
        <vt:i4>1310780</vt:i4>
      </vt:variant>
      <vt:variant>
        <vt:i4>110</vt:i4>
      </vt:variant>
      <vt:variant>
        <vt:i4>0</vt:i4>
      </vt:variant>
      <vt:variant>
        <vt:i4>5</vt:i4>
      </vt:variant>
      <vt:variant>
        <vt:lpwstr/>
      </vt:variant>
      <vt:variant>
        <vt:lpwstr>_Toc158648181</vt:lpwstr>
      </vt:variant>
      <vt:variant>
        <vt:i4>1310780</vt:i4>
      </vt:variant>
      <vt:variant>
        <vt:i4>104</vt:i4>
      </vt:variant>
      <vt:variant>
        <vt:i4>0</vt:i4>
      </vt:variant>
      <vt:variant>
        <vt:i4>5</vt:i4>
      </vt:variant>
      <vt:variant>
        <vt:lpwstr/>
      </vt:variant>
      <vt:variant>
        <vt:lpwstr>_Toc158648180</vt:lpwstr>
      </vt:variant>
      <vt:variant>
        <vt:i4>1769532</vt:i4>
      </vt:variant>
      <vt:variant>
        <vt:i4>98</vt:i4>
      </vt:variant>
      <vt:variant>
        <vt:i4>0</vt:i4>
      </vt:variant>
      <vt:variant>
        <vt:i4>5</vt:i4>
      </vt:variant>
      <vt:variant>
        <vt:lpwstr/>
      </vt:variant>
      <vt:variant>
        <vt:lpwstr>_Toc158648179</vt:lpwstr>
      </vt:variant>
      <vt:variant>
        <vt:i4>1769532</vt:i4>
      </vt:variant>
      <vt:variant>
        <vt:i4>92</vt:i4>
      </vt:variant>
      <vt:variant>
        <vt:i4>0</vt:i4>
      </vt:variant>
      <vt:variant>
        <vt:i4>5</vt:i4>
      </vt:variant>
      <vt:variant>
        <vt:lpwstr/>
      </vt:variant>
      <vt:variant>
        <vt:lpwstr>_Toc158648178</vt:lpwstr>
      </vt:variant>
      <vt:variant>
        <vt:i4>1769532</vt:i4>
      </vt:variant>
      <vt:variant>
        <vt:i4>86</vt:i4>
      </vt:variant>
      <vt:variant>
        <vt:i4>0</vt:i4>
      </vt:variant>
      <vt:variant>
        <vt:i4>5</vt:i4>
      </vt:variant>
      <vt:variant>
        <vt:lpwstr/>
      </vt:variant>
      <vt:variant>
        <vt:lpwstr>_Toc158648177</vt:lpwstr>
      </vt:variant>
      <vt:variant>
        <vt:i4>1769532</vt:i4>
      </vt:variant>
      <vt:variant>
        <vt:i4>80</vt:i4>
      </vt:variant>
      <vt:variant>
        <vt:i4>0</vt:i4>
      </vt:variant>
      <vt:variant>
        <vt:i4>5</vt:i4>
      </vt:variant>
      <vt:variant>
        <vt:lpwstr/>
      </vt:variant>
      <vt:variant>
        <vt:lpwstr>_Toc158648176</vt:lpwstr>
      </vt:variant>
      <vt:variant>
        <vt:i4>1769532</vt:i4>
      </vt:variant>
      <vt:variant>
        <vt:i4>74</vt:i4>
      </vt:variant>
      <vt:variant>
        <vt:i4>0</vt:i4>
      </vt:variant>
      <vt:variant>
        <vt:i4>5</vt:i4>
      </vt:variant>
      <vt:variant>
        <vt:lpwstr/>
      </vt:variant>
      <vt:variant>
        <vt:lpwstr>_Toc158648175</vt:lpwstr>
      </vt:variant>
      <vt:variant>
        <vt:i4>1769532</vt:i4>
      </vt:variant>
      <vt:variant>
        <vt:i4>68</vt:i4>
      </vt:variant>
      <vt:variant>
        <vt:i4>0</vt:i4>
      </vt:variant>
      <vt:variant>
        <vt:i4>5</vt:i4>
      </vt:variant>
      <vt:variant>
        <vt:lpwstr/>
      </vt:variant>
      <vt:variant>
        <vt:lpwstr>_Toc158648174</vt:lpwstr>
      </vt:variant>
      <vt:variant>
        <vt:i4>1769532</vt:i4>
      </vt:variant>
      <vt:variant>
        <vt:i4>62</vt:i4>
      </vt:variant>
      <vt:variant>
        <vt:i4>0</vt:i4>
      </vt:variant>
      <vt:variant>
        <vt:i4>5</vt:i4>
      </vt:variant>
      <vt:variant>
        <vt:lpwstr/>
      </vt:variant>
      <vt:variant>
        <vt:lpwstr>_Toc158648173</vt:lpwstr>
      </vt:variant>
      <vt:variant>
        <vt:i4>1769532</vt:i4>
      </vt:variant>
      <vt:variant>
        <vt:i4>56</vt:i4>
      </vt:variant>
      <vt:variant>
        <vt:i4>0</vt:i4>
      </vt:variant>
      <vt:variant>
        <vt:i4>5</vt:i4>
      </vt:variant>
      <vt:variant>
        <vt:lpwstr/>
      </vt:variant>
      <vt:variant>
        <vt:lpwstr>_Toc158648172</vt:lpwstr>
      </vt:variant>
      <vt:variant>
        <vt:i4>1769532</vt:i4>
      </vt:variant>
      <vt:variant>
        <vt:i4>50</vt:i4>
      </vt:variant>
      <vt:variant>
        <vt:i4>0</vt:i4>
      </vt:variant>
      <vt:variant>
        <vt:i4>5</vt:i4>
      </vt:variant>
      <vt:variant>
        <vt:lpwstr/>
      </vt:variant>
      <vt:variant>
        <vt:lpwstr>_Toc158648171</vt:lpwstr>
      </vt:variant>
      <vt:variant>
        <vt:i4>1769532</vt:i4>
      </vt:variant>
      <vt:variant>
        <vt:i4>44</vt:i4>
      </vt:variant>
      <vt:variant>
        <vt:i4>0</vt:i4>
      </vt:variant>
      <vt:variant>
        <vt:i4>5</vt:i4>
      </vt:variant>
      <vt:variant>
        <vt:lpwstr/>
      </vt:variant>
      <vt:variant>
        <vt:lpwstr>_Toc158648170</vt:lpwstr>
      </vt:variant>
      <vt:variant>
        <vt:i4>1703996</vt:i4>
      </vt:variant>
      <vt:variant>
        <vt:i4>38</vt:i4>
      </vt:variant>
      <vt:variant>
        <vt:i4>0</vt:i4>
      </vt:variant>
      <vt:variant>
        <vt:i4>5</vt:i4>
      </vt:variant>
      <vt:variant>
        <vt:lpwstr/>
      </vt:variant>
      <vt:variant>
        <vt:lpwstr>_Toc158648169</vt:lpwstr>
      </vt:variant>
      <vt:variant>
        <vt:i4>1703996</vt:i4>
      </vt:variant>
      <vt:variant>
        <vt:i4>32</vt:i4>
      </vt:variant>
      <vt:variant>
        <vt:i4>0</vt:i4>
      </vt:variant>
      <vt:variant>
        <vt:i4>5</vt:i4>
      </vt:variant>
      <vt:variant>
        <vt:lpwstr/>
      </vt:variant>
      <vt:variant>
        <vt:lpwstr>_Toc158648168</vt:lpwstr>
      </vt:variant>
      <vt:variant>
        <vt:i4>1703996</vt:i4>
      </vt:variant>
      <vt:variant>
        <vt:i4>26</vt:i4>
      </vt:variant>
      <vt:variant>
        <vt:i4>0</vt:i4>
      </vt:variant>
      <vt:variant>
        <vt:i4>5</vt:i4>
      </vt:variant>
      <vt:variant>
        <vt:lpwstr/>
      </vt:variant>
      <vt:variant>
        <vt:lpwstr>_Toc158648167</vt:lpwstr>
      </vt:variant>
      <vt:variant>
        <vt:i4>1703996</vt:i4>
      </vt:variant>
      <vt:variant>
        <vt:i4>20</vt:i4>
      </vt:variant>
      <vt:variant>
        <vt:i4>0</vt:i4>
      </vt:variant>
      <vt:variant>
        <vt:i4>5</vt:i4>
      </vt:variant>
      <vt:variant>
        <vt:lpwstr/>
      </vt:variant>
      <vt:variant>
        <vt:lpwstr>_Toc158648166</vt:lpwstr>
      </vt:variant>
      <vt:variant>
        <vt:i4>1703996</vt:i4>
      </vt:variant>
      <vt:variant>
        <vt:i4>14</vt:i4>
      </vt:variant>
      <vt:variant>
        <vt:i4>0</vt:i4>
      </vt:variant>
      <vt:variant>
        <vt:i4>5</vt:i4>
      </vt:variant>
      <vt:variant>
        <vt:lpwstr/>
      </vt:variant>
      <vt:variant>
        <vt:lpwstr>_Toc158648165</vt:lpwstr>
      </vt:variant>
      <vt:variant>
        <vt:i4>1703996</vt:i4>
      </vt:variant>
      <vt:variant>
        <vt:i4>8</vt:i4>
      </vt:variant>
      <vt:variant>
        <vt:i4>0</vt:i4>
      </vt:variant>
      <vt:variant>
        <vt:i4>5</vt:i4>
      </vt:variant>
      <vt:variant>
        <vt:lpwstr/>
      </vt:variant>
      <vt:variant>
        <vt:lpwstr>_Toc158648164</vt:lpwstr>
      </vt:variant>
      <vt:variant>
        <vt:i4>1703996</vt:i4>
      </vt:variant>
      <vt:variant>
        <vt:i4>2</vt:i4>
      </vt:variant>
      <vt:variant>
        <vt:i4>0</vt:i4>
      </vt:variant>
      <vt:variant>
        <vt:i4>5</vt:i4>
      </vt:variant>
      <vt:variant>
        <vt:lpwstr/>
      </vt:variant>
      <vt:variant>
        <vt:lpwstr>_Toc158648163</vt:lpwstr>
      </vt:variant>
      <vt:variant>
        <vt:i4>2424930</vt:i4>
      </vt:variant>
      <vt:variant>
        <vt:i4>12</vt:i4>
      </vt:variant>
      <vt:variant>
        <vt:i4>0</vt:i4>
      </vt:variant>
      <vt:variant>
        <vt:i4>5</vt:i4>
      </vt:variant>
      <vt:variant>
        <vt:lpwstr>https://www.jobsandskills.gov.au/data/recruitment-experiences-and-outlook-survey/recruitment-methods-used-by-employers</vt:lpwstr>
      </vt:variant>
      <vt:variant>
        <vt:lpwstr/>
      </vt:variant>
      <vt:variant>
        <vt:i4>4849735</vt:i4>
      </vt:variant>
      <vt:variant>
        <vt:i4>9</vt:i4>
      </vt:variant>
      <vt:variant>
        <vt:i4>0</vt:i4>
      </vt:variant>
      <vt:variant>
        <vt:i4>5</vt:i4>
      </vt:variant>
      <vt:variant>
        <vt:lpwstr>https://www.abs.gov.au/statistics/microdata-tablebuilder/tablebuilder</vt:lpwstr>
      </vt:variant>
      <vt:variant>
        <vt:lpwstr/>
      </vt:variant>
      <vt:variant>
        <vt:i4>2424930</vt:i4>
      </vt:variant>
      <vt:variant>
        <vt:i4>6</vt:i4>
      </vt:variant>
      <vt:variant>
        <vt:i4>0</vt:i4>
      </vt:variant>
      <vt:variant>
        <vt:i4>5</vt:i4>
      </vt:variant>
      <vt:variant>
        <vt:lpwstr>https://www.jobsandskills.gov.au/data/recruitment-experiences-and-outlook-survey/recruitment-methods-used-by-employers</vt:lpwstr>
      </vt:variant>
      <vt:variant>
        <vt:lpwstr/>
      </vt:variant>
      <vt:variant>
        <vt:i4>3276847</vt:i4>
      </vt:variant>
      <vt:variant>
        <vt:i4>3</vt:i4>
      </vt:variant>
      <vt:variant>
        <vt:i4>0</vt:i4>
      </vt:variant>
      <vt:variant>
        <vt:i4>5</vt:i4>
      </vt:variant>
      <vt:variant>
        <vt:lpwstr>https://www.jobsandskills.gov.au/data/skills-priority-list</vt:lpwstr>
      </vt:variant>
      <vt:variant>
        <vt:lpwstr/>
      </vt:variant>
      <vt:variant>
        <vt:i4>983044</vt:i4>
      </vt:variant>
      <vt:variant>
        <vt:i4>0</vt:i4>
      </vt:variant>
      <vt:variant>
        <vt:i4>0</vt:i4>
      </vt:variant>
      <vt:variant>
        <vt:i4>5</vt:i4>
      </vt:variant>
      <vt:variant>
        <vt:lpwstr>https://www.jobsandskills.gov.au/data/internet-vacancy-index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CHENG,Vivienne</dc:creator>
  <cp:keywords/>
  <dc:description/>
  <cp:lastModifiedBy>VAN SITTERT,Lambert</cp:lastModifiedBy>
  <cp:revision>31</cp:revision>
  <cp:lastPrinted>2024-09-04T00:38:00Z</cp:lastPrinted>
  <dcterms:created xsi:type="dcterms:W3CDTF">2024-09-02T02:50:00Z</dcterms:created>
  <dcterms:modified xsi:type="dcterms:W3CDTF">2024-09-04T00:38:00Z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2023-12-01T00:59:34Z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457eacff-c036-4f58-b25f-90a99bd92b87</vt:lpwstr>
  </property>
  <property fmtid="{D5CDD505-2E9C-101B-9397-08002B2CF9AE}" pid="8" name="MSIP_Label_79d889eb-932f-4752-8739-64d25806ef64_ContentBits">
    <vt:lpwstr>0</vt:lpwstr>
  </property>
  <property fmtid="{D5CDD505-2E9C-101B-9397-08002B2CF9AE}" pid="9" name="ContentTypeId">
    <vt:lpwstr>0x010100E3F34836EA3F784AB5A1E15E26B43A6C</vt:lpwstr>
  </property>
  <property fmtid="{D5CDD505-2E9C-101B-9397-08002B2CF9AE}" pid="10" name="MediaServiceImageTags">
    <vt:lpwstr/>
  </property>
</Properties>
</file>